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8AA1D">
      <w:pPr>
        <w:pStyle w:val="276"/>
        <w:spacing w:line="360" w:lineRule="auto"/>
        <w:rPr>
          <w:rFonts w:ascii="宋体" w:hAnsi="宋体" w:cs="宋体"/>
          <w:b/>
          <w:color w:val="auto"/>
          <w:highlight w:val="none"/>
        </w:rPr>
      </w:pPr>
      <w:bookmarkStart w:id="810" w:name="_GoBack"/>
      <w:bookmarkEnd w:id="810"/>
    </w:p>
    <w:p w14:paraId="6F692365">
      <w:pPr>
        <w:pStyle w:val="276"/>
        <w:spacing w:line="360" w:lineRule="auto"/>
        <w:rPr>
          <w:rFonts w:ascii="宋体" w:hAnsi="宋体" w:cs="宋体"/>
          <w:b/>
          <w:color w:val="auto"/>
          <w:highlight w:val="none"/>
        </w:rPr>
      </w:pPr>
    </w:p>
    <w:p w14:paraId="2BAFACEB">
      <w:pPr>
        <w:pStyle w:val="276"/>
        <w:spacing w:line="360" w:lineRule="auto"/>
        <w:jc w:val="center"/>
        <w:rPr>
          <w:rFonts w:ascii="Times New Roman" w:hAnsi="Times New Roman"/>
          <w:b/>
          <w:color w:val="auto"/>
          <w:w w:val="90"/>
          <w:sz w:val="48"/>
          <w:szCs w:val="48"/>
          <w:highlight w:val="none"/>
        </w:rPr>
      </w:pPr>
      <w:r>
        <w:rPr>
          <w:rFonts w:hint="eastAsia" w:ascii="Times New Roman" w:hAnsi="Times New Roman"/>
          <w:b/>
          <w:color w:val="auto"/>
          <w:w w:val="90"/>
          <w:sz w:val="48"/>
          <w:szCs w:val="48"/>
          <w:highlight w:val="none"/>
        </w:rPr>
        <w:t>四川省普通公路工程电子招标</w:t>
      </w:r>
    </w:p>
    <w:p w14:paraId="6142CC44">
      <w:pPr>
        <w:pStyle w:val="276"/>
        <w:spacing w:line="360" w:lineRule="auto"/>
        <w:jc w:val="center"/>
        <w:rPr>
          <w:rFonts w:hint="eastAsia" w:ascii="宋体" w:hAnsi="宋体" w:cs="宋体"/>
          <w:b/>
          <w:color w:val="auto"/>
          <w:w w:val="80"/>
          <w:sz w:val="96"/>
          <w:szCs w:val="96"/>
          <w:highlight w:val="none"/>
        </w:rPr>
      </w:pPr>
      <w:r>
        <w:rPr>
          <w:rFonts w:hint="eastAsia" w:ascii="宋体" w:hAnsi="宋体" w:cs="宋体"/>
          <w:b/>
          <w:color w:val="auto"/>
          <w:w w:val="80"/>
          <w:sz w:val="96"/>
          <w:szCs w:val="96"/>
          <w:highlight w:val="none"/>
        </w:rPr>
        <w:t>标准监理试验室招标文件</w:t>
      </w:r>
    </w:p>
    <w:p w14:paraId="4ACA1E7F">
      <w:pPr>
        <w:pStyle w:val="276"/>
        <w:spacing w:line="360" w:lineRule="auto"/>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（202</w:t>
      </w:r>
      <w:r>
        <w:rPr>
          <w:rFonts w:hint="eastAsia" w:ascii="宋体" w:hAnsi="宋体" w:cs="宋体"/>
          <w:color w:val="auto"/>
          <w:sz w:val="44"/>
          <w:szCs w:val="44"/>
          <w:highlight w:val="none"/>
          <w:lang w:val="en-US" w:eastAsia="zh-CN"/>
        </w:rPr>
        <w:t>4</w:t>
      </w:r>
      <w:r>
        <w:rPr>
          <w:rFonts w:hint="eastAsia" w:ascii="宋体" w:hAnsi="宋体" w:cs="宋体"/>
          <w:color w:val="auto"/>
          <w:sz w:val="44"/>
          <w:szCs w:val="44"/>
          <w:highlight w:val="none"/>
        </w:rPr>
        <w:t>年版）</w:t>
      </w:r>
    </w:p>
    <w:p w14:paraId="0BC88058">
      <w:pPr>
        <w:pStyle w:val="276"/>
        <w:jc w:val="center"/>
        <w:rPr>
          <w:rFonts w:hint="eastAsia" w:ascii="宋体" w:hAnsi="宋体" w:eastAsia="宋体" w:cs="宋体"/>
          <w:color w:val="auto"/>
          <w:sz w:val="28"/>
          <w:szCs w:val="28"/>
          <w:highlight w:val="none"/>
          <w:lang w:eastAsia="zh-CN"/>
        </w:rPr>
      </w:pPr>
    </w:p>
    <w:p w14:paraId="5D26EA13">
      <w:pPr>
        <w:pStyle w:val="276"/>
        <w:rPr>
          <w:rFonts w:ascii="宋体" w:hAnsi="宋体" w:cs="宋体"/>
          <w:color w:val="auto"/>
          <w:highlight w:val="none"/>
        </w:rPr>
      </w:pPr>
    </w:p>
    <w:p w14:paraId="27EC57FB">
      <w:pPr>
        <w:pStyle w:val="276"/>
        <w:rPr>
          <w:rFonts w:ascii="宋体" w:hAnsi="宋体" w:cs="宋体"/>
          <w:color w:val="auto"/>
          <w:highlight w:val="none"/>
        </w:rPr>
      </w:pPr>
    </w:p>
    <w:p w14:paraId="19D3F427">
      <w:pPr>
        <w:pStyle w:val="276"/>
        <w:rPr>
          <w:rFonts w:ascii="宋体" w:hAnsi="宋体" w:cs="宋体"/>
          <w:color w:val="auto"/>
          <w:highlight w:val="none"/>
        </w:rPr>
      </w:pPr>
    </w:p>
    <w:p w14:paraId="5E7B3F83">
      <w:pPr>
        <w:pStyle w:val="276"/>
        <w:rPr>
          <w:rFonts w:ascii="宋体" w:hAnsi="宋体" w:cs="宋体"/>
          <w:color w:val="auto"/>
          <w:highlight w:val="none"/>
        </w:rPr>
      </w:pPr>
    </w:p>
    <w:p w14:paraId="50D8A6A4">
      <w:pPr>
        <w:pStyle w:val="276"/>
        <w:rPr>
          <w:rFonts w:ascii="宋体" w:hAnsi="宋体" w:cs="宋体"/>
          <w:color w:val="auto"/>
          <w:highlight w:val="none"/>
        </w:rPr>
      </w:pPr>
    </w:p>
    <w:p w14:paraId="32087762">
      <w:pPr>
        <w:pStyle w:val="276"/>
        <w:rPr>
          <w:rFonts w:ascii="宋体" w:hAnsi="宋体" w:cs="宋体"/>
          <w:color w:val="auto"/>
          <w:highlight w:val="none"/>
        </w:rPr>
      </w:pPr>
    </w:p>
    <w:p w14:paraId="3D17513E">
      <w:pPr>
        <w:pStyle w:val="276"/>
        <w:rPr>
          <w:rFonts w:ascii="宋体" w:hAnsi="宋体" w:cs="宋体"/>
          <w:color w:val="auto"/>
          <w:highlight w:val="none"/>
        </w:rPr>
      </w:pPr>
    </w:p>
    <w:p w14:paraId="6F4F7A5A">
      <w:pPr>
        <w:pStyle w:val="276"/>
        <w:rPr>
          <w:rFonts w:ascii="宋体" w:hAnsi="宋体" w:cs="宋体"/>
          <w:color w:val="auto"/>
          <w:highlight w:val="none"/>
        </w:rPr>
      </w:pPr>
    </w:p>
    <w:p w14:paraId="0849BF73">
      <w:pPr>
        <w:pStyle w:val="276"/>
        <w:rPr>
          <w:rFonts w:ascii="宋体" w:hAnsi="宋体" w:cs="宋体"/>
          <w:color w:val="auto"/>
          <w:highlight w:val="none"/>
        </w:rPr>
      </w:pPr>
    </w:p>
    <w:p w14:paraId="79AED82F">
      <w:pPr>
        <w:pStyle w:val="276"/>
        <w:rPr>
          <w:rFonts w:ascii="宋体" w:hAnsi="宋体" w:cs="宋体"/>
          <w:color w:val="auto"/>
          <w:highlight w:val="none"/>
        </w:rPr>
      </w:pPr>
    </w:p>
    <w:p w14:paraId="71F4656F">
      <w:pPr>
        <w:pStyle w:val="276"/>
        <w:rPr>
          <w:rFonts w:ascii="宋体" w:hAnsi="宋体" w:cs="宋体"/>
          <w:color w:val="auto"/>
          <w:highlight w:val="none"/>
        </w:rPr>
      </w:pPr>
    </w:p>
    <w:p w14:paraId="0F16A66C">
      <w:pPr>
        <w:pStyle w:val="276"/>
        <w:rPr>
          <w:rFonts w:ascii="宋体" w:hAnsi="宋体" w:cs="宋体"/>
          <w:color w:val="auto"/>
          <w:highlight w:val="none"/>
        </w:rPr>
      </w:pPr>
    </w:p>
    <w:p w14:paraId="098B18BB">
      <w:pPr>
        <w:pStyle w:val="276"/>
        <w:rPr>
          <w:rFonts w:ascii="宋体" w:hAnsi="宋体" w:cs="宋体"/>
          <w:color w:val="auto"/>
          <w:highlight w:val="none"/>
        </w:rPr>
      </w:pPr>
    </w:p>
    <w:p w14:paraId="5155CAC3">
      <w:pPr>
        <w:pStyle w:val="276"/>
        <w:rPr>
          <w:rFonts w:ascii="宋体" w:hAnsi="宋体" w:cs="宋体"/>
          <w:color w:val="auto"/>
          <w:highlight w:val="none"/>
        </w:rPr>
      </w:pPr>
    </w:p>
    <w:p w14:paraId="78FD77F9">
      <w:pPr>
        <w:pStyle w:val="276"/>
        <w:rPr>
          <w:rFonts w:ascii="宋体" w:hAnsi="宋体" w:cs="宋体"/>
          <w:color w:val="auto"/>
          <w:highlight w:val="none"/>
        </w:rPr>
      </w:pPr>
    </w:p>
    <w:p w14:paraId="1272A7A4">
      <w:pPr>
        <w:pStyle w:val="276"/>
        <w:rPr>
          <w:rFonts w:ascii="宋体" w:hAnsi="宋体" w:cs="宋体"/>
          <w:color w:val="auto"/>
          <w:highlight w:val="none"/>
        </w:rPr>
      </w:pPr>
    </w:p>
    <w:p w14:paraId="54CFBFAA">
      <w:pPr>
        <w:pStyle w:val="276"/>
        <w:rPr>
          <w:rFonts w:ascii="宋体" w:hAnsi="宋体" w:cs="宋体"/>
          <w:color w:val="auto"/>
          <w:highlight w:val="none"/>
        </w:rPr>
      </w:pPr>
    </w:p>
    <w:p w14:paraId="53FEFCD1">
      <w:pPr>
        <w:pStyle w:val="276"/>
        <w:rPr>
          <w:rFonts w:ascii="宋体" w:hAnsi="宋体" w:cs="宋体"/>
          <w:color w:val="auto"/>
          <w:highlight w:val="none"/>
        </w:rPr>
      </w:pPr>
    </w:p>
    <w:p w14:paraId="761FCB6D">
      <w:pPr>
        <w:pStyle w:val="276"/>
        <w:rPr>
          <w:rFonts w:ascii="宋体" w:hAnsi="宋体" w:cs="宋体"/>
          <w:color w:val="auto"/>
          <w:highlight w:val="none"/>
        </w:rPr>
      </w:pPr>
    </w:p>
    <w:p w14:paraId="00EBA1DA">
      <w:pPr>
        <w:pStyle w:val="276"/>
        <w:rPr>
          <w:rFonts w:ascii="宋体" w:hAnsi="宋体" w:cs="宋体"/>
          <w:color w:val="auto"/>
          <w:highlight w:val="none"/>
        </w:rPr>
      </w:pPr>
    </w:p>
    <w:p w14:paraId="6C3F6D64">
      <w:pPr>
        <w:pStyle w:val="276"/>
        <w:rPr>
          <w:rFonts w:ascii="宋体" w:hAnsi="宋体" w:cs="宋体"/>
          <w:color w:val="auto"/>
          <w:highlight w:val="none"/>
        </w:rPr>
      </w:pPr>
    </w:p>
    <w:p w14:paraId="5D450B21">
      <w:pPr>
        <w:pStyle w:val="276"/>
        <w:rPr>
          <w:rFonts w:ascii="宋体" w:hAnsi="宋体" w:cs="宋体"/>
          <w:color w:val="auto"/>
          <w:highlight w:val="none"/>
        </w:rPr>
      </w:pPr>
    </w:p>
    <w:p w14:paraId="0ED614FE">
      <w:pPr>
        <w:pStyle w:val="276"/>
        <w:rPr>
          <w:rFonts w:ascii="宋体" w:hAnsi="宋体" w:cs="宋体"/>
          <w:color w:val="auto"/>
          <w:highlight w:val="none"/>
        </w:rPr>
      </w:pPr>
    </w:p>
    <w:p w14:paraId="70E261AD">
      <w:pPr>
        <w:pStyle w:val="276"/>
        <w:rPr>
          <w:rFonts w:ascii="宋体" w:hAnsi="宋体" w:cs="宋体"/>
          <w:color w:val="auto"/>
          <w:highlight w:val="none"/>
        </w:rPr>
      </w:pPr>
    </w:p>
    <w:p w14:paraId="1A8FE029">
      <w:pPr>
        <w:pStyle w:val="276"/>
        <w:rPr>
          <w:rFonts w:ascii="宋体" w:hAnsi="宋体" w:cs="宋体"/>
          <w:color w:val="auto"/>
          <w:highlight w:val="none"/>
        </w:rPr>
      </w:pPr>
    </w:p>
    <w:p w14:paraId="31D3F924">
      <w:pPr>
        <w:pStyle w:val="276"/>
        <w:rPr>
          <w:rFonts w:ascii="宋体" w:hAnsi="宋体" w:cs="宋体"/>
          <w:color w:val="auto"/>
          <w:highlight w:val="none"/>
        </w:rPr>
      </w:pPr>
    </w:p>
    <w:p w14:paraId="213EE166">
      <w:pPr>
        <w:spacing w:line="360" w:lineRule="auto"/>
        <w:jc w:val="center"/>
        <w:rPr>
          <w:rFonts w:ascii="宋体" w:hAnsi="宋体" w:cs="宋体"/>
          <w:color w:val="auto"/>
          <w:highlight w:val="none"/>
        </w:rPr>
      </w:pPr>
      <w:r>
        <w:rPr>
          <w:rFonts w:hint="eastAsia" w:ascii="宋体" w:hAnsi="宋体" w:cs="宋体"/>
          <w:b/>
          <w:color w:val="auto"/>
          <w:sz w:val="36"/>
          <w:szCs w:val="36"/>
          <w:highlight w:val="none"/>
        </w:rPr>
        <w:t>四川省交通运输厅</w:t>
      </w:r>
      <w:r>
        <w:rPr>
          <w:rFonts w:ascii="宋体" w:hAnsi="宋体" w:cs="宋体"/>
          <w:b/>
          <w:color w:val="auto"/>
          <w:sz w:val="36"/>
          <w:szCs w:val="36"/>
          <w:highlight w:val="none"/>
        </w:rPr>
        <w:t xml:space="preserve">  </w:t>
      </w:r>
    </w:p>
    <w:p w14:paraId="73045315">
      <w:pPr>
        <w:pStyle w:val="276"/>
        <w:spacing w:line="360" w:lineRule="auto"/>
        <w:jc w:val="center"/>
        <w:rPr>
          <w:rFonts w:ascii="宋体" w:hAnsi="宋体" w:cs="宋体"/>
          <w:b/>
          <w:color w:val="auto"/>
          <w:sz w:val="32"/>
          <w:szCs w:val="32"/>
          <w:highlight w:val="none"/>
        </w:rPr>
      </w:pPr>
      <w:r>
        <w:rPr>
          <w:rFonts w:ascii="宋体" w:hAnsi="宋体" w:cs="宋体"/>
          <w:b/>
          <w:color w:val="auto"/>
          <w:sz w:val="36"/>
          <w:szCs w:val="36"/>
          <w:highlight w:val="none"/>
        </w:rPr>
        <w:t>202</w:t>
      </w:r>
      <w:r>
        <w:rPr>
          <w:rFonts w:hint="eastAsia" w:ascii="宋体" w:hAnsi="宋体" w:cs="宋体"/>
          <w:b/>
          <w:color w:val="auto"/>
          <w:sz w:val="36"/>
          <w:szCs w:val="36"/>
          <w:highlight w:val="none"/>
          <w:lang w:val="en-US" w:eastAsia="zh-CN"/>
        </w:rPr>
        <w:t>4</w:t>
      </w:r>
      <w:r>
        <w:rPr>
          <w:rFonts w:hint="eastAsia" w:ascii="宋体" w:hAnsi="宋体" w:cs="宋体"/>
          <w:b/>
          <w:color w:val="auto"/>
          <w:sz w:val="36"/>
          <w:szCs w:val="36"/>
          <w:highlight w:val="none"/>
        </w:rPr>
        <w:t>年</w:t>
      </w:r>
      <w:r>
        <w:rPr>
          <w:rFonts w:hint="eastAsia" w:ascii="宋体" w:hAnsi="宋体" w:cs="宋体"/>
          <w:b/>
          <w:color w:val="auto"/>
          <w:sz w:val="36"/>
          <w:szCs w:val="36"/>
          <w:highlight w:val="none"/>
          <w:lang w:val="en-US" w:eastAsia="zh-CN"/>
        </w:rPr>
        <w:t>8</w:t>
      </w:r>
      <w:r>
        <w:rPr>
          <w:rFonts w:ascii="宋体" w:hAnsi="宋体" w:cs="宋体"/>
          <w:b/>
          <w:color w:val="auto"/>
          <w:sz w:val="36"/>
          <w:szCs w:val="36"/>
          <w:highlight w:val="none"/>
        </w:rPr>
        <w:t>月</w:t>
      </w:r>
      <w:r>
        <w:rPr>
          <w:rFonts w:ascii="宋体" w:hAnsi="宋体" w:cs="宋体"/>
          <w:b/>
          <w:color w:val="auto"/>
          <w:sz w:val="32"/>
          <w:szCs w:val="32"/>
          <w:highlight w:val="none"/>
        </w:rPr>
        <w:br w:type="page"/>
      </w:r>
    </w:p>
    <w:p w14:paraId="3072D8B0">
      <w:pPr>
        <w:spacing w:line="360" w:lineRule="auto"/>
        <w:jc w:val="center"/>
        <w:rPr>
          <w:rFonts w:hint="eastAsia" w:ascii="黑体" w:hAnsi="黑体" w:eastAsia="黑体" w:cs="黑体"/>
          <w:sz w:val="32"/>
          <w:szCs w:val="32"/>
          <w:lang w:eastAsia="zh-CN"/>
        </w:rPr>
      </w:pPr>
    </w:p>
    <w:p w14:paraId="605735C2">
      <w:pPr>
        <w:spacing w:line="360" w:lineRule="auto"/>
        <w:jc w:val="center"/>
        <w:rPr>
          <w:rFonts w:hint="eastAsia" w:ascii="黑体" w:hAnsi="黑体" w:eastAsia="黑体" w:cs="黑体"/>
          <w:sz w:val="36"/>
          <w:szCs w:val="36"/>
          <w:lang w:eastAsia="zh-CN"/>
        </w:rPr>
      </w:pPr>
      <w:r>
        <w:rPr>
          <w:rFonts w:hint="eastAsia" w:ascii="黑体" w:hAnsi="黑体" w:eastAsia="黑体" w:cs="黑体"/>
          <w:sz w:val="32"/>
          <w:szCs w:val="32"/>
          <w:lang w:eastAsia="zh-CN"/>
        </w:rPr>
        <w:t>《四川省普通公路工程电子招标标准监理</w:t>
      </w:r>
      <w:r>
        <w:rPr>
          <w:rFonts w:hint="eastAsia" w:ascii="黑体" w:hAnsi="黑体" w:eastAsia="黑体" w:cs="黑体"/>
          <w:sz w:val="32"/>
          <w:szCs w:val="32"/>
          <w:lang w:val="en-US" w:eastAsia="zh-CN"/>
        </w:rPr>
        <w:t>试验室</w:t>
      </w:r>
      <w:r>
        <w:rPr>
          <w:rFonts w:hint="eastAsia" w:ascii="黑体" w:hAnsi="黑体" w:eastAsia="黑体" w:cs="黑体"/>
          <w:sz w:val="32"/>
          <w:szCs w:val="32"/>
          <w:lang w:eastAsia="zh-CN"/>
        </w:rPr>
        <w:t>招标文件》</w:t>
      </w:r>
    </w:p>
    <w:p w14:paraId="698D2681">
      <w:pPr>
        <w:spacing w:line="360" w:lineRule="auto"/>
        <w:jc w:val="center"/>
        <w:rPr>
          <w:rFonts w:hint="eastAsia" w:ascii="宋体" w:hAnsi="宋体" w:eastAsia="宋体" w:cs="宋体"/>
          <w:spacing w:val="28"/>
          <w:kern w:val="3"/>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2024年版</w:t>
      </w:r>
      <w:r>
        <w:rPr>
          <w:rFonts w:hint="eastAsia" w:ascii="宋体" w:hAnsi="宋体" w:eastAsia="宋体" w:cs="宋体"/>
          <w:sz w:val="32"/>
          <w:szCs w:val="32"/>
          <w:lang w:eastAsia="zh-CN"/>
        </w:rPr>
        <w:t>）</w:t>
      </w:r>
    </w:p>
    <w:p w14:paraId="04875E90">
      <w:pPr>
        <w:rPr>
          <w:rFonts w:hint="eastAsia" w:ascii="黑体" w:hAnsi="黑体" w:eastAsia="黑体" w:cs="黑体"/>
          <w:spacing w:val="28"/>
          <w:kern w:val="3"/>
          <w:sz w:val="28"/>
          <w:szCs w:val="28"/>
          <w:lang w:eastAsia="zh-CN"/>
        </w:rPr>
      </w:pPr>
    </w:p>
    <w:p w14:paraId="63145062">
      <w:pPr>
        <w:ind w:firstLine="1680" w:firstLineChars="600"/>
        <w:rPr>
          <w:rFonts w:hint="eastAsia"/>
          <w:sz w:val="28"/>
          <w:szCs w:val="28"/>
          <w:lang w:eastAsia="zh-CN"/>
        </w:rPr>
      </w:pPr>
    </w:p>
    <w:p w14:paraId="45EE9788">
      <w:pPr>
        <w:rPr>
          <w:rFonts w:hint="eastAsia"/>
          <w:sz w:val="28"/>
          <w:szCs w:val="28"/>
          <w:lang w:eastAsia="zh-CN"/>
        </w:rPr>
      </w:pPr>
    </w:p>
    <w:p w14:paraId="2C5C9406">
      <w:pPr>
        <w:spacing w:after="120" w:afterLines="50"/>
        <w:jc w:val="center"/>
        <w:rPr>
          <w:rFonts w:hint="eastAsia" w:ascii="宋体" w:hAnsi="宋体" w:eastAsia="宋体" w:cs="Times New Roman"/>
          <w:b/>
          <w:bCs/>
          <w:color w:val="000000" w:themeColor="text1"/>
          <w:spacing w:val="0"/>
          <w:sz w:val="32"/>
          <w:szCs w:val="32"/>
          <w:lang w:eastAsia="zh-CN"/>
          <w14:textFill>
            <w14:solidFill>
              <w14:schemeClr w14:val="tx1"/>
            </w14:solidFill>
          </w14:textFill>
        </w:rPr>
      </w:pPr>
      <w:r>
        <w:rPr>
          <w:rFonts w:hint="eastAsia" w:ascii="宋体" w:hAnsi="宋体" w:eastAsia="宋体" w:cs="Times New Roman"/>
          <w:b/>
          <w:bCs/>
          <w:color w:val="000000" w:themeColor="text1"/>
          <w:spacing w:val="0"/>
          <w:sz w:val="32"/>
          <w:szCs w:val="32"/>
          <w:lang w:eastAsia="zh-CN"/>
          <w14:textFill>
            <w14:solidFill>
              <w14:schemeClr w14:val="tx1"/>
            </w14:solidFill>
          </w14:textFill>
        </w:rPr>
        <w:t>审定委员会</w:t>
      </w:r>
    </w:p>
    <w:p w14:paraId="153805C9">
      <w:pPr>
        <w:rPr>
          <w:rFonts w:hint="eastAsia"/>
          <w:sz w:val="28"/>
          <w:szCs w:val="28"/>
          <w:lang w:eastAsia="zh-CN"/>
        </w:rPr>
      </w:pPr>
    </w:p>
    <w:p w14:paraId="62917077">
      <w:pPr>
        <w:pStyle w:val="2"/>
        <w:rPr>
          <w:rFonts w:hint="eastAsia"/>
          <w:lang w:eastAsia="zh-CN"/>
        </w:rPr>
      </w:pPr>
    </w:p>
    <w:p w14:paraId="26F3FC0D">
      <w:pPr>
        <w:spacing w:line="360" w:lineRule="auto"/>
        <w:rPr>
          <w:rFonts w:hint="eastAsia"/>
          <w:sz w:val="28"/>
          <w:szCs w:val="28"/>
          <w:lang w:eastAsia="zh-CN"/>
        </w:rPr>
      </w:pPr>
      <w:r>
        <w:rPr>
          <w:rFonts w:hint="eastAsia" w:ascii="黑体" w:hAnsi="黑体" w:eastAsia="黑体"/>
          <w:color w:val="000000" w:themeColor="text1"/>
          <w:spacing w:val="51"/>
          <w:sz w:val="28"/>
          <w:szCs w:val="28"/>
          <w14:textFill>
            <w14:solidFill>
              <w14:schemeClr w14:val="tx1"/>
            </w14:solidFill>
          </w14:textFill>
        </w:rPr>
        <w:t>主任委</w:t>
      </w:r>
      <w:r>
        <w:rPr>
          <w:rFonts w:hint="eastAsia" w:ascii="黑体" w:hAnsi="黑体" w:eastAsia="黑体"/>
          <w:color w:val="000000" w:themeColor="text1"/>
          <w:sz w:val="28"/>
          <w:szCs w:val="28"/>
          <w14:textFill>
            <w14:solidFill>
              <w14:schemeClr w14:val="tx1"/>
            </w14:solidFill>
          </w14:textFill>
        </w:rPr>
        <w:t>员</w:t>
      </w:r>
      <w:r>
        <w:rPr>
          <w:rFonts w:hint="eastAsia" w:ascii="黑体" w:hAnsi="黑体" w:eastAsia="黑体" w:cs="黑体"/>
          <w:spacing w:val="34"/>
          <w:kern w:val="3"/>
          <w:sz w:val="28"/>
          <w:szCs w:val="28"/>
          <w:lang w:eastAsia="zh-CN"/>
        </w:rPr>
        <w:t>：</w:t>
      </w:r>
      <w:r>
        <w:rPr>
          <w:rFonts w:hint="eastAsia" w:ascii="楷体" w:hAnsi="楷体" w:eastAsia="楷体" w:cs="楷体"/>
          <w:sz w:val="28"/>
          <w:szCs w:val="28"/>
          <w:lang w:eastAsia="zh-CN"/>
        </w:rPr>
        <w:t>王茂奎</w:t>
      </w:r>
    </w:p>
    <w:p w14:paraId="4E863960">
      <w:pPr>
        <w:spacing w:line="360" w:lineRule="auto"/>
        <w:rPr>
          <w:rFonts w:hint="default"/>
          <w:sz w:val="28"/>
          <w:szCs w:val="28"/>
          <w:lang w:val="en-US" w:eastAsia="zh-CN"/>
        </w:rPr>
      </w:pPr>
      <w:r>
        <w:rPr>
          <w:rFonts w:hint="eastAsia" w:ascii="黑体" w:hAnsi="黑体" w:eastAsia="黑体" w:cs="黑体"/>
          <w:sz w:val="28"/>
          <w:szCs w:val="28"/>
          <w:lang w:eastAsia="zh-CN"/>
        </w:rPr>
        <w:t>副主任委员：</w:t>
      </w:r>
      <w:r>
        <w:rPr>
          <w:rFonts w:hint="eastAsia" w:ascii="黑体" w:hAnsi="黑体" w:eastAsia="黑体" w:cs="黑体"/>
          <w:sz w:val="28"/>
          <w:szCs w:val="28"/>
          <w:lang w:val="en-US" w:eastAsia="zh-CN"/>
        </w:rPr>
        <w:t xml:space="preserve"> </w:t>
      </w:r>
      <w:r>
        <w:rPr>
          <w:rFonts w:hint="eastAsia" w:ascii="楷体" w:hAnsi="楷体" w:eastAsia="楷体" w:cs="楷体"/>
          <w:kern w:val="2"/>
          <w:sz w:val="28"/>
          <w:szCs w:val="28"/>
          <w:lang w:val="en-US" w:eastAsia="zh-CN" w:bidi="ar"/>
        </w:rPr>
        <w:t xml:space="preserve">屈洪斌   </w:t>
      </w:r>
      <w:r>
        <w:rPr>
          <w:rFonts w:hint="eastAsia" w:ascii="楷体" w:hAnsi="楷体" w:eastAsia="楷体" w:cs="楷体"/>
          <w:sz w:val="28"/>
          <w:szCs w:val="28"/>
          <w:lang w:eastAsia="zh-CN"/>
        </w:rPr>
        <w:t>赵</w:t>
      </w:r>
      <w:r>
        <w:rPr>
          <w:rFonts w:hint="eastAsia" w:ascii="楷体" w:hAnsi="楷体" w:eastAsia="楷体" w:cs="楷体"/>
          <w:sz w:val="28"/>
          <w:szCs w:val="28"/>
          <w:lang w:val="en-US" w:eastAsia="zh-CN"/>
        </w:rPr>
        <w:t xml:space="preserve">  </w:t>
      </w:r>
      <w:r>
        <w:rPr>
          <w:rFonts w:hint="eastAsia" w:ascii="楷体" w:hAnsi="楷体" w:eastAsia="楷体" w:cs="楷体"/>
          <w:sz w:val="28"/>
          <w:szCs w:val="28"/>
          <w:lang w:eastAsia="zh-CN"/>
        </w:rPr>
        <w:t>刚</w:t>
      </w:r>
      <w:r>
        <w:rPr>
          <w:rFonts w:hint="eastAsia" w:ascii="楷体" w:hAnsi="楷体" w:eastAsia="楷体" w:cs="楷体"/>
          <w:sz w:val="28"/>
          <w:szCs w:val="28"/>
          <w:lang w:val="en-US" w:eastAsia="zh-CN"/>
        </w:rPr>
        <w:t xml:space="preserve">   </w:t>
      </w:r>
      <w:r>
        <w:rPr>
          <w:rFonts w:hint="eastAsia" w:ascii="楷体" w:hAnsi="楷体" w:eastAsia="楷体" w:cs="楷体"/>
          <w:kern w:val="2"/>
          <w:sz w:val="28"/>
          <w:szCs w:val="28"/>
          <w:lang w:val="en-US" w:eastAsia="zh-CN" w:bidi="ar"/>
        </w:rPr>
        <w:t>蒋  军</w:t>
      </w:r>
      <w:r>
        <w:rPr>
          <w:rFonts w:hint="eastAsia" w:ascii="楷体" w:hAnsi="楷体" w:eastAsia="楷体" w:cs="楷体"/>
          <w:sz w:val="28"/>
          <w:szCs w:val="28"/>
          <w:lang w:val="en-US" w:eastAsia="zh-CN"/>
        </w:rPr>
        <w:t xml:space="preserve">   马海燕</w:t>
      </w:r>
    </w:p>
    <w:p w14:paraId="41B4C61D">
      <w:pPr>
        <w:spacing w:line="360" w:lineRule="auto"/>
        <w:rPr>
          <w:rFonts w:hint="eastAsia" w:ascii="楷体" w:hAnsi="楷体" w:eastAsia="楷体" w:cs="楷体"/>
          <w:sz w:val="28"/>
          <w:szCs w:val="28"/>
          <w:lang w:val="en-US" w:eastAsia="zh-CN"/>
        </w:rPr>
      </w:pPr>
      <w:r>
        <w:rPr>
          <w:rFonts w:hint="eastAsia" w:ascii="黑体" w:hAnsi="黑体" w:eastAsia="黑体" w:cs="黑体"/>
          <w:sz w:val="28"/>
          <w:szCs w:val="28"/>
          <w:lang w:val="en-US" w:eastAsia="zh-CN"/>
        </w:rPr>
        <w:t>委      员：</w:t>
      </w:r>
      <w:r>
        <w:rPr>
          <w:rFonts w:hint="eastAsia" w:ascii="楷体" w:hAnsi="楷体" w:eastAsia="楷体" w:cs="楷体"/>
          <w:sz w:val="28"/>
          <w:szCs w:val="28"/>
          <w:lang w:val="en-US" w:eastAsia="zh-CN"/>
        </w:rPr>
        <w:t xml:space="preserve"> </w:t>
      </w:r>
      <w:r>
        <w:rPr>
          <w:rFonts w:hint="eastAsia" w:ascii="楷体" w:hAnsi="楷体" w:eastAsia="楷体" w:cs="楷体"/>
          <w:kern w:val="2"/>
          <w:sz w:val="28"/>
          <w:szCs w:val="28"/>
          <w:lang w:val="en-US" w:eastAsia="zh-CN" w:bidi="ar"/>
        </w:rPr>
        <w:t>帅宗义</w:t>
      </w:r>
      <w:r>
        <w:rPr>
          <w:rFonts w:hint="eastAsia" w:ascii="黑体" w:hAnsi="黑体" w:eastAsia="黑体" w:cs="黑体"/>
          <w:sz w:val="28"/>
          <w:szCs w:val="28"/>
          <w:lang w:val="en-US" w:eastAsia="zh-CN"/>
        </w:rPr>
        <w:t xml:space="preserve">   </w:t>
      </w:r>
      <w:r>
        <w:rPr>
          <w:rFonts w:hint="eastAsia" w:ascii="楷体" w:hAnsi="楷体" w:eastAsia="楷体" w:cs="楷体"/>
          <w:sz w:val="28"/>
          <w:szCs w:val="28"/>
          <w:lang w:val="en-US" w:eastAsia="zh-CN"/>
        </w:rPr>
        <w:t>高会晋   高德风   万超琪</w:t>
      </w:r>
    </w:p>
    <w:p w14:paraId="6F70CCF5">
      <w:pPr>
        <w:spacing w:line="360" w:lineRule="auto"/>
        <w:rPr>
          <w:rFonts w:hint="eastAsia"/>
          <w:sz w:val="28"/>
          <w:szCs w:val="28"/>
          <w:lang w:val="en-US" w:eastAsia="zh-CN"/>
        </w:rPr>
      </w:pPr>
      <w:r>
        <w:rPr>
          <w:rFonts w:hint="eastAsia" w:ascii="楷体" w:hAnsi="楷体" w:eastAsia="楷体" w:cs="楷体"/>
          <w:sz w:val="28"/>
          <w:szCs w:val="28"/>
          <w:lang w:val="en-US" w:eastAsia="zh-CN"/>
        </w:rPr>
        <w:t xml:space="preserve">             陶朝勋   田  东   孟一飞   蒲必宇</w:t>
      </w:r>
    </w:p>
    <w:p w14:paraId="1CFB22DF">
      <w:pPr>
        <w:rPr>
          <w:rFonts w:hint="eastAsia"/>
          <w:sz w:val="28"/>
          <w:szCs w:val="28"/>
          <w:lang w:val="en-US" w:eastAsia="zh-CN"/>
        </w:rPr>
      </w:pPr>
    </w:p>
    <w:p w14:paraId="3E86200F">
      <w:pPr>
        <w:spacing w:after="120" w:afterLines="50"/>
        <w:jc w:val="center"/>
        <w:rPr>
          <w:rFonts w:hint="eastAsia" w:ascii="宋体" w:hAnsi="宋体"/>
          <w:b/>
          <w:bCs/>
          <w:color w:val="000000" w:themeColor="text1"/>
          <w:sz w:val="32"/>
          <w:szCs w:val="32"/>
          <w:lang w:val="en-US" w:eastAsia="zh-CN"/>
          <w14:textFill>
            <w14:solidFill>
              <w14:schemeClr w14:val="tx1"/>
            </w14:solidFill>
          </w14:textFill>
        </w:rPr>
      </w:pPr>
      <w:r>
        <w:rPr>
          <w:rFonts w:hint="eastAsia" w:ascii="宋体" w:hAnsi="宋体" w:eastAsia="宋体" w:cs="Times New Roman"/>
          <w:b/>
          <w:bCs/>
          <w:color w:val="000000" w:themeColor="text1"/>
          <w:spacing w:val="0"/>
          <w:sz w:val="32"/>
          <w:szCs w:val="32"/>
          <w:lang w:val="en-US" w:eastAsia="zh-CN"/>
          <w14:textFill>
            <w14:solidFill>
              <w14:schemeClr w14:val="tx1"/>
            </w14:solidFill>
          </w14:textFill>
        </w:rPr>
        <w:t>编</w:t>
      </w:r>
      <w:r>
        <w:rPr>
          <w:rFonts w:hint="eastAsia" w:ascii="宋体" w:hAnsi="宋体" w:cs="Times New Roman"/>
          <w:b/>
          <w:bCs/>
          <w:color w:val="000000" w:themeColor="text1"/>
          <w:spacing w:val="0"/>
          <w:sz w:val="32"/>
          <w:szCs w:val="32"/>
          <w:lang w:val="en-US" w:eastAsia="zh-CN"/>
          <w14:textFill>
            <w14:solidFill>
              <w14:schemeClr w14:val="tx1"/>
            </w14:solidFill>
          </w14:textFill>
        </w:rPr>
        <w:t xml:space="preserve"> </w:t>
      </w:r>
      <w:r>
        <w:rPr>
          <w:rFonts w:hint="eastAsia" w:ascii="宋体" w:hAnsi="宋体" w:eastAsia="宋体" w:cs="Times New Roman"/>
          <w:b/>
          <w:bCs/>
          <w:color w:val="000000" w:themeColor="text1"/>
          <w:spacing w:val="0"/>
          <w:sz w:val="32"/>
          <w:szCs w:val="32"/>
          <w:lang w:val="en-US" w:eastAsia="zh-CN"/>
          <w14:textFill>
            <w14:solidFill>
              <w14:schemeClr w14:val="tx1"/>
            </w14:solidFill>
          </w14:textFill>
        </w:rPr>
        <w:t>写</w:t>
      </w:r>
      <w:r>
        <w:rPr>
          <w:rFonts w:hint="eastAsia" w:ascii="宋体" w:hAnsi="宋体" w:cs="Times New Roman"/>
          <w:b/>
          <w:bCs/>
          <w:color w:val="000000" w:themeColor="text1"/>
          <w:spacing w:val="0"/>
          <w:sz w:val="32"/>
          <w:szCs w:val="32"/>
          <w:lang w:val="en-US" w:eastAsia="zh-CN"/>
          <w14:textFill>
            <w14:solidFill>
              <w14:schemeClr w14:val="tx1"/>
            </w14:solidFill>
          </w14:textFill>
        </w:rPr>
        <w:t xml:space="preserve"> </w:t>
      </w:r>
      <w:r>
        <w:rPr>
          <w:rFonts w:hint="eastAsia" w:ascii="宋体" w:hAnsi="宋体" w:eastAsia="宋体" w:cs="Times New Roman"/>
          <w:b/>
          <w:bCs/>
          <w:color w:val="000000" w:themeColor="text1"/>
          <w:spacing w:val="0"/>
          <w:sz w:val="32"/>
          <w:szCs w:val="32"/>
          <w:lang w:val="en-US" w:eastAsia="zh-CN"/>
          <w14:textFill>
            <w14:solidFill>
              <w14:schemeClr w14:val="tx1"/>
            </w14:solidFill>
          </w14:textFill>
        </w:rPr>
        <w:t>人</w:t>
      </w:r>
      <w:r>
        <w:rPr>
          <w:rFonts w:hint="eastAsia" w:ascii="宋体" w:hAnsi="宋体" w:cs="Times New Roman"/>
          <w:b/>
          <w:bCs/>
          <w:color w:val="000000" w:themeColor="text1"/>
          <w:spacing w:val="0"/>
          <w:sz w:val="32"/>
          <w:szCs w:val="32"/>
          <w:lang w:val="en-US" w:eastAsia="zh-CN"/>
          <w14:textFill>
            <w14:solidFill>
              <w14:schemeClr w14:val="tx1"/>
            </w14:solidFill>
          </w14:textFill>
        </w:rPr>
        <w:t xml:space="preserve"> </w:t>
      </w:r>
      <w:r>
        <w:rPr>
          <w:rFonts w:hint="eastAsia" w:ascii="宋体" w:hAnsi="宋体" w:eastAsia="宋体" w:cs="Times New Roman"/>
          <w:b/>
          <w:bCs/>
          <w:color w:val="000000" w:themeColor="text1"/>
          <w:spacing w:val="0"/>
          <w:sz w:val="32"/>
          <w:szCs w:val="32"/>
          <w:lang w:val="en-US" w:eastAsia="zh-CN"/>
          <w14:textFill>
            <w14:solidFill>
              <w14:schemeClr w14:val="tx1"/>
            </w14:solidFill>
          </w14:textFill>
        </w:rPr>
        <w:t>员</w:t>
      </w:r>
    </w:p>
    <w:p w14:paraId="2FB0C7AC">
      <w:pPr>
        <w:rPr>
          <w:rFonts w:hint="eastAsia"/>
          <w:sz w:val="28"/>
          <w:szCs w:val="28"/>
          <w:lang w:val="en-US" w:eastAsia="zh-CN"/>
        </w:rPr>
      </w:pPr>
    </w:p>
    <w:p w14:paraId="62C74D62">
      <w:pPr>
        <w:pStyle w:val="2"/>
        <w:rPr>
          <w:rFonts w:hint="eastAsia"/>
          <w:lang w:val="en-US" w:eastAsia="zh-CN"/>
        </w:rPr>
      </w:pPr>
    </w:p>
    <w:p w14:paraId="3E3BAEF1">
      <w:pPr>
        <w:spacing w:line="360" w:lineRule="auto"/>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主      编：</w:t>
      </w:r>
      <w:r>
        <w:rPr>
          <w:rFonts w:hint="eastAsia" w:ascii="楷体" w:hAnsi="楷体" w:eastAsia="楷体" w:cs="楷体"/>
          <w:kern w:val="2"/>
          <w:sz w:val="28"/>
          <w:szCs w:val="28"/>
          <w:lang w:val="en-US" w:eastAsia="zh-CN" w:bidi="ar"/>
        </w:rPr>
        <w:t>赵  鹏</w:t>
      </w:r>
      <w:r>
        <w:rPr>
          <w:rFonts w:hint="eastAsia" w:ascii="楷体" w:hAnsi="楷体" w:eastAsia="楷体" w:cs="楷体"/>
          <w:sz w:val="28"/>
          <w:szCs w:val="28"/>
          <w:lang w:val="en-US" w:eastAsia="zh-CN"/>
        </w:rPr>
        <w:t xml:space="preserve">   邢丽文   王爱梅   戚  吉   李  娟</w:t>
      </w:r>
    </w:p>
    <w:p w14:paraId="5169EEA0">
      <w:pPr>
        <w:spacing w:line="360" w:lineRule="auto"/>
        <w:jc w:val="left"/>
        <w:rPr>
          <w:rFonts w:hint="eastAsia" w:ascii="楷体" w:hAnsi="楷体" w:eastAsia="楷体" w:cs="楷体"/>
          <w:kern w:val="2"/>
          <w:sz w:val="28"/>
          <w:szCs w:val="28"/>
          <w:lang w:val="en-US" w:eastAsia="zh-CN" w:bidi="ar"/>
        </w:rPr>
      </w:pPr>
      <w:r>
        <w:rPr>
          <w:rFonts w:hint="eastAsia" w:ascii="黑体" w:hAnsi="黑体" w:eastAsia="黑体"/>
          <w:color w:val="000000" w:themeColor="text1"/>
          <w:spacing w:val="51"/>
          <w:sz w:val="28"/>
          <w:szCs w:val="28"/>
          <w:lang w:val="en-US" w:eastAsia="zh-CN"/>
          <w14:textFill>
            <w14:solidFill>
              <w14:schemeClr w14:val="tx1"/>
            </w14:solidFill>
          </w14:textFill>
        </w:rPr>
        <w:t>编写人</w:t>
      </w:r>
      <w:r>
        <w:rPr>
          <w:rFonts w:hint="eastAsia" w:ascii="黑体" w:hAnsi="黑体" w:eastAsia="黑体" w:cs="Times New Roman"/>
          <w:color w:val="000000" w:themeColor="text1"/>
          <w:spacing w:val="0"/>
          <w:sz w:val="28"/>
          <w:szCs w:val="28"/>
          <w:lang w:val="en-US" w:eastAsia="zh-CN"/>
          <w14:textFill>
            <w14:solidFill>
              <w14:schemeClr w14:val="tx1"/>
            </w14:solidFill>
          </w14:textFill>
        </w:rPr>
        <w:t>员</w:t>
      </w:r>
      <w:r>
        <w:rPr>
          <w:rFonts w:hint="eastAsia" w:ascii="黑体" w:hAnsi="黑体" w:eastAsia="黑体" w:cs="Times New Roman"/>
          <w:color w:val="000000" w:themeColor="text1"/>
          <w:spacing w:val="0"/>
          <w:kern w:val="2"/>
          <w:sz w:val="28"/>
          <w:szCs w:val="28"/>
          <w:lang w:eastAsia="zh-CN"/>
          <w14:textFill>
            <w14:solidFill>
              <w14:schemeClr w14:val="tx1"/>
            </w14:solidFill>
          </w14:textFill>
        </w:rPr>
        <w:t>：</w:t>
      </w:r>
      <w:r>
        <w:rPr>
          <w:rFonts w:hint="eastAsia" w:ascii="楷体" w:hAnsi="楷体" w:eastAsia="楷体" w:cs="楷体"/>
          <w:sz w:val="28"/>
          <w:szCs w:val="28"/>
          <w:lang w:val="en-US" w:eastAsia="zh-CN" w:bidi="ar"/>
        </w:rPr>
        <w:t xml:space="preserve">龙旭东   易铁丁   寇吉汉   </w:t>
      </w:r>
      <w:r>
        <w:rPr>
          <w:rFonts w:hint="eastAsia" w:ascii="楷体" w:hAnsi="楷体" w:eastAsia="楷体" w:cs="楷体"/>
          <w:kern w:val="2"/>
          <w:sz w:val="28"/>
          <w:szCs w:val="28"/>
          <w:lang w:val="en-US" w:eastAsia="zh-CN" w:bidi="ar"/>
        </w:rPr>
        <w:t xml:space="preserve">张  磊   韩科文  </w:t>
      </w:r>
    </w:p>
    <w:p w14:paraId="562650A3">
      <w:pPr>
        <w:pStyle w:val="276"/>
        <w:spacing w:line="360" w:lineRule="auto"/>
        <w:ind w:firstLine="1680" w:firstLineChars="600"/>
        <w:jc w:val="both"/>
        <w:rPr>
          <w:rFonts w:hint="default" w:ascii="楷体" w:hAnsi="楷体" w:eastAsia="楷体" w:cs="楷体"/>
          <w:b w:val="0"/>
          <w:sz w:val="28"/>
          <w:szCs w:val="28"/>
          <w:lang w:val="en-US" w:bidi="ar"/>
        </w:rPr>
      </w:pPr>
      <w:r>
        <w:rPr>
          <w:rFonts w:hint="eastAsia" w:ascii="楷体" w:hAnsi="楷体" w:eastAsia="楷体" w:cs="楷体"/>
          <w:kern w:val="2"/>
          <w:sz w:val="28"/>
          <w:szCs w:val="28"/>
          <w:lang w:val="en-US" w:eastAsia="zh-CN" w:bidi="ar"/>
        </w:rPr>
        <w:t>李  柯   吴  鸿</w:t>
      </w:r>
    </w:p>
    <w:p w14:paraId="2E58AA16">
      <w:pPr>
        <w:rPr>
          <w:rFonts w:hint="eastAsia" w:ascii="黑体" w:hAnsi="黑体" w:eastAsia="黑体" w:cs="黑体"/>
          <w:spacing w:val="28"/>
          <w:kern w:val="3"/>
          <w:sz w:val="28"/>
          <w:szCs w:val="28"/>
          <w:lang w:eastAsia="zh-CN"/>
        </w:rPr>
      </w:pPr>
    </w:p>
    <w:p w14:paraId="796FFE0D">
      <w:pPr>
        <w:pStyle w:val="2"/>
        <w:rPr>
          <w:rFonts w:hint="eastAsia"/>
          <w:lang w:eastAsia="zh-CN"/>
        </w:rPr>
      </w:pPr>
    </w:p>
    <w:p w14:paraId="2D7B0778">
      <w:pPr>
        <w:spacing w:line="360" w:lineRule="auto"/>
        <w:jc w:val="left"/>
        <w:rPr>
          <w:rFonts w:hint="eastAsia"/>
          <w:sz w:val="28"/>
          <w:szCs w:val="28"/>
          <w:lang w:eastAsia="zh-CN"/>
        </w:rPr>
      </w:pPr>
      <w:r>
        <w:rPr>
          <w:rFonts w:hint="eastAsia" w:ascii="黑体" w:hAnsi="黑体" w:eastAsia="黑体"/>
          <w:color w:val="000000" w:themeColor="text1"/>
          <w:spacing w:val="51"/>
          <w:sz w:val="28"/>
          <w:szCs w:val="28"/>
          <w:lang w:val="en-US" w:eastAsia="zh-CN"/>
          <w14:textFill>
            <w14:solidFill>
              <w14:schemeClr w14:val="tx1"/>
            </w14:solidFill>
          </w14:textFill>
        </w:rPr>
        <w:t>编制单</w:t>
      </w:r>
      <w:r>
        <w:rPr>
          <w:rFonts w:hint="eastAsia" w:ascii="黑体" w:hAnsi="黑体" w:eastAsia="黑体" w:cs="Times New Roman"/>
          <w:color w:val="000000" w:themeColor="text1"/>
          <w:spacing w:val="0"/>
          <w:sz w:val="28"/>
          <w:szCs w:val="28"/>
          <w:lang w:val="en-US" w:eastAsia="zh-CN"/>
          <w14:textFill>
            <w14:solidFill>
              <w14:schemeClr w14:val="tx1"/>
            </w14:solidFill>
          </w14:textFill>
        </w:rPr>
        <w:t>位</w:t>
      </w:r>
      <w:r>
        <w:rPr>
          <w:rFonts w:hint="eastAsia" w:ascii="黑体" w:hAnsi="黑体" w:eastAsia="黑体" w:cs="Times New Roman"/>
          <w:color w:val="000000" w:themeColor="text1"/>
          <w:spacing w:val="0"/>
          <w:kern w:val="2"/>
          <w:sz w:val="28"/>
          <w:szCs w:val="28"/>
          <w:lang w:eastAsia="zh-CN"/>
          <w14:textFill>
            <w14:solidFill>
              <w14:schemeClr w14:val="tx1"/>
            </w14:solidFill>
          </w14:textFill>
        </w:rPr>
        <w:t>：</w:t>
      </w:r>
      <w:r>
        <w:rPr>
          <w:rFonts w:hint="eastAsia" w:ascii="楷体" w:hAnsi="楷体" w:eastAsia="楷体" w:cs="楷体"/>
          <w:sz w:val="28"/>
          <w:szCs w:val="28"/>
          <w:lang w:eastAsia="zh-CN"/>
        </w:rPr>
        <w:t>四川省交通运输厅</w:t>
      </w:r>
    </w:p>
    <w:p w14:paraId="06863EC4">
      <w:pPr>
        <w:spacing w:line="360" w:lineRule="auto"/>
        <w:ind w:firstLine="1680" w:firstLineChars="600"/>
        <w:jc w:val="left"/>
        <w:rPr>
          <w:rFonts w:hint="eastAsia" w:ascii="楷体" w:hAnsi="楷体" w:eastAsia="楷体" w:cs="楷体"/>
          <w:sz w:val="28"/>
          <w:szCs w:val="28"/>
          <w:lang w:eastAsia="zh-CN"/>
        </w:rPr>
      </w:pPr>
      <w:r>
        <w:rPr>
          <w:rFonts w:hint="eastAsia" w:ascii="楷体" w:hAnsi="楷体" w:eastAsia="楷体" w:cs="楷体"/>
          <w:sz w:val="28"/>
          <w:szCs w:val="28"/>
          <w:lang w:eastAsia="zh-CN"/>
        </w:rPr>
        <w:t>四川省交通运输厅公路局</w:t>
      </w:r>
    </w:p>
    <w:p w14:paraId="54B2CCBF">
      <w:pPr>
        <w:pStyle w:val="276"/>
        <w:spacing w:line="360" w:lineRule="auto"/>
        <w:ind w:firstLine="1680" w:firstLineChars="600"/>
        <w:jc w:val="both"/>
        <w:rPr>
          <w:rFonts w:ascii="宋体" w:hAnsi="宋体" w:cs="宋体"/>
          <w:b/>
          <w:color w:val="auto"/>
          <w:sz w:val="32"/>
          <w:szCs w:val="32"/>
          <w:highlight w:val="none"/>
        </w:rPr>
      </w:pPr>
      <w:r>
        <w:rPr>
          <w:rFonts w:hint="eastAsia" w:ascii="楷体" w:hAnsi="楷体" w:eastAsia="楷体" w:cs="楷体"/>
          <w:sz w:val="28"/>
          <w:szCs w:val="28"/>
          <w:lang w:eastAsia="zh-CN"/>
        </w:rPr>
        <w:t>四川省川交公路工程咨询有限公司</w:t>
      </w:r>
    </w:p>
    <w:p w14:paraId="7536458B">
      <w:pPr>
        <w:rPr>
          <w:rFonts w:hint="eastAsia" w:ascii="黑体" w:hAnsi="黑体" w:eastAsia="黑体" w:cs="宋体"/>
          <w:color w:val="auto"/>
          <w:sz w:val="44"/>
          <w:szCs w:val="44"/>
          <w:highlight w:val="none"/>
        </w:rPr>
      </w:pPr>
      <w:r>
        <w:rPr>
          <w:rFonts w:hint="eastAsia" w:ascii="黑体" w:hAnsi="黑体" w:eastAsia="黑体" w:cs="宋体"/>
          <w:color w:val="auto"/>
          <w:sz w:val="44"/>
          <w:szCs w:val="44"/>
          <w:highlight w:val="none"/>
        </w:rPr>
        <w:br w:type="page"/>
      </w:r>
    </w:p>
    <w:p w14:paraId="7C2822F8">
      <w:pPr>
        <w:pStyle w:val="276"/>
        <w:spacing w:line="360" w:lineRule="auto"/>
        <w:jc w:val="center"/>
        <w:rPr>
          <w:rFonts w:ascii="黑体" w:hAnsi="黑体" w:eastAsia="黑体" w:cs="宋体"/>
          <w:color w:val="auto"/>
          <w:sz w:val="44"/>
          <w:szCs w:val="44"/>
          <w:highlight w:val="none"/>
        </w:rPr>
      </w:pPr>
      <w:r>
        <w:rPr>
          <w:rFonts w:hint="eastAsia" w:ascii="黑体" w:hAnsi="黑体" w:eastAsia="黑体" w:cs="宋体"/>
          <w:color w:val="auto"/>
          <w:sz w:val="44"/>
          <w:szCs w:val="44"/>
          <w:highlight w:val="none"/>
        </w:rPr>
        <w:t>使</w:t>
      </w:r>
      <w:r>
        <w:rPr>
          <w:rFonts w:ascii="黑体" w:hAnsi="黑体" w:eastAsia="黑体" w:cs="宋体"/>
          <w:color w:val="auto"/>
          <w:sz w:val="44"/>
          <w:szCs w:val="44"/>
          <w:highlight w:val="none"/>
        </w:rPr>
        <w:t xml:space="preserve"> </w:t>
      </w:r>
      <w:r>
        <w:rPr>
          <w:rFonts w:hint="eastAsia" w:ascii="黑体" w:hAnsi="黑体" w:eastAsia="黑体" w:cs="宋体"/>
          <w:color w:val="auto"/>
          <w:sz w:val="44"/>
          <w:szCs w:val="44"/>
          <w:highlight w:val="none"/>
        </w:rPr>
        <w:t>用</w:t>
      </w:r>
      <w:r>
        <w:rPr>
          <w:rFonts w:ascii="黑体" w:hAnsi="黑体" w:eastAsia="黑体" w:cs="宋体"/>
          <w:color w:val="auto"/>
          <w:sz w:val="44"/>
          <w:szCs w:val="44"/>
          <w:highlight w:val="none"/>
        </w:rPr>
        <w:t xml:space="preserve"> </w:t>
      </w:r>
      <w:r>
        <w:rPr>
          <w:rFonts w:hint="eastAsia" w:ascii="黑体" w:hAnsi="黑体" w:eastAsia="黑体" w:cs="宋体"/>
          <w:color w:val="auto"/>
          <w:sz w:val="44"/>
          <w:szCs w:val="44"/>
          <w:highlight w:val="none"/>
        </w:rPr>
        <w:t>说</w:t>
      </w:r>
      <w:r>
        <w:rPr>
          <w:rFonts w:ascii="黑体" w:hAnsi="黑体" w:eastAsia="黑体" w:cs="宋体"/>
          <w:color w:val="auto"/>
          <w:sz w:val="44"/>
          <w:szCs w:val="44"/>
          <w:highlight w:val="none"/>
        </w:rPr>
        <w:t xml:space="preserve"> </w:t>
      </w:r>
      <w:r>
        <w:rPr>
          <w:rFonts w:hint="eastAsia" w:ascii="黑体" w:hAnsi="黑体" w:eastAsia="黑体" w:cs="宋体"/>
          <w:color w:val="auto"/>
          <w:sz w:val="44"/>
          <w:szCs w:val="44"/>
          <w:highlight w:val="none"/>
        </w:rPr>
        <w:t>明</w:t>
      </w:r>
    </w:p>
    <w:p w14:paraId="6B9AD005">
      <w:pPr>
        <w:pStyle w:val="276"/>
        <w:spacing w:line="360" w:lineRule="auto"/>
        <w:ind w:firstLine="480" w:firstLineChars="200"/>
        <w:rPr>
          <w:rFonts w:ascii="宋体" w:hAnsi="宋体" w:cs="宋体"/>
          <w:color w:val="auto"/>
          <w:sz w:val="24"/>
          <w:highlight w:val="none"/>
        </w:rPr>
      </w:pPr>
    </w:p>
    <w:p w14:paraId="6BF0C861">
      <w:pPr>
        <w:pStyle w:val="276"/>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一、为加强四川省普通公路工程电子招标管理，规范招标文件编制工作，四川省交通运输厅组织</w:t>
      </w:r>
      <w:r>
        <w:rPr>
          <w:rFonts w:ascii="仿宋" w:hAnsi="仿宋" w:eastAsia="仿宋" w:cs="宋体"/>
          <w:color w:val="auto"/>
          <w:sz w:val="24"/>
          <w:highlight w:val="none"/>
        </w:rPr>
        <w:t>四川省交通运输厅</w:t>
      </w:r>
      <w:r>
        <w:rPr>
          <w:rFonts w:hint="eastAsia" w:ascii="仿宋" w:hAnsi="仿宋" w:eastAsia="仿宋" w:cs="宋体"/>
          <w:color w:val="auto"/>
          <w:sz w:val="24"/>
          <w:highlight w:val="none"/>
        </w:rPr>
        <w:t>公路局</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四川省川交公路工程咨询有限公司编制并经审定形成了《四川省普通公路工程电子招标标准监理试验室招标文件》（</w:t>
      </w:r>
      <w:r>
        <w:rPr>
          <w:rFonts w:ascii="仿宋" w:hAnsi="仿宋" w:eastAsia="仿宋" w:cs="宋体"/>
          <w:color w:val="auto"/>
          <w:sz w:val="24"/>
          <w:highlight w:val="none"/>
        </w:rPr>
        <w:t>202</w:t>
      </w:r>
      <w:r>
        <w:rPr>
          <w:rFonts w:hint="eastAsia" w:ascii="仿宋" w:hAnsi="仿宋" w:eastAsia="仿宋" w:cs="宋体"/>
          <w:color w:val="auto"/>
          <w:sz w:val="24"/>
          <w:highlight w:val="none"/>
          <w:lang w:val="en-US" w:eastAsia="zh-CN"/>
        </w:rPr>
        <w:t>4</w:t>
      </w:r>
      <w:r>
        <w:rPr>
          <w:rFonts w:hint="eastAsia" w:ascii="仿宋" w:hAnsi="仿宋" w:eastAsia="仿宋" w:cs="宋体"/>
          <w:color w:val="auto"/>
          <w:sz w:val="24"/>
          <w:highlight w:val="none"/>
        </w:rPr>
        <w:t>年版）（以下简称《</w:t>
      </w:r>
      <w:r>
        <w:rPr>
          <w:rFonts w:hint="eastAsia" w:ascii="仿宋" w:hAnsi="仿宋" w:eastAsia="仿宋" w:cs="宋体"/>
          <w:color w:val="auto"/>
          <w:sz w:val="24"/>
          <w:highlight w:val="none"/>
          <w:lang w:eastAsia="zh-CN"/>
        </w:rPr>
        <w:t>普通公路标准文件</w:t>
      </w:r>
      <w:r>
        <w:rPr>
          <w:rFonts w:hint="eastAsia" w:ascii="仿宋" w:hAnsi="仿宋" w:eastAsia="仿宋" w:cs="宋体"/>
          <w:color w:val="auto"/>
          <w:sz w:val="24"/>
          <w:highlight w:val="none"/>
        </w:rPr>
        <w:t>》）。</w:t>
      </w:r>
    </w:p>
    <w:p w14:paraId="63F18C8F">
      <w:pPr>
        <w:pStyle w:val="276"/>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二、《</w:t>
      </w:r>
      <w:r>
        <w:rPr>
          <w:rFonts w:hint="eastAsia" w:ascii="仿宋" w:hAnsi="仿宋" w:eastAsia="仿宋" w:cs="宋体"/>
          <w:color w:val="auto"/>
          <w:sz w:val="24"/>
          <w:highlight w:val="none"/>
          <w:lang w:eastAsia="zh-CN"/>
        </w:rPr>
        <w:t>普通公路标准文件</w:t>
      </w:r>
      <w:r>
        <w:rPr>
          <w:rFonts w:hint="eastAsia" w:ascii="仿宋" w:hAnsi="仿宋" w:eastAsia="仿宋" w:cs="宋体"/>
          <w:color w:val="auto"/>
          <w:sz w:val="24"/>
          <w:highlight w:val="none"/>
        </w:rPr>
        <w:t>》以《</w:t>
      </w:r>
      <w:r>
        <w:rPr>
          <w:rFonts w:hint="eastAsia" w:ascii="仿宋" w:hAnsi="仿宋" w:eastAsia="仿宋" w:cs="宋体"/>
          <w:color w:val="auto"/>
          <w:sz w:val="24"/>
          <w:highlight w:val="none"/>
          <w:lang w:val="en-US" w:eastAsia="zh-CN"/>
        </w:rPr>
        <w:t>中华人民共和国</w:t>
      </w:r>
      <w:r>
        <w:rPr>
          <w:rFonts w:hint="eastAsia" w:ascii="仿宋" w:hAnsi="仿宋" w:eastAsia="仿宋" w:cs="宋体"/>
          <w:color w:val="auto"/>
          <w:sz w:val="24"/>
          <w:highlight w:val="none"/>
        </w:rPr>
        <w:t>标准监理招标文件》（</w:t>
      </w:r>
      <w:r>
        <w:rPr>
          <w:rFonts w:ascii="仿宋" w:hAnsi="仿宋" w:eastAsia="仿宋" w:cs="宋体"/>
          <w:color w:val="auto"/>
          <w:sz w:val="24"/>
          <w:highlight w:val="none"/>
        </w:rPr>
        <w:t>2017年版）、交通运输部《公路工程标准施工监理招标文件》（2018年版）为基础，以《中华人民共和国招标投标法》《中华人民共和国招标投标法实施条例》</w:t>
      </w:r>
      <w:r>
        <w:rPr>
          <w:rFonts w:hint="eastAsia" w:ascii="仿宋" w:hAnsi="仿宋" w:eastAsia="仿宋" w:cs="宋体"/>
          <w:color w:val="auto"/>
          <w:sz w:val="24"/>
          <w:highlight w:val="none"/>
          <w:lang w:eastAsia="zh-CN"/>
        </w:rPr>
        <w:t>、</w:t>
      </w:r>
      <w:r>
        <w:rPr>
          <w:rFonts w:hint="eastAsia" w:ascii="仿宋" w:hAnsi="仿宋" w:eastAsia="仿宋" w:cs="Times New Roman"/>
          <w:b w:val="0"/>
          <w:bCs w:val="0"/>
          <w:color w:val="auto"/>
          <w:kern w:val="2"/>
          <w:sz w:val="24"/>
          <w:szCs w:val="24"/>
          <w:highlight w:val="none"/>
        </w:rPr>
        <w:t>《电子招标投标办法》（20</w:t>
      </w:r>
      <w:r>
        <w:rPr>
          <w:rFonts w:hint="eastAsia" w:ascii="仿宋" w:hAnsi="仿宋" w:eastAsia="仿宋" w:cs="Times New Roman"/>
          <w:b w:val="0"/>
          <w:bCs w:val="0"/>
          <w:color w:val="auto"/>
          <w:kern w:val="2"/>
          <w:sz w:val="24"/>
          <w:szCs w:val="24"/>
          <w:highlight w:val="none"/>
          <w:lang w:val="en-US" w:eastAsia="zh-CN"/>
        </w:rPr>
        <w:t>13</w:t>
      </w:r>
      <w:r>
        <w:rPr>
          <w:rFonts w:hint="eastAsia" w:ascii="仿宋" w:hAnsi="仿宋" w:eastAsia="仿宋" w:cs="Times New Roman"/>
          <w:b w:val="0"/>
          <w:bCs w:val="0"/>
          <w:color w:val="auto"/>
          <w:kern w:val="2"/>
          <w:sz w:val="24"/>
          <w:szCs w:val="24"/>
          <w:highlight w:val="none"/>
        </w:rPr>
        <w:t>年2月4日 国家发展和改革委员会 工业和信息化部 监察部 住房和城乡建设部 交通运输部 铁道部 水利部 商务部令第20号）</w:t>
      </w:r>
      <w:r>
        <w:rPr>
          <w:rFonts w:hint="eastAsia" w:ascii="仿宋" w:hAnsi="仿宋" w:eastAsia="仿宋" w:cs="Times New Roman"/>
          <w:b w:val="0"/>
          <w:bCs w:val="0"/>
          <w:color w:val="auto"/>
          <w:kern w:val="2"/>
          <w:sz w:val="24"/>
          <w:szCs w:val="24"/>
          <w:highlight w:val="none"/>
          <w:lang w:eastAsia="zh-CN"/>
        </w:rPr>
        <w:t>、</w:t>
      </w:r>
      <w:r>
        <w:rPr>
          <w:rFonts w:ascii="仿宋" w:hAnsi="仿宋" w:eastAsia="仿宋" w:cs="宋体"/>
          <w:color w:val="auto"/>
          <w:sz w:val="24"/>
          <w:highlight w:val="none"/>
        </w:rPr>
        <w:t xml:space="preserve">《公路工程建设项目招标投标管理办法》（交通运输部令2015 </w:t>
      </w:r>
      <w:r>
        <w:rPr>
          <w:rFonts w:hint="eastAsia" w:ascii="仿宋" w:hAnsi="仿宋" w:eastAsia="仿宋" w:cs="宋体"/>
          <w:color w:val="auto"/>
          <w:sz w:val="24"/>
          <w:highlight w:val="none"/>
        </w:rPr>
        <w:t>年第</w:t>
      </w:r>
      <w:r>
        <w:rPr>
          <w:rFonts w:ascii="仿宋" w:hAnsi="仿宋" w:eastAsia="仿宋" w:cs="宋体"/>
          <w:color w:val="auto"/>
          <w:sz w:val="24"/>
          <w:highlight w:val="none"/>
        </w:rPr>
        <w:t xml:space="preserve">24 </w:t>
      </w:r>
      <w:r>
        <w:rPr>
          <w:rFonts w:hint="eastAsia" w:ascii="仿宋" w:hAnsi="仿宋" w:eastAsia="仿宋" w:cs="宋体"/>
          <w:color w:val="auto"/>
          <w:sz w:val="24"/>
          <w:highlight w:val="none"/>
        </w:rPr>
        <w:t>号）、交通运输部《公路工程建设项目评标工作细则》（交公路规〔2022〕8号</w:t>
      </w:r>
      <w:r>
        <w:rPr>
          <w:rFonts w:ascii="仿宋" w:hAnsi="仿宋" w:eastAsia="仿宋" w:cs="宋体"/>
          <w:color w:val="auto"/>
          <w:sz w:val="24"/>
          <w:highlight w:val="none"/>
        </w:rPr>
        <w:t>）、</w:t>
      </w:r>
      <w:r>
        <w:rPr>
          <w:rFonts w:hint="eastAsia" w:ascii="仿宋" w:hAnsi="仿宋" w:eastAsia="仿宋" w:cs="Times New Roman"/>
          <w:b w:val="0"/>
          <w:bCs w:val="0"/>
          <w:color w:val="auto"/>
          <w:kern w:val="2"/>
          <w:sz w:val="24"/>
          <w:szCs w:val="24"/>
          <w:highlight w:val="none"/>
          <w:shd w:val="clear" w:color="auto" w:fill="FFFFFF"/>
        </w:rPr>
        <w:t>《四川省农村公路条例》</w:t>
      </w:r>
      <w:r>
        <w:rPr>
          <w:rFonts w:hint="eastAsia" w:ascii="仿宋" w:hAnsi="仿宋" w:eastAsia="仿宋" w:cs="Times New Roman"/>
          <w:b w:val="0"/>
          <w:bCs w:val="0"/>
          <w:color w:val="auto"/>
          <w:kern w:val="2"/>
          <w:sz w:val="24"/>
          <w:szCs w:val="24"/>
          <w:highlight w:val="none"/>
          <w:shd w:val="clear" w:color="auto" w:fill="FFFFFF"/>
          <w:lang w:eastAsia="zh-CN"/>
        </w:rPr>
        <w:t>（</w:t>
      </w:r>
      <w:r>
        <w:rPr>
          <w:rStyle w:val="50"/>
          <w:rFonts w:hint="eastAsia" w:ascii="仿宋" w:hAnsi="仿宋" w:eastAsia="仿宋" w:cs="Times New Roman"/>
          <w:b w:val="0"/>
          <w:bCs w:val="0"/>
          <w:i w:val="0"/>
          <w:iCs w:val="0"/>
          <w:caps w:val="0"/>
          <w:color w:val="auto"/>
          <w:spacing w:val="0"/>
          <w:kern w:val="2"/>
          <w:sz w:val="24"/>
          <w:szCs w:val="24"/>
          <w:highlight w:val="none"/>
          <w:shd w:val="clear" w:fill="FFFFFF"/>
        </w:rPr>
        <w:t>四川省第十二届人民代表大会常务委员会公告</w:t>
      </w:r>
      <w:r>
        <w:rPr>
          <w:rFonts w:hint="eastAsia" w:ascii="仿宋" w:hAnsi="仿宋" w:eastAsia="仿宋" w:cs="Times New Roman"/>
          <w:b w:val="0"/>
          <w:bCs w:val="0"/>
          <w:i w:val="0"/>
          <w:iCs w:val="0"/>
          <w:caps w:val="0"/>
          <w:color w:val="auto"/>
          <w:spacing w:val="0"/>
          <w:kern w:val="2"/>
          <w:sz w:val="24"/>
          <w:szCs w:val="24"/>
          <w:highlight w:val="none"/>
          <w:shd w:val="clear" w:fill="FFFFFF"/>
        </w:rPr>
        <w:t>第89号</w:t>
      </w:r>
      <w:r>
        <w:rPr>
          <w:rFonts w:hint="eastAsia" w:ascii="仿宋" w:hAnsi="仿宋" w:eastAsia="仿宋" w:cs="Times New Roman"/>
          <w:b w:val="0"/>
          <w:bCs w:val="0"/>
          <w:i w:val="0"/>
          <w:iCs w:val="0"/>
          <w:caps w:val="0"/>
          <w:color w:val="auto"/>
          <w:spacing w:val="0"/>
          <w:kern w:val="2"/>
          <w:sz w:val="24"/>
          <w:szCs w:val="24"/>
          <w:highlight w:val="none"/>
          <w:shd w:val="clear"/>
          <w:lang w:eastAsia="zh-CN"/>
        </w:rPr>
        <w:t>）</w:t>
      </w:r>
      <w:r>
        <w:rPr>
          <w:rFonts w:hint="eastAsia" w:ascii="仿宋" w:hAnsi="仿宋" w:eastAsia="仿宋" w:cs="Times New Roman"/>
          <w:b w:val="0"/>
          <w:bCs w:val="0"/>
          <w:i w:val="0"/>
          <w:iCs w:val="0"/>
          <w:caps w:val="0"/>
          <w:color w:val="auto"/>
          <w:spacing w:val="0"/>
          <w:kern w:val="2"/>
          <w:sz w:val="24"/>
          <w:szCs w:val="24"/>
          <w:highlight w:val="none"/>
          <w:shd w:val="clear" w:fill="FFFFFF"/>
          <w:lang w:eastAsia="zh-CN"/>
        </w:rPr>
        <w:t>、</w:t>
      </w:r>
      <w:r>
        <w:rPr>
          <w:rFonts w:hint="eastAsia" w:ascii="仿宋" w:hAnsi="仿宋" w:eastAsia="仿宋" w:cs="Times New Roman"/>
          <w:b w:val="0"/>
          <w:bCs w:val="0"/>
          <w:i w:val="0"/>
          <w:iCs w:val="0"/>
          <w:caps w:val="0"/>
          <w:color w:val="auto"/>
          <w:spacing w:val="0"/>
          <w:kern w:val="2"/>
          <w:sz w:val="24"/>
          <w:szCs w:val="24"/>
          <w:highlight w:val="none"/>
          <w:shd w:val="clear"/>
          <w:lang w:eastAsia="zh-CN"/>
        </w:rPr>
        <w:t>《</w:t>
      </w:r>
      <w:r>
        <w:rPr>
          <w:rFonts w:hint="eastAsia" w:ascii="仿宋" w:hAnsi="仿宋" w:eastAsia="仿宋" w:cs="Times New Roman"/>
          <w:b w:val="0"/>
          <w:bCs w:val="0"/>
          <w:i w:val="0"/>
          <w:iCs w:val="0"/>
          <w:caps w:val="0"/>
          <w:color w:val="auto"/>
          <w:spacing w:val="0"/>
          <w:kern w:val="2"/>
          <w:sz w:val="24"/>
          <w:szCs w:val="24"/>
          <w:highlight w:val="none"/>
        </w:rPr>
        <w:t>农村公路建设管理办法</w:t>
      </w:r>
      <w:r>
        <w:rPr>
          <w:rFonts w:hint="eastAsia" w:ascii="仿宋" w:hAnsi="仿宋" w:eastAsia="仿宋" w:cs="Times New Roman"/>
          <w:b w:val="0"/>
          <w:bCs w:val="0"/>
          <w:i w:val="0"/>
          <w:iCs w:val="0"/>
          <w:caps w:val="0"/>
          <w:color w:val="auto"/>
          <w:spacing w:val="0"/>
          <w:kern w:val="2"/>
          <w:sz w:val="24"/>
          <w:szCs w:val="24"/>
          <w:highlight w:val="none"/>
          <w:shd w:val="clear"/>
          <w:lang w:eastAsia="zh-CN"/>
        </w:rPr>
        <w:t>》</w:t>
      </w:r>
      <w:r>
        <w:rPr>
          <w:rFonts w:hint="eastAsia" w:ascii="仿宋" w:hAnsi="仿宋" w:eastAsia="仿宋" w:cs="Times New Roman"/>
          <w:b w:val="0"/>
          <w:bCs w:val="0"/>
          <w:i w:val="0"/>
          <w:iCs w:val="0"/>
          <w:caps w:val="0"/>
          <w:color w:val="auto"/>
          <w:spacing w:val="0"/>
          <w:kern w:val="2"/>
          <w:sz w:val="24"/>
          <w:szCs w:val="24"/>
          <w:highlight w:val="none"/>
        </w:rPr>
        <w:t>（交通运输部令2018年第4号）</w:t>
      </w:r>
      <w:r>
        <w:rPr>
          <w:rFonts w:hint="eastAsia" w:ascii="仿宋" w:hAnsi="仿宋" w:eastAsia="仿宋" w:cs="Times New Roman"/>
          <w:b w:val="0"/>
          <w:bCs w:val="0"/>
          <w:i w:val="0"/>
          <w:iCs w:val="0"/>
          <w:caps w:val="0"/>
          <w:color w:val="auto"/>
          <w:spacing w:val="0"/>
          <w:kern w:val="2"/>
          <w:sz w:val="24"/>
          <w:szCs w:val="24"/>
          <w:highlight w:val="none"/>
          <w:lang w:eastAsia="zh-CN"/>
        </w:rPr>
        <w:t>、</w:t>
      </w:r>
      <w:r>
        <w:rPr>
          <w:rFonts w:hint="eastAsia" w:ascii="仿宋" w:hAnsi="仿宋" w:eastAsia="仿宋" w:cs="Times New Roman"/>
          <w:b w:val="0"/>
          <w:bCs w:val="0"/>
          <w:i w:val="0"/>
          <w:iCs w:val="0"/>
          <w:caps w:val="0"/>
          <w:color w:val="auto"/>
          <w:spacing w:val="0"/>
          <w:kern w:val="2"/>
          <w:sz w:val="24"/>
          <w:szCs w:val="24"/>
          <w:highlight w:val="none"/>
          <w:shd w:val="clear" w:fill="FFFFFF"/>
        </w:rPr>
        <w:t>《</w:t>
      </w:r>
      <w:r>
        <w:rPr>
          <w:rFonts w:hint="eastAsia" w:ascii="仿宋" w:hAnsi="仿宋" w:eastAsia="仿宋" w:cs="Times New Roman"/>
          <w:b w:val="0"/>
          <w:bCs w:val="0"/>
          <w:i w:val="0"/>
          <w:iCs w:val="0"/>
          <w:caps w:val="0"/>
          <w:color w:val="auto"/>
          <w:spacing w:val="0"/>
          <w:kern w:val="2"/>
          <w:sz w:val="24"/>
          <w:szCs w:val="24"/>
          <w:highlight w:val="none"/>
          <w:u w:val="none"/>
          <w:shd w:val="clear" w:fill="FFFFFF"/>
        </w:rPr>
        <w:fldChar w:fldCharType="begin"/>
      </w:r>
      <w:r>
        <w:rPr>
          <w:rFonts w:hint="eastAsia" w:ascii="仿宋" w:hAnsi="仿宋" w:eastAsia="仿宋" w:cs="Times New Roman"/>
          <w:b w:val="0"/>
          <w:bCs w:val="0"/>
          <w:i w:val="0"/>
          <w:iCs w:val="0"/>
          <w:caps w:val="0"/>
          <w:color w:val="auto"/>
          <w:spacing w:val="0"/>
          <w:kern w:val="2"/>
          <w:sz w:val="24"/>
          <w:szCs w:val="24"/>
          <w:highlight w:val="none"/>
          <w:u w:val="none"/>
          <w:shd w:val="clear" w:fill="FFFFFF"/>
        </w:rPr>
        <w:instrText xml:space="preserve"> HYPERLINK "https://baike.so.com/doc/5397698-5635041.html" \t "https://baike.so.com/doc/_blank" </w:instrText>
      </w:r>
      <w:r>
        <w:rPr>
          <w:rFonts w:hint="eastAsia" w:ascii="仿宋" w:hAnsi="仿宋" w:eastAsia="仿宋" w:cs="Times New Roman"/>
          <w:b w:val="0"/>
          <w:bCs w:val="0"/>
          <w:i w:val="0"/>
          <w:iCs w:val="0"/>
          <w:caps w:val="0"/>
          <w:color w:val="auto"/>
          <w:spacing w:val="0"/>
          <w:kern w:val="2"/>
          <w:sz w:val="24"/>
          <w:szCs w:val="24"/>
          <w:highlight w:val="none"/>
          <w:u w:val="none"/>
          <w:shd w:val="clear" w:fill="FFFFFF"/>
        </w:rPr>
        <w:fldChar w:fldCharType="separate"/>
      </w:r>
      <w:r>
        <w:rPr>
          <w:rStyle w:val="50"/>
          <w:rFonts w:hint="eastAsia" w:ascii="仿宋" w:hAnsi="仿宋" w:eastAsia="仿宋" w:cs="Times New Roman"/>
          <w:b w:val="0"/>
          <w:bCs w:val="0"/>
          <w:i w:val="0"/>
          <w:iCs w:val="0"/>
          <w:caps w:val="0"/>
          <w:color w:val="auto"/>
          <w:spacing w:val="0"/>
          <w:kern w:val="2"/>
          <w:sz w:val="24"/>
          <w:szCs w:val="24"/>
          <w:highlight w:val="none"/>
          <w:u w:val="none"/>
          <w:shd w:val="clear" w:fill="FFFFFF"/>
        </w:rPr>
        <w:t>农村</w:t>
      </w:r>
      <w:r>
        <w:rPr>
          <w:rFonts w:hint="eastAsia" w:ascii="仿宋" w:hAnsi="仿宋" w:eastAsia="仿宋" w:cs="Times New Roman"/>
          <w:b w:val="0"/>
          <w:bCs w:val="0"/>
          <w:i w:val="0"/>
          <w:iCs w:val="0"/>
          <w:caps w:val="0"/>
          <w:color w:val="auto"/>
          <w:spacing w:val="0"/>
          <w:kern w:val="2"/>
          <w:sz w:val="24"/>
          <w:szCs w:val="24"/>
          <w:highlight w:val="none"/>
          <w:u w:val="none"/>
          <w:shd w:val="clear" w:fill="FFFFFF"/>
        </w:rPr>
        <w:fldChar w:fldCharType="end"/>
      </w:r>
      <w:r>
        <w:rPr>
          <w:rFonts w:hint="eastAsia" w:ascii="仿宋" w:hAnsi="仿宋" w:eastAsia="仿宋" w:cs="Times New Roman"/>
          <w:b w:val="0"/>
          <w:bCs w:val="0"/>
          <w:i w:val="0"/>
          <w:iCs w:val="0"/>
          <w:caps w:val="0"/>
          <w:color w:val="auto"/>
          <w:spacing w:val="0"/>
          <w:kern w:val="2"/>
          <w:sz w:val="24"/>
          <w:szCs w:val="24"/>
          <w:highlight w:val="none"/>
          <w:shd w:val="clear" w:fill="FFFFFF"/>
        </w:rPr>
        <w:t>公路建设质量管理办法》(交安监发〔2018〕152号)</w:t>
      </w:r>
      <w:r>
        <w:rPr>
          <w:rFonts w:hint="eastAsia" w:ascii="仿宋" w:hAnsi="仿宋" w:eastAsia="仿宋" w:cs="Times New Roman"/>
          <w:b w:val="0"/>
          <w:bCs w:val="0"/>
          <w:i w:val="0"/>
          <w:iCs w:val="0"/>
          <w:caps w:val="0"/>
          <w:color w:val="auto"/>
          <w:spacing w:val="0"/>
          <w:kern w:val="2"/>
          <w:sz w:val="24"/>
          <w:szCs w:val="24"/>
          <w:highlight w:val="none"/>
          <w:shd w:val="clear"/>
          <w:lang w:eastAsia="zh-CN"/>
        </w:rPr>
        <w:t>、</w:t>
      </w:r>
      <w:r>
        <w:rPr>
          <w:rFonts w:ascii="仿宋" w:hAnsi="仿宋" w:eastAsia="仿宋" w:cs="宋体"/>
          <w:color w:val="auto"/>
          <w:sz w:val="24"/>
          <w:highlight w:val="none"/>
        </w:rPr>
        <w:t>四川省交通运输厅《四川省公路工程建设项目招标投标管理实施细则》（川交发〔2019〕32号）</w:t>
      </w:r>
      <w:r>
        <w:rPr>
          <w:rFonts w:hint="eastAsia" w:ascii="仿宋" w:hAnsi="仿宋" w:eastAsia="仿宋" w:cs="Times New Roman"/>
          <w:b w:val="0"/>
          <w:bCs w:val="0"/>
          <w:color w:val="auto"/>
          <w:kern w:val="2"/>
          <w:sz w:val="24"/>
          <w:szCs w:val="24"/>
          <w:highlight w:val="none"/>
          <w:lang w:val="en-US" w:eastAsia="zh-CN"/>
        </w:rPr>
        <w:t>及</w:t>
      </w:r>
      <w:r>
        <w:rPr>
          <w:rFonts w:hint="eastAsia" w:ascii="仿宋" w:hAnsi="仿宋" w:eastAsia="仿宋" w:cs="Times New Roman"/>
          <w:b w:val="0"/>
          <w:bCs w:val="0"/>
          <w:i w:val="0"/>
          <w:iCs w:val="0"/>
          <w:caps w:val="0"/>
          <w:color w:val="auto"/>
          <w:spacing w:val="0"/>
          <w:kern w:val="2"/>
          <w:sz w:val="24"/>
          <w:szCs w:val="24"/>
          <w:highlight w:val="none"/>
          <w:shd w:val="clear" w:fill="FFFFFF"/>
        </w:rPr>
        <w:t>《四川省农村公路建设管理办法》</w:t>
      </w:r>
      <w:r>
        <w:rPr>
          <w:rFonts w:hint="eastAsia" w:ascii="仿宋" w:hAnsi="仿宋" w:eastAsia="仿宋" w:cs="Times New Roman"/>
          <w:b w:val="0"/>
          <w:bCs w:val="0"/>
          <w:i w:val="0"/>
          <w:iCs w:val="0"/>
          <w:caps w:val="0"/>
          <w:color w:val="auto"/>
          <w:spacing w:val="0"/>
          <w:kern w:val="2"/>
          <w:sz w:val="24"/>
          <w:szCs w:val="24"/>
          <w:highlight w:val="none"/>
          <w:shd w:val="clear"/>
          <w:lang w:eastAsia="zh-CN"/>
        </w:rPr>
        <w:t>（</w:t>
      </w:r>
      <w:r>
        <w:rPr>
          <w:rFonts w:hint="eastAsia" w:ascii="仿宋" w:hAnsi="仿宋" w:eastAsia="仿宋" w:cs="Times New Roman"/>
          <w:b w:val="0"/>
          <w:bCs w:val="0"/>
          <w:i w:val="0"/>
          <w:iCs w:val="0"/>
          <w:caps w:val="0"/>
          <w:color w:val="auto"/>
          <w:spacing w:val="0"/>
          <w:kern w:val="2"/>
          <w:sz w:val="24"/>
          <w:szCs w:val="24"/>
          <w:highlight w:val="none"/>
          <w:shd w:val="clear"/>
          <w:lang w:val="en-US" w:eastAsia="zh-CN"/>
        </w:rPr>
        <w:t>川</w:t>
      </w:r>
      <w:r>
        <w:rPr>
          <w:rFonts w:hint="eastAsia" w:ascii="仿宋" w:hAnsi="仿宋" w:eastAsia="仿宋" w:cs="宋体"/>
          <w:color w:val="auto"/>
          <w:sz w:val="24"/>
          <w:highlight w:val="none"/>
        </w:rPr>
        <w:t>交规〔2022〕</w:t>
      </w:r>
      <w:r>
        <w:rPr>
          <w:rFonts w:hint="eastAsia" w:ascii="仿宋" w:hAnsi="仿宋" w:eastAsia="仿宋" w:cs="宋体"/>
          <w:color w:val="auto"/>
          <w:sz w:val="24"/>
          <w:highlight w:val="none"/>
          <w:lang w:val="en-US" w:eastAsia="zh-CN"/>
        </w:rPr>
        <w:t>2</w:t>
      </w:r>
      <w:r>
        <w:rPr>
          <w:rFonts w:hint="eastAsia" w:ascii="仿宋" w:hAnsi="仿宋" w:eastAsia="仿宋" w:cs="宋体"/>
          <w:color w:val="auto"/>
          <w:sz w:val="24"/>
          <w:highlight w:val="none"/>
        </w:rPr>
        <w:t>号</w:t>
      </w:r>
      <w:r>
        <w:rPr>
          <w:rFonts w:hint="eastAsia" w:ascii="仿宋" w:hAnsi="仿宋" w:eastAsia="仿宋" w:cs="Times New Roman"/>
          <w:b w:val="0"/>
          <w:bCs w:val="0"/>
          <w:i w:val="0"/>
          <w:iCs w:val="0"/>
          <w:caps w:val="0"/>
          <w:color w:val="auto"/>
          <w:spacing w:val="0"/>
          <w:kern w:val="2"/>
          <w:sz w:val="24"/>
          <w:szCs w:val="24"/>
          <w:highlight w:val="none"/>
          <w:shd w:val="clear"/>
          <w:lang w:eastAsia="zh-CN"/>
        </w:rPr>
        <w:t>）</w:t>
      </w:r>
      <w:r>
        <w:rPr>
          <w:rFonts w:ascii="仿宋" w:hAnsi="仿宋" w:eastAsia="仿宋" w:cs="宋体"/>
          <w:color w:val="auto"/>
          <w:sz w:val="24"/>
          <w:highlight w:val="none"/>
        </w:rPr>
        <w:t>等法律法规</w:t>
      </w:r>
      <w:r>
        <w:rPr>
          <w:rFonts w:hint="eastAsia" w:ascii="仿宋" w:hAnsi="仿宋" w:eastAsia="仿宋" w:cs="宋体"/>
          <w:color w:val="auto"/>
          <w:sz w:val="24"/>
          <w:highlight w:val="none"/>
          <w:lang w:val="en-US" w:eastAsia="zh-CN"/>
        </w:rPr>
        <w:t>和部门</w:t>
      </w:r>
      <w:r>
        <w:rPr>
          <w:rFonts w:hint="eastAsia" w:ascii="仿宋" w:hAnsi="仿宋" w:eastAsia="仿宋"/>
          <w:color w:val="auto"/>
          <w:sz w:val="24"/>
          <w:highlight w:val="none"/>
        </w:rPr>
        <w:t>规章及行政规范性文件</w:t>
      </w:r>
      <w:r>
        <w:rPr>
          <w:rFonts w:ascii="仿宋" w:hAnsi="仿宋" w:eastAsia="仿宋" w:cs="宋体"/>
          <w:color w:val="auto"/>
          <w:sz w:val="24"/>
          <w:highlight w:val="none"/>
        </w:rPr>
        <w:t>为依据，结合四川省普通公路工程</w:t>
      </w:r>
      <w:r>
        <w:rPr>
          <w:rFonts w:hint="eastAsia" w:ascii="仿宋" w:hAnsi="仿宋" w:eastAsia="仿宋" w:cs="宋体"/>
          <w:color w:val="auto"/>
          <w:sz w:val="24"/>
          <w:highlight w:val="none"/>
        </w:rPr>
        <w:t>监理试验室招标特点和电子招标管理需要编制而成。</w:t>
      </w:r>
    </w:p>
    <w:p w14:paraId="235B3F98">
      <w:pPr>
        <w:pStyle w:val="276"/>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三、《</w:t>
      </w:r>
      <w:r>
        <w:rPr>
          <w:rFonts w:hint="eastAsia" w:ascii="仿宋" w:hAnsi="仿宋" w:eastAsia="仿宋" w:cs="宋体"/>
          <w:color w:val="auto"/>
          <w:sz w:val="24"/>
          <w:highlight w:val="none"/>
          <w:lang w:eastAsia="zh-CN"/>
        </w:rPr>
        <w:t>普通公路标准文件</w:t>
      </w:r>
      <w:r>
        <w:rPr>
          <w:rFonts w:hint="eastAsia" w:ascii="仿宋" w:hAnsi="仿宋" w:eastAsia="仿宋" w:cs="宋体"/>
          <w:color w:val="auto"/>
          <w:sz w:val="24"/>
          <w:highlight w:val="none"/>
        </w:rPr>
        <w:t>》</w:t>
      </w:r>
      <w:r>
        <w:rPr>
          <w:rFonts w:ascii="仿宋" w:hAnsi="仿宋" w:eastAsia="仿宋" w:cs="宋体"/>
          <w:color w:val="auto"/>
          <w:sz w:val="24"/>
          <w:highlight w:val="none"/>
        </w:rPr>
        <w:t>适用于</w:t>
      </w:r>
      <w:r>
        <w:rPr>
          <w:rFonts w:hint="eastAsia" w:ascii="仿宋" w:hAnsi="仿宋" w:eastAsia="仿宋" w:cs="宋体"/>
          <w:color w:val="auto"/>
          <w:sz w:val="24"/>
          <w:highlight w:val="none"/>
          <w:lang w:val="en-US" w:eastAsia="zh-CN"/>
        </w:rPr>
        <w:t>依法招标的</w:t>
      </w:r>
      <w:r>
        <w:rPr>
          <w:rFonts w:ascii="仿宋" w:hAnsi="仿宋" w:eastAsia="仿宋" w:cs="宋体"/>
          <w:color w:val="auto"/>
          <w:sz w:val="24"/>
          <w:highlight w:val="none"/>
        </w:rPr>
        <w:t>四川省普通国省</w:t>
      </w:r>
      <w:r>
        <w:rPr>
          <w:rFonts w:hint="eastAsia" w:ascii="仿宋" w:hAnsi="仿宋" w:eastAsia="仿宋" w:cs="宋体"/>
          <w:color w:val="auto"/>
          <w:sz w:val="24"/>
          <w:highlight w:val="none"/>
          <w:lang w:eastAsia="zh-CN"/>
        </w:rPr>
        <w:t>干线</w:t>
      </w:r>
      <w:r>
        <w:rPr>
          <w:rFonts w:hint="eastAsia" w:ascii="仿宋" w:hAnsi="仿宋" w:eastAsia="仿宋" w:cs="宋体"/>
          <w:color w:val="auto"/>
          <w:sz w:val="24"/>
          <w:highlight w:val="none"/>
          <w:lang w:val="en-US" w:eastAsia="zh-CN"/>
        </w:rPr>
        <w:t>及农村</w:t>
      </w:r>
      <w:r>
        <w:rPr>
          <w:rFonts w:ascii="仿宋" w:hAnsi="仿宋" w:eastAsia="仿宋" w:cs="宋体"/>
          <w:color w:val="auto"/>
          <w:sz w:val="24"/>
          <w:highlight w:val="none"/>
        </w:rPr>
        <w:t>公路</w:t>
      </w:r>
      <w:r>
        <w:rPr>
          <w:rFonts w:hint="eastAsia" w:ascii="仿宋" w:hAnsi="仿宋" w:eastAsia="仿宋" w:cs="宋体"/>
          <w:color w:val="auto"/>
          <w:sz w:val="24"/>
          <w:highlight w:val="none"/>
          <w:lang w:val="en-US" w:eastAsia="zh-CN"/>
        </w:rPr>
        <w:t>建设项目</w:t>
      </w:r>
      <w:r>
        <w:rPr>
          <w:rFonts w:ascii="仿宋" w:hAnsi="仿宋" w:eastAsia="仿宋" w:cs="宋体"/>
          <w:color w:val="auto"/>
          <w:sz w:val="24"/>
          <w:highlight w:val="none"/>
        </w:rPr>
        <w:t>的</w:t>
      </w:r>
      <w:r>
        <w:rPr>
          <w:rFonts w:hint="eastAsia" w:ascii="仿宋" w:hAnsi="仿宋" w:eastAsia="仿宋" w:cs="宋体"/>
          <w:color w:val="auto"/>
          <w:sz w:val="24"/>
          <w:highlight w:val="none"/>
          <w:lang w:val="en-US" w:eastAsia="zh-CN"/>
        </w:rPr>
        <w:t>施工监理试验室</w:t>
      </w:r>
      <w:r>
        <w:rPr>
          <w:rFonts w:hint="eastAsia" w:ascii="仿宋" w:hAnsi="仿宋" w:eastAsia="仿宋" w:cs="宋体"/>
          <w:color w:val="auto"/>
          <w:sz w:val="24"/>
          <w:highlight w:val="none"/>
          <w:lang w:eastAsia="zh-CN"/>
        </w:rPr>
        <w:t>，</w:t>
      </w:r>
      <w:r>
        <w:rPr>
          <w:rFonts w:hint="default" w:ascii="仿宋" w:hAnsi="仿宋" w:eastAsia="仿宋"/>
          <w:color w:val="auto"/>
          <w:sz w:val="24"/>
          <w:highlight w:val="none"/>
        </w:rPr>
        <w:t>普通公路养护工程可参照使用。</w:t>
      </w:r>
    </w:p>
    <w:p w14:paraId="22D4EEAC">
      <w:pPr>
        <w:pStyle w:val="276"/>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四、招标人根据《</w:t>
      </w:r>
      <w:r>
        <w:rPr>
          <w:rFonts w:hint="eastAsia" w:ascii="仿宋" w:hAnsi="仿宋" w:eastAsia="仿宋"/>
          <w:color w:val="auto"/>
          <w:sz w:val="24"/>
          <w:highlight w:val="none"/>
          <w:lang w:eastAsia="zh-CN"/>
        </w:rPr>
        <w:t>普通公路标准文件</w:t>
      </w:r>
      <w:r>
        <w:rPr>
          <w:rFonts w:hint="eastAsia" w:ascii="仿宋" w:hAnsi="仿宋" w:eastAsia="仿宋" w:cs="宋体"/>
          <w:color w:val="auto"/>
          <w:sz w:val="24"/>
          <w:highlight w:val="none"/>
        </w:rPr>
        <w:t>》编制项目招标文件时，不得修改“投标人须知”正文和“评标办法”正文，但可在前附表中对“投标人须知”和“评标办法”进行补充、细化，补充和细化的内容不得与“投标人须知”和“评标办法”正文内容相抵触。</w:t>
      </w:r>
    </w:p>
    <w:p w14:paraId="21F07D98">
      <w:pPr>
        <w:pStyle w:val="276"/>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五、招标人在根据《</w:t>
      </w:r>
      <w:r>
        <w:rPr>
          <w:rFonts w:hint="eastAsia" w:ascii="仿宋" w:hAnsi="仿宋" w:eastAsia="仿宋"/>
          <w:color w:val="auto"/>
          <w:sz w:val="24"/>
          <w:highlight w:val="none"/>
          <w:lang w:eastAsia="zh-CN"/>
        </w:rPr>
        <w:t>普通公路标准文件</w:t>
      </w:r>
      <w:r>
        <w:rPr>
          <w:rFonts w:hint="eastAsia" w:ascii="仿宋" w:hAnsi="仿宋" w:eastAsia="仿宋" w:cs="宋体"/>
          <w:color w:val="auto"/>
          <w:sz w:val="24"/>
          <w:highlight w:val="none"/>
        </w:rPr>
        <w:t>》编制项目招标文件中的“项目专用合同条款”时，可根据招标项目的具体特点和实际需要，对原文引用</w:t>
      </w:r>
      <w:r>
        <w:rPr>
          <w:rFonts w:hint="eastAsia" w:ascii="仿宋" w:hAnsi="仿宋" w:eastAsia="仿宋"/>
          <w:color w:val="auto"/>
          <w:sz w:val="24"/>
          <w:highlight w:val="none"/>
        </w:rPr>
        <w:t>《中华人民共和国标准施工</w:t>
      </w:r>
      <w:r>
        <w:rPr>
          <w:rFonts w:hint="eastAsia" w:ascii="仿宋" w:hAnsi="仿宋" w:eastAsia="仿宋"/>
          <w:color w:val="auto"/>
          <w:sz w:val="24"/>
          <w:highlight w:val="none"/>
          <w:lang w:val="en-US" w:eastAsia="zh-CN"/>
        </w:rPr>
        <w:t>监理</w:t>
      </w:r>
      <w:r>
        <w:rPr>
          <w:rFonts w:hint="eastAsia" w:ascii="仿宋" w:hAnsi="仿宋" w:eastAsia="仿宋"/>
          <w:color w:val="auto"/>
          <w:sz w:val="24"/>
          <w:highlight w:val="none"/>
        </w:rPr>
        <w:t>招标文件》（</w:t>
      </w:r>
      <w:r>
        <w:rPr>
          <w:rFonts w:ascii="仿宋" w:hAnsi="仿宋" w:eastAsia="仿宋"/>
          <w:color w:val="auto"/>
          <w:sz w:val="24"/>
          <w:highlight w:val="none"/>
        </w:rPr>
        <w:t>2007年版）</w:t>
      </w:r>
      <w:r>
        <w:rPr>
          <w:rFonts w:ascii="仿宋" w:hAnsi="仿宋" w:eastAsia="仿宋" w:cs="宋体"/>
          <w:color w:val="auto"/>
          <w:sz w:val="24"/>
          <w:highlight w:val="none"/>
        </w:rPr>
        <w:t>“通用合同条款”</w:t>
      </w:r>
      <w:r>
        <w:rPr>
          <w:rFonts w:hint="eastAsia" w:ascii="仿宋" w:hAnsi="仿宋" w:eastAsia="仿宋" w:cs="宋体"/>
          <w:color w:val="auto"/>
          <w:sz w:val="24"/>
          <w:highlight w:val="none"/>
        </w:rPr>
        <w:t>及</w:t>
      </w:r>
      <w:r>
        <w:rPr>
          <w:rFonts w:hint="eastAsia" w:ascii="仿宋" w:hAnsi="仿宋" w:eastAsia="仿宋" w:cs="宋体"/>
          <w:color w:val="auto"/>
          <w:sz w:val="24"/>
          <w:highlight w:val="none"/>
          <w:lang w:val="en-US" w:eastAsia="zh-CN"/>
        </w:rPr>
        <w:t>交通运输部</w:t>
      </w:r>
      <w:r>
        <w:rPr>
          <w:rFonts w:hint="eastAsia" w:ascii="仿宋" w:hAnsi="仿宋" w:eastAsia="仿宋"/>
          <w:color w:val="auto"/>
          <w:sz w:val="24"/>
          <w:highlight w:val="none"/>
        </w:rPr>
        <w:t>《公路工程标准施工监理招标文件》（</w:t>
      </w:r>
      <w:r>
        <w:rPr>
          <w:rFonts w:ascii="仿宋" w:hAnsi="仿宋" w:eastAsia="仿宋"/>
          <w:color w:val="auto"/>
          <w:sz w:val="24"/>
          <w:highlight w:val="none"/>
        </w:rPr>
        <w:t>2018</w:t>
      </w:r>
      <w:r>
        <w:rPr>
          <w:rFonts w:hint="eastAsia" w:ascii="仿宋" w:hAnsi="仿宋" w:eastAsia="仿宋"/>
          <w:color w:val="auto"/>
          <w:sz w:val="24"/>
          <w:highlight w:val="none"/>
        </w:rPr>
        <w:t>年版）“公路工程专用合同条款”</w:t>
      </w:r>
      <w:r>
        <w:rPr>
          <w:rFonts w:hint="eastAsia" w:ascii="仿宋" w:hAnsi="仿宋" w:eastAsia="仿宋" w:cs="宋体"/>
          <w:color w:val="auto"/>
          <w:sz w:val="24"/>
          <w:highlight w:val="none"/>
        </w:rPr>
        <w:t>进行补充、细化，除“通用合同条款”明确“专用合同条款”可作出不同约定以及</w:t>
      </w:r>
      <w:r>
        <w:rPr>
          <w:rFonts w:hint="eastAsia" w:ascii="仿宋" w:hAnsi="仿宋" w:eastAsia="仿宋"/>
          <w:color w:val="auto"/>
          <w:sz w:val="24"/>
          <w:highlight w:val="none"/>
        </w:rPr>
        <w:t>“公路工程专用合同条款”明确“项目专用合同条款”可作出不同约定</w:t>
      </w:r>
      <w:r>
        <w:rPr>
          <w:rFonts w:hint="eastAsia" w:ascii="仿宋" w:hAnsi="仿宋" w:eastAsia="仿宋" w:cs="宋体"/>
          <w:color w:val="auto"/>
          <w:sz w:val="24"/>
          <w:highlight w:val="none"/>
        </w:rPr>
        <w:t>外，补充和细化的内容不得与“通用合同条款”</w:t>
      </w:r>
      <w:r>
        <w:rPr>
          <w:rFonts w:hint="eastAsia" w:ascii="仿宋" w:hAnsi="仿宋" w:eastAsia="仿宋"/>
          <w:color w:val="auto"/>
          <w:sz w:val="24"/>
          <w:highlight w:val="none"/>
        </w:rPr>
        <w:t>及“公路工程专用合同条款”</w:t>
      </w:r>
      <w:r>
        <w:rPr>
          <w:rFonts w:hint="eastAsia" w:ascii="仿宋" w:hAnsi="仿宋" w:eastAsia="仿宋" w:cs="宋体"/>
          <w:color w:val="auto"/>
          <w:sz w:val="24"/>
          <w:highlight w:val="none"/>
        </w:rPr>
        <w:t>强制性规定相抵触。同时，补充、细化或约定的内容，不得违反法律、行政法规的强制性规定和平等、自愿、公平</w:t>
      </w:r>
      <w:r>
        <w:rPr>
          <w:rFonts w:hint="eastAsia" w:ascii="仿宋" w:hAnsi="仿宋" w:eastAsia="仿宋" w:cs="宋体"/>
          <w:color w:val="auto"/>
          <w:sz w:val="24"/>
          <w:highlight w:val="none"/>
          <w:lang w:eastAsia="zh-CN"/>
        </w:rPr>
        <w:t>、</w:t>
      </w:r>
      <w:r>
        <w:rPr>
          <w:rFonts w:hint="eastAsia" w:ascii="仿宋" w:hAnsi="仿宋" w:eastAsia="仿宋" w:cs="宋体"/>
          <w:color w:val="auto"/>
          <w:sz w:val="24"/>
          <w:highlight w:val="none"/>
        </w:rPr>
        <w:t>诚实信用原则。</w:t>
      </w:r>
    </w:p>
    <w:p w14:paraId="49025115">
      <w:pPr>
        <w:pStyle w:val="276"/>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六、《</w:t>
      </w:r>
      <w:r>
        <w:rPr>
          <w:rFonts w:hint="eastAsia" w:ascii="仿宋" w:hAnsi="仿宋" w:eastAsia="仿宋"/>
          <w:color w:val="auto"/>
          <w:sz w:val="24"/>
          <w:highlight w:val="none"/>
          <w:lang w:eastAsia="zh-CN"/>
        </w:rPr>
        <w:t>普通公路标准文件</w:t>
      </w:r>
      <w:r>
        <w:rPr>
          <w:rFonts w:hint="eastAsia" w:ascii="仿宋" w:hAnsi="仿宋" w:eastAsia="仿宋" w:cs="宋体"/>
          <w:color w:val="auto"/>
          <w:sz w:val="24"/>
          <w:highlight w:val="none"/>
        </w:rPr>
        <w:t>》条款</w:t>
      </w:r>
      <w:r>
        <w:rPr>
          <w:rFonts w:ascii="仿宋" w:hAnsi="仿宋" w:eastAsia="仿宋" w:cs="宋体"/>
          <w:color w:val="auto"/>
          <w:sz w:val="24"/>
          <w:highlight w:val="none"/>
        </w:rPr>
        <w:t>符号说明：</w:t>
      </w:r>
    </w:p>
    <w:p w14:paraId="7530ED68">
      <w:pPr>
        <w:pStyle w:val="276"/>
        <w:spacing w:line="360" w:lineRule="auto"/>
        <w:ind w:firstLine="480" w:firstLineChars="200"/>
        <w:jc w:val="left"/>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lang w:val="en-US" w:eastAsia="zh-CN"/>
        </w:rPr>
        <w:t>1.</w:t>
      </w:r>
      <w:r>
        <w:rPr>
          <w:rFonts w:ascii="仿宋" w:hAnsi="仿宋" w:eastAsia="仿宋" w:cs="宋体"/>
          <w:color w:val="auto"/>
          <w:sz w:val="24"/>
          <w:highlight w:val="none"/>
        </w:rPr>
        <w:t>用相同序号标示的章、节、条、款、项、目，供招标人选择使用</w:t>
      </w:r>
      <w:r>
        <w:rPr>
          <w:rFonts w:hint="eastAsia" w:ascii="仿宋" w:hAnsi="仿宋" w:eastAsia="仿宋" w:cs="宋体"/>
          <w:color w:val="auto"/>
          <w:sz w:val="24"/>
          <w:highlight w:val="none"/>
          <w:lang w:eastAsia="zh-CN"/>
        </w:rPr>
        <w:t>。</w:t>
      </w:r>
    </w:p>
    <w:p w14:paraId="6E4E83D4">
      <w:pPr>
        <w:pStyle w:val="276"/>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2.</w:t>
      </w:r>
      <w:r>
        <w:rPr>
          <w:rFonts w:ascii="仿宋" w:hAnsi="仿宋" w:eastAsia="仿宋" w:cs="宋体"/>
          <w:color w:val="auto"/>
          <w:sz w:val="24"/>
          <w:highlight w:val="none"/>
        </w:rPr>
        <w:t>以空格标示的部分，招标人应根据招标项目具体特点和实际需要进行填写，确实没有需要填写的，在空格中用“／”</w:t>
      </w:r>
      <w:r>
        <w:rPr>
          <w:rFonts w:hint="eastAsia" w:ascii="仿宋" w:hAnsi="仿宋" w:eastAsia="仿宋" w:cs="宋体"/>
          <w:color w:val="auto"/>
          <w:sz w:val="24"/>
          <w:highlight w:val="none"/>
        </w:rPr>
        <w:t>或</w:t>
      </w:r>
      <w:r>
        <w:rPr>
          <w:rFonts w:ascii="仿宋" w:hAnsi="仿宋" w:eastAsia="仿宋" w:cs="宋体"/>
          <w:color w:val="auto"/>
          <w:sz w:val="24"/>
          <w:highlight w:val="none"/>
        </w:rPr>
        <w:t>“</w:t>
      </w:r>
      <w:r>
        <w:rPr>
          <w:rFonts w:hint="eastAsia" w:ascii="仿宋" w:hAnsi="仿宋" w:eastAsia="仿宋" w:cs="宋体"/>
          <w:color w:val="auto"/>
          <w:sz w:val="24"/>
          <w:highlight w:val="none"/>
        </w:rPr>
        <w:t>无</w:t>
      </w:r>
      <w:r>
        <w:rPr>
          <w:rFonts w:ascii="仿宋" w:hAnsi="仿宋" w:eastAsia="仿宋" w:cs="宋体"/>
          <w:color w:val="auto"/>
          <w:sz w:val="24"/>
          <w:highlight w:val="none"/>
        </w:rPr>
        <w:t>”</w:t>
      </w:r>
      <w:r>
        <w:rPr>
          <w:rFonts w:hint="eastAsia" w:ascii="仿宋" w:hAnsi="仿宋" w:eastAsia="仿宋" w:cs="宋体"/>
          <w:color w:val="auto"/>
          <w:sz w:val="24"/>
          <w:highlight w:val="none"/>
        </w:rPr>
        <w:t>标示。</w:t>
      </w:r>
    </w:p>
    <w:p w14:paraId="4DB5BF8C">
      <w:pPr>
        <w:pStyle w:val="276"/>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3.</w:t>
      </w:r>
      <w:r>
        <w:rPr>
          <w:rFonts w:ascii="仿宋" w:hAnsi="仿宋" w:eastAsia="仿宋" w:cs="宋体"/>
          <w:color w:val="auto"/>
          <w:sz w:val="24"/>
          <w:highlight w:val="none"/>
        </w:rPr>
        <w:t>文中“</w:t>
      </w:r>
      <w:r>
        <w:rPr>
          <w:rFonts w:hint="eastAsia" w:ascii="仿宋" w:hAnsi="仿宋" w:eastAsia="仿宋" w:cs="宋体"/>
          <w:color w:val="auto"/>
          <w:sz w:val="24"/>
          <w:highlight w:val="none"/>
        </w:rPr>
        <w:t>□</w:t>
      </w:r>
      <w:r>
        <w:rPr>
          <w:rFonts w:ascii="仿宋" w:hAnsi="仿宋" w:eastAsia="仿宋" w:cs="宋体"/>
          <w:color w:val="auto"/>
          <w:sz w:val="24"/>
          <w:highlight w:val="none"/>
        </w:rPr>
        <w:t>”</w:t>
      </w:r>
      <w:r>
        <w:rPr>
          <w:rFonts w:hint="eastAsia" w:ascii="仿宋" w:hAnsi="仿宋" w:eastAsia="仿宋" w:cs="宋体"/>
          <w:color w:val="auto"/>
          <w:sz w:val="24"/>
          <w:highlight w:val="none"/>
        </w:rPr>
        <w:t>表示</w:t>
      </w:r>
      <w:r>
        <w:rPr>
          <w:rFonts w:ascii="仿宋" w:hAnsi="仿宋" w:eastAsia="仿宋" w:cs="宋体"/>
          <w:color w:val="auto"/>
          <w:sz w:val="24"/>
          <w:highlight w:val="none"/>
        </w:rPr>
        <w:t>可选择项，招标人、投标人</w:t>
      </w:r>
      <w:r>
        <w:rPr>
          <w:rFonts w:hint="eastAsia" w:ascii="仿宋" w:hAnsi="仿宋" w:eastAsia="仿宋" w:cs="宋体"/>
          <w:color w:val="auto"/>
          <w:sz w:val="24"/>
          <w:highlight w:val="none"/>
        </w:rPr>
        <w:t>在</w:t>
      </w:r>
      <w:r>
        <w:rPr>
          <w:rFonts w:ascii="仿宋" w:hAnsi="仿宋" w:eastAsia="仿宋" w:cs="宋体"/>
          <w:color w:val="auto"/>
          <w:sz w:val="24"/>
          <w:highlight w:val="none"/>
        </w:rPr>
        <w:t>可选择项</w:t>
      </w:r>
      <w:r>
        <w:rPr>
          <w:rFonts w:hint="eastAsia" w:ascii="仿宋" w:hAnsi="仿宋" w:eastAsia="仿宋" w:cs="宋体"/>
          <w:color w:val="auto"/>
          <w:sz w:val="24"/>
          <w:highlight w:val="none"/>
        </w:rPr>
        <w:t>中任选其一</w:t>
      </w:r>
      <w:r>
        <w:rPr>
          <w:rFonts w:ascii="仿宋" w:hAnsi="仿宋" w:eastAsia="仿宋" w:cs="宋体"/>
          <w:color w:val="auto"/>
          <w:sz w:val="24"/>
          <w:highlight w:val="none"/>
        </w:rPr>
        <w:t>或者对选择有规定的从其规定</w:t>
      </w:r>
      <w:r>
        <w:rPr>
          <w:rFonts w:hint="eastAsia" w:ascii="仿宋" w:hAnsi="仿宋" w:eastAsia="仿宋" w:cs="宋体"/>
          <w:color w:val="auto"/>
          <w:sz w:val="24"/>
          <w:highlight w:val="none"/>
        </w:rPr>
        <w:t>，</w:t>
      </w:r>
      <w:r>
        <w:rPr>
          <w:rFonts w:ascii="仿宋" w:hAnsi="仿宋" w:eastAsia="仿宋" w:cs="宋体"/>
          <w:color w:val="auto"/>
          <w:sz w:val="24"/>
          <w:highlight w:val="none"/>
        </w:rPr>
        <w:t>没有</w:t>
      </w:r>
      <w:r>
        <w:rPr>
          <w:rFonts w:hint="eastAsia" w:ascii="仿宋" w:hAnsi="仿宋" w:eastAsia="仿宋" w:cs="宋体"/>
          <w:color w:val="auto"/>
          <w:sz w:val="24"/>
          <w:highlight w:val="none"/>
        </w:rPr>
        <w:t>选择的视为</w:t>
      </w:r>
      <w:r>
        <w:rPr>
          <w:rFonts w:ascii="仿宋" w:hAnsi="仿宋" w:eastAsia="仿宋" w:cs="宋体"/>
          <w:color w:val="auto"/>
          <w:sz w:val="24"/>
          <w:highlight w:val="none"/>
        </w:rPr>
        <w:t>不采纳</w:t>
      </w:r>
      <w:r>
        <w:rPr>
          <w:rFonts w:hint="eastAsia" w:ascii="仿宋" w:hAnsi="仿宋" w:eastAsia="仿宋" w:cs="宋体"/>
          <w:color w:val="auto"/>
          <w:sz w:val="24"/>
          <w:highlight w:val="none"/>
        </w:rPr>
        <w:t>该内容</w:t>
      </w:r>
      <w:r>
        <w:rPr>
          <w:rFonts w:ascii="仿宋" w:hAnsi="仿宋" w:eastAsia="仿宋" w:cs="宋体"/>
          <w:color w:val="auto"/>
          <w:sz w:val="24"/>
          <w:highlight w:val="none"/>
        </w:rPr>
        <w:t>（</w:t>
      </w:r>
      <w:r>
        <w:rPr>
          <w:rFonts w:hint="eastAsia" w:ascii="仿宋" w:hAnsi="仿宋" w:eastAsia="仿宋" w:cs="宋体"/>
          <w:color w:val="auto"/>
          <w:sz w:val="24"/>
          <w:highlight w:val="none"/>
        </w:rPr>
        <w:t>若可以编辑的</w:t>
      </w:r>
      <w:r>
        <w:rPr>
          <w:rFonts w:ascii="仿宋" w:hAnsi="仿宋" w:eastAsia="仿宋" w:cs="宋体"/>
          <w:color w:val="auto"/>
          <w:sz w:val="24"/>
          <w:highlight w:val="none"/>
        </w:rPr>
        <w:t>情形下，</w:t>
      </w:r>
      <w:r>
        <w:rPr>
          <w:rFonts w:hint="eastAsia" w:ascii="仿宋" w:hAnsi="仿宋" w:eastAsia="仿宋" w:cs="宋体"/>
          <w:color w:val="auto"/>
          <w:sz w:val="24"/>
          <w:highlight w:val="none"/>
        </w:rPr>
        <w:t>没有被选择的</w:t>
      </w:r>
      <w:r>
        <w:rPr>
          <w:rFonts w:ascii="仿宋" w:hAnsi="仿宋" w:eastAsia="仿宋" w:cs="宋体"/>
          <w:color w:val="auto"/>
          <w:sz w:val="24"/>
          <w:highlight w:val="none"/>
        </w:rPr>
        <w:t>项后面相应的内容删除）</w:t>
      </w:r>
      <w:r>
        <w:rPr>
          <w:rFonts w:hint="eastAsia" w:ascii="仿宋" w:hAnsi="仿宋" w:eastAsia="仿宋" w:cs="宋体"/>
          <w:color w:val="auto"/>
          <w:sz w:val="24"/>
          <w:highlight w:val="none"/>
        </w:rPr>
        <w:t>。</w:t>
      </w:r>
    </w:p>
    <w:p w14:paraId="0F67BE6B">
      <w:pPr>
        <w:pStyle w:val="276"/>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4.</w:t>
      </w:r>
      <w:r>
        <w:rPr>
          <w:rFonts w:hint="eastAsia" w:ascii="仿宋" w:hAnsi="仿宋" w:eastAsia="仿宋" w:cs="宋体"/>
          <w:color w:val="auto"/>
          <w:sz w:val="24"/>
          <w:highlight w:val="none"/>
        </w:rPr>
        <w:t>文中</w:t>
      </w:r>
      <w:r>
        <w:rPr>
          <w:rFonts w:hint="eastAsia" w:ascii="仿宋" w:hAnsi="仿宋" w:eastAsia="仿宋"/>
          <w:color w:val="auto"/>
          <w:sz w:val="24"/>
          <w:highlight w:val="none"/>
        </w:rPr>
        <w:t>的</w:t>
      </w:r>
      <w:r>
        <w:rPr>
          <w:rFonts w:ascii="仿宋" w:hAnsi="仿宋" w:eastAsia="仿宋" w:cs="宋体"/>
          <w:color w:val="auto"/>
          <w:sz w:val="24"/>
          <w:highlight w:val="none"/>
        </w:rPr>
        <w:t>“</w:t>
      </w:r>
      <w:r>
        <w:rPr>
          <w:rFonts w:hint="eastAsia" w:ascii="仿宋" w:hAnsi="仿宋" w:eastAsia="仿宋" w:cs="宋体"/>
          <w:color w:val="auto"/>
          <w:sz w:val="24"/>
          <w:highlight w:val="none"/>
        </w:rPr>
        <w:t>□</w:t>
      </w:r>
      <w:r>
        <w:rPr>
          <w:rFonts w:ascii="仿宋" w:hAnsi="仿宋" w:eastAsia="仿宋" w:cs="宋体"/>
          <w:color w:val="auto"/>
          <w:sz w:val="24"/>
          <w:highlight w:val="none"/>
        </w:rPr>
        <w:t>”</w:t>
      </w:r>
      <w:r>
        <w:rPr>
          <w:rFonts w:hint="eastAsia" w:ascii="仿宋" w:hAnsi="仿宋" w:eastAsia="仿宋"/>
          <w:color w:val="auto"/>
          <w:sz w:val="24"/>
          <w:highlight w:val="none"/>
        </w:rPr>
        <w:t>选择项</w:t>
      </w:r>
      <w:r>
        <w:rPr>
          <w:rFonts w:hint="eastAsia" w:ascii="仿宋" w:hAnsi="仿宋" w:eastAsia="仿宋"/>
          <w:color w:val="auto"/>
          <w:sz w:val="24"/>
          <w:highlight w:val="none"/>
          <w:lang w:val="en-US" w:eastAsia="zh-CN"/>
        </w:rPr>
        <w:t>可</w:t>
      </w:r>
      <w:r>
        <w:rPr>
          <w:rFonts w:hint="eastAsia" w:ascii="仿宋" w:hAnsi="仿宋" w:eastAsia="仿宋"/>
          <w:color w:val="auto"/>
          <w:sz w:val="24"/>
          <w:highlight w:val="none"/>
        </w:rPr>
        <w:t>为单选或多选，在多选时由招标人根据实际需要设定选择项之间是“或”还是“同时”的关系。</w:t>
      </w:r>
    </w:p>
    <w:p w14:paraId="4905D927">
      <w:pPr>
        <w:pStyle w:val="276"/>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5.</w:t>
      </w:r>
      <w:r>
        <w:rPr>
          <w:rFonts w:ascii="仿宋" w:hAnsi="仿宋" w:eastAsia="仿宋" w:cs="宋体"/>
          <w:color w:val="auto"/>
          <w:sz w:val="24"/>
          <w:highlight w:val="none"/>
        </w:rPr>
        <w:t>招标人在编制</w:t>
      </w:r>
      <w:r>
        <w:rPr>
          <w:rFonts w:hint="eastAsia" w:ascii="仿宋" w:hAnsi="仿宋" w:eastAsia="仿宋" w:cs="宋体"/>
          <w:color w:val="auto"/>
          <w:sz w:val="24"/>
          <w:highlight w:val="none"/>
        </w:rPr>
        <w:t>招标文件时</w:t>
      </w:r>
      <w:r>
        <w:rPr>
          <w:rFonts w:ascii="仿宋" w:hAnsi="仿宋" w:eastAsia="仿宋" w:cs="宋体"/>
          <w:color w:val="auto"/>
          <w:sz w:val="24"/>
          <w:highlight w:val="none"/>
        </w:rPr>
        <w:t>，下划线</w:t>
      </w:r>
      <w:r>
        <w:rPr>
          <w:rFonts w:hint="eastAsia" w:ascii="仿宋" w:hAnsi="仿宋" w:eastAsia="仿宋" w:cs="宋体"/>
          <w:color w:val="auto"/>
          <w:sz w:val="24"/>
          <w:highlight w:val="none"/>
        </w:rPr>
        <w:t>内</w:t>
      </w:r>
      <w:r>
        <w:rPr>
          <w:rFonts w:ascii="仿宋" w:hAnsi="仿宋" w:eastAsia="仿宋" w:cs="宋体"/>
          <w:color w:val="auto"/>
          <w:sz w:val="24"/>
          <w:highlight w:val="none"/>
        </w:rPr>
        <w:t>的</w:t>
      </w:r>
      <w:r>
        <w:rPr>
          <w:rFonts w:hint="eastAsia" w:ascii="仿宋" w:hAnsi="仿宋" w:eastAsia="仿宋" w:cs="宋体"/>
          <w:color w:val="auto"/>
          <w:sz w:val="24"/>
          <w:highlight w:val="none"/>
        </w:rPr>
        <w:t>内容</w:t>
      </w:r>
      <w:r>
        <w:rPr>
          <w:rFonts w:ascii="仿宋" w:hAnsi="仿宋" w:eastAsia="仿宋" w:cs="宋体"/>
          <w:color w:val="auto"/>
          <w:sz w:val="24"/>
          <w:highlight w:val="none"/>
        </w:rPr>
        <w:t>可以</w:t>
      </w:r>
      <w:r>
        <w:rPr>
          <w:rFonts w:hint="eastAsia" w:ascii="仿宋" w:hAnsi="仿宋" w:eastAsia="仿宋" w:cs="宋体"/>
          <w:color w:val="auto"/>
          <w:sz w:val="24"/>
          <w:highlight w:val="none"/>
        </w:rPr>
        <w:t>编辑</w:t>
      </w:r>
      <w:r>
        <w:rPr>
          <w:rFonts w:ascii="仿宋" w:hAnsi="仿宋" w:eastAsia="仿宋" w:cs="宋体"/>
          <w:color w:val="auto"/>
          <w:sz w:val="24"/>
          <w:highlight w:val="none"/>
        </w:rPr>
        <w:t>。</w:t>
      </w:r>
    </w:p>
    <w:p w14:paraId="43EB8F71">
      <w:pPr>
        <w:pStyle w:val="276"/>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6.</w:t>
      </w:r>
      <w:r>
        <w:rPr>
          <w:rFonts w:hint="eastAsia" w:ascii="仿宋" w:hAnsi="仿宋" w:eastAsia="仿宋" w:cs="宋体"/>
          <w:color w:val="auto"/>
          <w:sz w:val="24"/>
          <w:highlight w:val="none"/>
        </w:rPr>
        <w:t>标有下划线的</w:t>
      </w:r>
      <w:r>
        <w:rPr>
          <w:rFonts w:hint="eastAsia" w:ascii="仿宋" w:hAnsi="仿宋" w:eastAsia="仿宋" w:cs="宋体"/>
          <w:color w:val="auto"/>
          <w:sz w:val="24"/>
          <w:highlight w:val="none"/>
          <w:lang w:val="en-US" w:eastAsia="zh-CN"/>
        </w:rPr>
        <w:t>引用</w:t>
      </w:r>
      <w:r>
        <w:rPr>
          <w:rFonts w:hint="eastAsia" w:ascii="仿宋" w:hAnsi="仿宋" w:eastAsia="仿宋" w:cs="宋体"/>
          <w:color w:val="auto"/>
          <w:sz w:val="24"/>
          <w:highlight w:val="none"/>
        </w:rPr>
        <w:t>条款</w:t>
      </w:r>
      <w:r>
        <w:rPr>
          <w:rFonts w:ascii="仿宋" w:hAnsi="仿宋" w:eastAsia="仿宋" w:cs="宋体"/>
          <w:color w:val="auto"/>
          <w:sz w:val="24"/>
          <w:highlight w:val="none"/>
        </w:rPr>
        <w:t>内容</w:t>
      </w:r>
      <w:r>
        <w:rPr>
          <w:rFonts w:hint="eastAsia" w:ascii="仿宋" w:hAnsi="仿宋" w:eastAsia="仿宋" w:cs="宋体"/>
          <w:color w:val="auto"/>
          <w:sz w:val="24"/>
          <w:highlight w:val="none"/>
        </w:rPr>
        <w:t>，当国家、部、省等有相关新的规定出台时</w:t>
      </w:r>
      <w:r>
        <w:rPr>
          <w:rFonts w:ascii="仿宋" w:hAnsi="仿宋" w:eastAsia="仿宋" w:cs="宋体"/>
          <w:color w:val="auto"/>
          <w:sz w:val="24"/>
          <w:highlight w:val="none"/>
        </w:rPr>
        <w:t>，</w:t>
      </w:r>
      <w:r>
        <w:rPr>
          <w:rFonts w:hint="eastAsia" w:ascii="仿宋" w:hAnsi="仿宋" w:eastAsia="仿宋" w:cs="宋体"/>
          <w:color w:val="auto"/>
          <w:sz w:val="24"/>
          <w:highlight w:val="none"/>
        </w:rPr>
        <w:t>招标人根据实际情况及</w:t>
      </w:r>
      <w:r>
        <w:rPr>
          <w:rFonts w:ascii="仿宋" w:hAnsi="仿宋" w:eastAsia="仿宋" w:cs="宋体"/>
          <w:color w:val="auto"/>
          <w:sz w:val="24"/>
          <w:highlight w:val="none"/>
        </w:rPr>
        <w:t>项目具体特点</w:t>
      </w:r>
      <w:r>
        <w:rPr>
          <w:rFonts w:hint="eastAsia" w:ascii="仿宋" w:hAnsi="仿宋" w:eastAsia="仿宋" w:cs="宋体"/>
          <w:color w:val="auto"/>
          <w:sz w:val="24"/>
          <w:highlight w:val="none"/>
        </w:rPr>
        <w:t>进行调整</w:t>
      </w:r>
      <w:r>
        <w:rPr>
          <w:rFonts w:ascii="仿宋" w:hAnsi="仿宋" w:eastAsia="仿宋" w:cs="宋体"/>
          <w:color w:val="auto"/>
          <w:sz w:val="24"/>
          <w:highlight w:val="none"/>
        </w:rPr>
        <w:t>。</w:t>
      </w:r>
    </w:p>
    <w:p w14:paraId="5D5D4AD9">
      <w:pPr>
        <w:pStyle w:val="276"/>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七、招标人按照《</w:t>
      </w:r>
      <w:r>
        <w:rPr>
          <w:rFonts w:hint="eastAsia" w:ascii="仿宋" w:hAnsi="仿宋" w:eastAsia="仿宋" w:cs="宋体"/>
          <w:color w:val="auto"/>
          <w:sz w:val="24"/>
          <w:highlight w:val="none"/>
          <w:lang w:eastAsia="zh-CN"/>
        </w:rPr>
        <w:t>普通公路标准文件</w:t>
      </w:r>
      <w:r>
        <w:rPr>
          <w:rFonts w:hint="eastAsia" w:ascii="仿宋" w:hAnsi="仿宋" w:eastAsia="仿宋" w:cs="宋体"/>
          <w:color w:val="auto"/>
          <w:sz w:val="24"/>
          <w:highlight w:val="none"/>
        </w:rPr>
        <w:t>》第一章的格式发布招标公告后，将实际发布的招标公告编入向投标人提供的招标文件中，作为招标文件的组成部分。其中，招标公告应同时注明发布的所有媒介名称。</w:t>
      </w:r>
    </w:p>
    <w:p w14:paraId="77EAB1E7">
      <w:pPr>
        <w:pStyle w:val="276"/>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八、《</w:t>
      </w:r>
      <w:r>
        <w:rPr>
          <w:rFonts w:hint="eastAsia" w:ascii="仿宋" w:hAnsi="仿宋" w:eastAsia="仿宋" w:cs="宋体"/>
          <w:color w:val="auto"/>
          <w:sz w:val="24"/>
          <w:highlight w:val="none"/>
          <w:lang w:eastAsia="zh-CN"/>
        </w:rPr>
        <w:t>普通公路标准文件</w:t>
      </w:r>
      <w:r>
        <w:rPr>
          <w:rFonts w:hint="eastAsia" w:ascii="仿宋" w:hAnsi="仿宋" w:eastAsia="仿宋" w:cs="宋体"/>
          <w:color w:val="auto"/>
          <w:sz w:val="24"/>
          <w:highlight w:val="none"/>
        </w:rPr>
        <w:t>》第三章“评标办法”按照《四川省公路工程建设项目招标投标管理实施细则》（川交发〔</w:t>
      </w:r>
      <w:r>
        <w:rPr>
          <w:rFonts w:ascii="仿宋" w:hAnsi="仿宋" w:eastAsia="仿宋" w:cs="宋体"/>
          <w:color w:val="auto"/>
          <w:sz w:val="24"/>
          <w:highlight w:val="none"/>
        </w:rPr>
        <w:t>2019〕32号）规定，编写了综合评估法一种评标方法。第三章“评标办法”前附表应列明全部评审因素和评审标准，并在本章（前附表及正文）以醒目的方式标明投标人不满足要求即导致否决投标的全部条款。招标人在满足第三章“评标办法”相关注释的前提下，各评审因素的评审标准和分值等由招标人根据项目特点和需要合理</w:t>
      </w:r>
      <w:r>
        <w:rPr>
          <w:rFonts w:hint="eastAsia" w:ascii="仿宋" w:hAnsi="仿宋" w:eastAsia="仿宋" w:cs="宋体"/>
          <w:color w:val="auto"/>
          <w:sz w:val="24"/>
          <w:highlight w:val="none"/>
        </w:rPr>
        <w:t>确定。</w:t>
      </w:r>
    </w:p>
    <w:p w14:paraId="5775D8E0">
      <w:pPr>
        <w:pStyle w:val="276"/>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九、第五章“委托人要求”由招标人根据《</w:t>
      </w:r>
      <w:r>
        <w:rPr>
          <w:rFonts w:hint="eastAsia" w:ascii="仿宋" w:hAnsi="仿宋" w:eastAsia="仿宋" w:cs="宋体"/>
          <w:color w:val="auto"/>
          <w:sz w:val="24"/>
          <w:highlight w:val="none"/>
          <w:lang w:eastAsia="zh-CN"/>
        </w:rPr>
        <w:t>普通公路标准文件</w:t>
      </w:r>
      <w:r>
        <w:rPr>
          <w:rFonts w:hint="eastAsia" w:ascii="仿宋" w:hAnsi="仿宋" w:eastAsia="仿宋" w:cs="宋体"/>
          <w:color w:val="auto"/>
          <w:sz w:val="24"/>
          <w:highlight w:val="none"/>
        </w:rPr>
        <w:t>》、招标项目具体特点和实际需要编制，并与“投标人须知”、“通用合同条款”、“专用合同条款”相衔接。</w:t>
      </w:r>
    </w:p>
    <w:p w14:paraId="3830C60E">
      <w:pPr>
        <w:pStyle w:val="276"/>
        <w:spacing w:line="360" w:lineRule="auto"/>
        <w:ind w:firstLine="480" w:firstLineChars="200"/>
        <w:rPr>
          <w:rFonts w:hint="eastAsia" w:ascii="仿宋" w:hAnsi="仿宋" w:eastAsia="仿宋" w:cs="宋体"/>
          <w:color w:val="auto"/>
          <w:sz w:val="24"/>
          <w:highlight w:val="none"/>
          <w:lang w:eastAsia="zh-CN"/>
        </w:rPr>
      </w:pPr>
      <w:r>
        <w:rPr>
          <w:rFonts w:hint="eastAsia" w:ascii="仿宋" w:hAnsi="仿宋" w:eastAsia="仿宋" w:cs="宋体"/>
          <w:color w:val="auto"/>
          <w:sz w:val="24"/>
          <w:highlight w:val="none"/>
        </w:rPr>
        <w:t>十、</w:t>
      </w:r>
      <w:bookmarkStart w:id="0" w:name="_Hlk98866082"/>
      <w:r>
        <w:rPr>
          <w:rFonts w:hint="eastAsia" w:ascii="仿宋" w:hAnsi="仿宋" w:eastAsia="仿宋" w:cs="宋体"/>
          <w:color w:val="auto"/>
          <w:sz w:val="24"/>
          <w:highlight w:val="none"/>
        </w:rPr>
        <w:t>全国公共资源交易平台（四川省）</w:t>
      </w:r>
      <w:r>
        <w:rPr>
          <w:rFonts w:hint="eastAsia" w:ascii="仿宋" w:hAnsi="仿宋" w:eastAsia="仿宋" w:cs="宋体"/>
          <w:color w:val="auto"/>
          <w:sz w:val="24"/>
          <w:highlight w:val="none"/>
          <w:lang w:val="en-US" w:eastAsia="zh-CN"/>
        </w:rPr>
        <w:t>已按照</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普通公路</w:t>
      </w:r>
      <w:r>
        <w:rPr>
          <w:rFonts w:hint="eastAsia" w:ascii="仿宋" w:hAnsi="仿宋" w:eastAsia="仿宋" w:cs="宋体"/>
          <w:color w:val="auto"/>
          <w:sz w:val="24"/>
          <w:highlight w:val="none"/>
        </w:rPr>
        <w:t>标准文件》</w:t>
      </w:r>
      <w:r>
        <w:rPr>
          <w:rFonts w:hint="eastAsia" w:ascii="仿宋" w:hAnsi="仿宋" w:eastAsia="仿宋" w:cs="宋体"/>
          <w:color w:val="auto"/>
          <w:sz w:val="24"/>
          <w:highlight w:val="none"/>
          <w:lang w:val="en-US" w:eastAsia="zh-CN"/>
        </w:rPr>
        <w:t>的要求建设</w:t>
      </w:r>
      <w:r>
        <w:rPr>
          <w:rFonts w:hint="eastAsia" w:ascii="仿宋" w:hAnsi="仿宋" w:eastAsia="仿宋" w:cs="宋体"/>
          <w:color w:val="auto"/>
          <w:sz w:val="24"/>
          <w:highlight w:val="none"/>
        </w:rPr>
        <w:t>“四川省公路水运工程电子招标投标系统”，招标人在线编制招标文件</w:t>
      </w:r>
      <w:bookmarkEnd w:id="0"/>
      <w:r>
        <w:rPr>
          <w:rFonts w:hint="eastAsia" w:ascii="仿宋" w:hAnsi="仿宋" w:eastAsia="仿宋" w:cs="宋体"/>
          <w:color w:val="auto"/>
          <w:sz w:val="24"/>
          <w:highlight w:val="none"/>
          <w:lang w:eastAsia="zh-CN"/>
        </w:rPr>
        <w:t>。</w:t>
      </w:r>
      <w:r>
        <w:rPr>
          <w:rFonts w:hint="eastAsia" w:ascii="仿宋" w:hAnsi="仿宋" w:eastAsia="仿宋" w:cs="Times New Roman"/>
          <w:color w:val="auto"/>
          <w:sz w:val="24"/>
          <w:szCs w:val="24"/>
          <w:highlight w:val="none"/>
        </w:rPr>
        <w:t>当项目在市（州）交易中心</w:t>
      </w:r>
      <w:r>
        <w:rPr>
          <w:rFonts w:hint="eastAsia" w:ascii="仿宋" w:hAnsi="仿宋" w:eastAsia="仿宋" w:cs="Times New Roman"/>
          <w:color w:val="auto"/>
          <w:sz w:val="24"/>
          <w:szCs w:val="24"/>
          <w:highlight w:val="none"/>
          <w:lang w:eastAsia="zh-CN"/>
        </w:rPr>
        <w:t>分平台</w:t>
      </w:r>
      <w:r>
        <w:rPr>
          <w:rFonts w:hint="eastAsia" w:ascii="仿宋" w:hAnsi="仿宋" w:eastAsia="仿宋" w:cs="Times New Roman"/>
          <w:color w:val="auto"/>
          <w:sz w:val="24"/>
          <w:szCs w:val="24"/>
          <w:highlight w:val="none"/>
        </w:rPr>
        <w:t>交易时，</w:t>
      </w:r>
      <w:r>
        <w:rPr>
          <w:rFonts w:hint="eastAsia" w:ascii="仿宋" w:hAnsi="仿宋" w:eastAsia="仿宋" w:cs="Times New Roman"/>
          <w:color w:val="auto"/>
          <w:sz w:val="24"/>
          <w:szCs w:val="24"/>
          <w:highlight w:val="none"/>
          <w:lang w:eastAsia="zh-CN"/>
        </w:rPr>
        <w:t>其“</w:t>
      </w:r>
      <w:r>
        <w:rPr>
          <w:rFonts w:hint="eastAsia" w:ascii="仿宋" w:hAnsi="仿宋" w:eastAsia="仿宋" w:cs="宋体"/>
          <w:color w:val="auto"/>
          <w:sz w:val="24"/>
          <w:highlight w:val="none"/>
        </w:rPr>
        <w:t>电子招标投标系统</w:t>
      </w:r>
      <w:r>
        <w:rPr>
          <w:rFonts w:hint="eastAsia" w:ascii="仿宋" w:hAnsi="仿宋" w:eastAsia="仿宋" w:cs="Times New Roman"/>
          <w:color w:val="auto"/>
          <w:sz w:val="24"/>
          <w:szCs w:val="24"/>
          <w:highlight w:val="none"/>
          <w:lang w:eastAsia="zh-CN"/>
        </w:rPr>
        <w:t>”应符合</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val="en-US" w:eastAsia="zh-CN"/>
        </w:rPr>
        <w:t>普通公路标准文件</w:t>
      </w:r>
      <w:r>
        <w:rPr>
          <w:rFonts w:hint="eastAsia" w:ascii="仿宋" w:hAnsi="仿宋" w:eastAsia="仿宋" w:cs="宋体"/>
          <w:color w:val="auto"/>
          <w:sz w:val="24"/>
          <w:highlight w:val="none"/>
        </w:rPr>
        <w:t>》</w:t>
      </w:r>
      <w:r>
        <w:rPr>
          <w:rFonts w:hint="eastAsia" w:ascii="仿宋" w:hAnsi="仿宋" w:eastAsia="仿宋" w:cs="宋体"/>
          <w:color w:val="auto"/>
          <w:sz w:val="24"/>
          <w:highlight w:val="none"/>
          <w:lang w:eastAsia="zh-CN"/>
        </w:rPr>
        <w:t>要求。</w:t>
      </w:r>
    </w:p>
    <w:p w14:paraId="4E54C333">
      <w:pPr>
        <w:pStyle w:val="276"/>
        <w:spacing w:line="360" w:lineRule="auto"/>
        <w:ind w:firstLine="480" w:firstLineChars="200"/>
        <w:rPr>
          <w:rFonts w:ascii="宋体" w:hAnsi="宋体" w:cs="宋体"/>
          <w:color w:val="auto"/>
          <w:highlight w:val="none"/>
        </w:rPr>
      </w:pPr>
      <w:r>
        <w:rPr>
          <w:rFonts w:hint="eastAsia" w:ascii="仿宋" w:hAnsi="仿宋" w:eastAsia="仿宋" w:cs="宋体"/>
          <w:color w:val="auto"/>
          <w:sz w:val="24"/>
          <w:highlight w:val="none"/>
          <w:lang w:val="en-US" w:eastAsia="zh-CN"/>
        </w:rPr>
        <w:t>十一、</w:t>
      </w:r>
      <w:r>
        <w:rPr>
          <w:rFonts w:hint="eastAsia" w:ascii="仿宋" w:hAnsi="仿宋" w:eastAsia="仿宋" w:cs="宋体"/>
          <w:color w:val="auto"/>
          <w:sz w:val="24"/>
          <w:highlight w:val="none"/>
        </w:rPr>
        <w:t>各使用单位对《</w:t>
      </w:r>
      <w:r>
        <w:rPr>
          <w:rFonts w:hint="eastAsia" w:ascii="仿宋" w:hAnsi="仿宋" w:eastAsia="仿宋" w:cs="宋体"/>
          <w:color w:val="auto"/>
          <w:sz w:val="24"/>
          <w:highlight w:val="none"/>
          <w:lang w:eastAsia="zh-CN"/>
        </w:rPr>
        <w:t>普通公路标准文件</w:t>
      </w:r>
      <w:r>
        <w:rPr>
          <w:rFonts w:hint="eastAsia" w:ascii="仿宋" w:hAnsi="仿宋" w:eastAsia="仿宋" w:cs="宋体"/>
          <w:color w:val="auto"/>
          <w:sz w:val="24"/>
          <w:highlight w:val="none"/>
        </w:rPr>
        <w:t>》在实施过程中，遇到的相关问题或修改意见和建议，请及时反馈</w:t>
      </w:r>
      <w:r>
        <w:rPr>
          <w:rFonts w:hint="eastAsia" w:ascii="仿宋" w:hAnsi="仿宋" w:eastAsia="仿宋"/>
          <w:color w:val="auto"/>
          <w:sz w:val="24"/>
          <w:highlight w:val="none"/>
        </w:rPr>
        <w:t>四川省交通运输厅</w:t>
      </w:r>
      <w:r>
        <w:rPr>
          <w:rFonts w:hint="eastAsia" w:ascii="仿宋" w:hAnsi="仿宋" w:eastAsia="仿宋"/>
          <w:color w:val="auto"/>
          <w:sz w:val="24"/>
          <w:highlight w:val="none"/>
          <w:lang w:eastAsia="zh-CN"/>
        </w:rPr>
        <w:t>建设管理处、</w:t>
      </w:r>
      <w:r>
        <w:rPr>
          <w:rFonts w:hint="eastAsia" w:ascii="仿宋" w:hAnsi="仿宋" w:eastAsia="仿宋" w:cs="宋体"/>
          <w:color w:val="auto"/>
          <w:sz w:val="24"/>
          <w:highlight w:val="none"/>
        </w:rPr>
        <w:t>四川省交通运输厅公路局。</w:t>
      </w:r>
      <w:r>
        <w:rPr>
          <w:rFonts w:ascii="宋体" w:hAnsi="宋体" w:cs="宋体"/>
          <w:color w:val="auto"/>
          <w:highlight w:val="none"/>
        </w:rPr>
        <w:br w:type="page"/>
      </w:r>
    </w:p>
    <w:p w14:paraId="16ED4F14">
      <w:pPr>
        <w:pStyle w:val="276"/>
        <w:spacing w:line="360" w:lineRule="auto"/>
        <w:rPr>
          <w:rFonts w:ascii="黑体" w:hAnsi="黑体" w:eastAsia="黑体" w:cs="宋体"/>
          <w:color w:val="auto"/>
          <w:sz w:val="36"/>
          <w:szCs w:val="36"/>
          <w:highlight w:val="none"/>
          <w:u w:val="single"/>
        </w:rPr>
      </w:pPr>
    </w:p>
    <w:p w14:paraId="262A1B07">
      <w:pPr>
        <w:pStyle w:val="276"/>
        <w:spacing w:line="360" w:lineRule="auto"/>
        <w:ind w:firstLine="720" w:firstLineChars="200"/>
        <w:rPr>
          <w:rFonts w:ascii="宋体" w:hAnsi="宋体" w:cs="宋体"/>
          <w:color w:val="auto"/>
          <w:highlight w:val="none"/>
        </w:rPr>
      </w:pPr>
      <w:r>
        <w:rPr>
          <w:rFonts w:hint="eastAsia" w:ascii="黑体" w:hAnsi="黑体" w:eastAsia="黑体"/>
          <w:color w:val="auto"/>
          <w:sz w:val="36"/>
          <w:szCs w:val="36"/>
          <w:highlight w:val="none"/>
          <w:u w:val="single"/>
        </w:rPr>
        <w:t xml:space="preserve">   </w:t>
      </w:r>
      <w:r>
        <w:rPr>
          <w:rFonts w:ascii="黑体" w:hAnsi="黑体" w:eastAsia="黑体"/>
          <w:color w:val="auto"/>
          <w:sz w:val="36"/>
          <w:szCs w:val="36"/>
          <w:highlight w:val="none"/>
          <w:u w:val="single"/>
        </w:rPr>
        <w:t xml:space="preserve"> </w:t>
      </w:r>
      <w:r>
        <w:rPr>
          <w:rFonts w:hint="eastAsia" w:ascii="黑体" w:hAnsi="黑体" w:eastAsia="黑体"/>
          <w:color w:val="auto"/>
          <w:sz w:val="36"/>
          <w:szCs w:val="36"/>
          <w:highlight w:val="none"/>
          <w:u w:val="single"/>
          <w:lang w:val="en-US" w:eastAsia="zh-CN"/>
        </w:rPr>
        <w:t xml:space="preserve">          </w:t>
      </w:r>
      <w:r>
        <w:rPr>
          <w:rFonts w:ascii="黑体" w:hAnsi="黑体" w:eastAsia="黑体"/>
          <w:color w:val="auto"/>
          <w:sz w:val="36"/>
          <w:szCs w:val="36"/>
          <w:highlight w:val="none"/>
          <w:u w:val="single"/>
        </w:rPr>
        <w:t xml:space="preserve">    </w:t>
      </w:r>
      <w:r>
        <w:rPr>
          <w:rFonts w:hint="eastAsia" w:ascii="黑体" w:hAnsi="黑体" w:eastAsia="黑体"/>
          <w:color w:val="auto"/>
          <w:sz w:val="36"/>
          <w:szCs w:val="36"/>
          <w:highlight w:val="none"/>
        </w:rPr>
        <w:t>（</w:t>
      </w:r>
      <w:r>
        <w:rPr>
          <w:rFonts w:hint="eastAsia" w:ascii="黑体" w:hAnsi="黑体" w:eastAsia="黑体"/>
          <w:color w:val="auto"/>
          <w:sz w:val="36"/>
          <w:szCs w:val="36"/>
          <w:highlight w:val="none"/>
          <w:lang w:val="en-US" w:eastAsia="zh-CN"/>
        </w:rPr>
        <w:t>招标</w:t>
      </w:r>
      <w:r>
        <w:rPr>
          <w:rFonts w:hint="eastAsia" w:ascii="黑体" w:hAnsi="黑体" w:eastAsia="黑体"/>
          <w:color w:val="auto"/>
          <w:sz w:val="36"/>
          <w:szCs w:val="36"/>
          <w:highlight w:val="none"/>
        </w:rPr>
        <w:t>项目名称）</w:t>
      </w:r>
      <w:r>
        <w:rPr>
          <w:rStyle w:val="58"/>
          <w:rFonts w:ascii="黑体" w:hAnsi="黑体" w:eastAsia="黑体"/>
          <w:color w:val="auto"/>
          <w:sz w:val="36"/>
          <w:szCs w:val="36"/>
          <w:highlight w:val="none"/>
        </w:rPr>
        <w:footnoteReference w:id="0"/>
      </w:r>
      <w:r>
        <w:rPr>
          <w:rFonts w:hint="eastAsia" w:ascii="黑体" w:hAnsi="黑体" w:eastAsia="黑体"/>
          <w:color w:val="auto"/>
          <w:sz w:val="36"/>
          <w:szCs w:val="36"/>
          <w:highlight w:val="none"/>
        </w:rPr>
        <w:t>招标</w:t>
      </w:r>
    </w:p>
    <w:p w14:paraId="23E33AD3">
      <w:pPr>
        <w:pStyle w:val="276"/>
        <w:rPr>
          <w:rFonts w:ascii="宋体" w:hAnsi="宋体" w:cs="宋体"/>
          <w:color w:val="auto"/>
          <w:highlight w:val="none"/>
        </w:rPr>
      </w:pPr>
    </w:p>
    <w:p w14:paraId="5C1163F5">
      <w:pPr>
        <w:pStyle w:val="276"/>
        <w:rPr>
          <w:rFonts w:ascii="宋体" w:hAnsi="宋体" w:cs="宋体"/>
          <w:color w:val="auto"/>
          <w:highlight w:val="none"/>
        </w:rPr>
      </w:pPr>
    </w:p>
    <w:p w14:paraId="6586EFEE">
      <w:pPr>
        <w:pStyle w:val="276"/>
        <w:rPr>
          <w:rFonts w:ascii="宋体" w:hAnsi="宋体" w:cs="宋体"/>
          <w:color w:val="auto"/>
          <w:highlight w:val="none"/>
        </w:rPr>
      </w:pPr>
    </w:p>
    <w:p w14:paraId="6EC98D11">
      <w:pPr>
        <w:pStyle w:val="276"/>
        <w:rPr>
          <w:rFonts w:ascii="宋体" w:hAnsi="宋体" w:cs="宋体"/>
          <w:color w:val="auto"/>
          <w:highlight w:val="none"/>
        </w:rPr>
      </w:pPr>
    </w:p>
    <w:p w14:paraId="77003501">
      <w:pPr>
        <w:pStyle w:val="276"/>
        <w:rPr>
          <w:rFonts w:ascii="宋体" w:hAnsi="宋体" w:cs="宋体"/>
          <w:color w:val="auto"/>
          <w:highlight w:val="none"/>
        </w:rPr>
      </w:pPr>
    </w:p>
    <w:p w14:paraId="1BE5BC5A">
      <w:pPr>
        <w:pStyle w:val="276"/>
        <w:rPr>
          <w:rFonts w:ascii="宋体" w:hAnsi="宋体" w:cs="宋体"/>
          <w:color w:val="auto"/>
          <w:highlight w:val="none"/>
        </w:rPr>
      </w:pPr>
    </w:p>
    <w:p w14:paraId="35A95125">
      <w:pPr>
        <w:pStyle w:val="276"/>
        <w:rPr>
          <w:rFonts w:ascii="宋体" w:hAnsi="宋体" w:cs="宋体"/>
          <w:color w:val="auto"/>
          <w:highlight w:val="none"/>
        </w:rPr>
      </w:pPr>
    </w:p>
    <w:p w14:paraId="5C0B5918">
      <w:pPr>
        <w:pStyle w:val="276"/>
        <w:rPr>
          <w:rFonts w:ascii="宋体" w:hAnsi="宋体" w:cs="宋体"/>
          <w:color w:val="auto"/>
          <w:highlight w:val="none"/>
        </w:rPr>
      </w:pPr>
    </w:p>
    <w:p w14:paraId="313BA7AE">
      <w:pPr>
        <w:pStyle w:val="276"/>
        <w:rPr>
          <w:rFonts w:ascii="宋体" w:hAnsi="宋体" w:cs="宋体"/>
          <w:color w:val="auto"/>
          <w:highlight w:val="none"/>
        </w:rPr>
      </w:pPr>
    </w:p>
    <w:p w14:paraId="248514E7">
      <w:pPr>
        <w:pStyle w:val="276"/>
        <w:rPr>
          <w:rFonts w:ascii="宋体" w:hAnsi="宋体" w:cs="宋体"/>
          <w:color w:val="auto"/>
          <w:highlight w:val="none"/>
        </w:rPr>
      </w:pPr>
    </w:p>
    <w:p w14:paraId="35AAAE49">
      <w:pPr>
        <w:pStyle w:val="276"/>
        <w:rPr>
          <w:rFonts w:ascii="宋体" w:hAnsi="宋体" w:cs="宋体"/>
          <w:color w:val="auto"/>
          <w:highlight w:val="none"/>
        </w:rPr>
      </w:pPr>
    </w:p>
    <w:p w14:paraId="4CC439F0">
      <w:pPr>
        <w:pStyle w:val="276"/>
        <w:rPr>
          <w:rFonts w:ascii="宋体" w:hAnsi="宋体" w:cs="宋体"/>
          <w:color w:val="auto"/>
          <w:highlight w:val="none"/>
        </w:rPr>
      </w:pPr>
    </w:p>
    <w:p w14:paraId="2A360DA6">
      <w:pPr>
        <w:pStyle w:val="276"/>
        <w:rPr>
          <w:rFonts w:ascii="宋体" w:hAnsi="宋体" w:cs="宋体"/>
          <w:color w:val="auto"/>
          <w:highlight w:val="none"/>
        </w:rPr>
      </w:pPr>
    </w:p>
    <w:p w14:paraId="54930E65">
      <w:pPr>
        <w:pStyle w:val="276"/>
        <w:jc w:val="center"/>
        <w:rPr>
          <w:rFonts w:ascii="黑体" w:hAnsi="黑体" w:eastAsia="黑体" w:cs="黑体"/>
          <w:color w:val="auto"/>
          <w:sz w:val="80"/>
          <w:szCs w:val="80"/>
          <w:highlight w:val="none"/>
        </w:rPr>
      </w:pPr>
      <w:r>
        <w:rPr>
          <w:rFonts w:hint="eastAsia" w:ascii="黑体" w:hAnsi="黑体" w:eastAsia="黑体" w:cs="黑体"/>
          <w:color w:val="auto"/>
          <w:sz w:val="80"/>
          <w:szCs w:val="80"/>
          <w:highlight w:val="none"/>
        </w:rPr>
        <w:t>招</w:t>
      </w:r>
      <w:r>
        <w:rPr>
          <w:rFonts w:ascii="黑体" w:hAnsi="黑体" w:eastAsia="黑体" w:cs="黑体"/>
          <w:color w:val="auto"/>
          <w:sz w:val="80"/>
          <w:szCs w:val="80"/>
          <w:highlight w:val="none"/>
        </w:rPr>
        <w:t xml:space="preserve"> </w:t>
      </w:r>
      <w:r>
        <w:rPr>
          <w:rFonts w:hint="eastAsia" w:ascii="黑体" w:hAnsi="黑体" w:eastAsia="黑体" w:cs="黑体"/>
          <w:color w:val="auto"/>
          <w:sz w:val="80"/>
          <w:szCs w:val="80"/>
          <w:highlight w:val="none"/>
        </w:rPr>
        <w:t>标</w:t>
      </w:r>
      <w:r>
        <w:rPr>
          <w:rFonts w:ascii="黑体" w:hAnsi="黑体" w:eastAsia="黑体" w:cs="黑体"/>
          <w:color w:val="auto"/>
          <w:sz w:val="80"/>
          <w:szCs w:val="80"/>
          <w:highlight w:val="none"/>
        </w:rPr>
        <w:t xml:space="preserve"> </w:t>
      </w:r>
      <w:r>
        <w:rPr>
          <w:rFonts w:hint="eastAsia" w:ascii="黑体" w:hAnsi="黑体" w:eastAsia="黑体" w:cs="黑体"/>
          <w:color w:val="auto"/>
          <w:sz w:val="80"/>
          <w:szCs w:val="80"/>
          <w:highlight w:val="none"/>
        </w:rPr>
        <w:t>文</w:t>
      </w:r>
      <w:r>
        <w:rPr>
          <w:rFonts w:ascii="黑体" w:hAnsi="黑体" w:eastAsia="黑体" w:cs="黑体"/>
          <w:color w:val="auto"/>
          <w:sz w:val="80"/>
          <w:szCs w:val="80"/>
          <w:highlight w:val="none"/>
        </w:rPr>
        <w:t xml:space="preserve"> </w:t>
      </w:r>
      <w:r>
        <w:rPr>
          <w:rFonts w:hint="eastAsia" w:ascii="黑体" w:hAnsi="黑体" w:eastAsia="黑体" w:cs="黑体"/>
          <w:color w:val="auto"/>
          <w:sz w:val="80"/>
          <w:szCs w:val="80"/>
          <w:highlight w:val="none"/>
        </w:rPr>
        <w:t>件</w:t>
      </w:r>
    </w:p>
    <w:p w14:paraId="06D50004">
      <w:pPr>
        <w:pStyle w:val="276"/>
        <w:rPr>
          <w:rFonts w:ascii="宋体" w:hAnsi="宋体" w:cs="宋体"/>
          <w:color w:val="auto"/>
          <w:highlight w:val="none"/>
        </w:rPr>
      </w:pPr>
    </w:p>
    <w:p w14:paraId="17796213">
      <w:pPr>
        <w:pStyle w:val="276"/>
        <w:rPr>
          <w:rFonts w:ascii="宋体" w:hAnsi="宋体" w:cs="宋体"/>
          <w:color w:val="auto"/>
          <w:highlight w:val="none"/>
        </w:rPr>
      </w:pPr>
    </w:p>
    <w:p w14:paraId="7841A6BC">
      <w:pPr>
        <w:pStyle w:val="276"/>
        <w:rPr>
          <w:rFonts w:ascii="宋体" w:hAnsi="宋体" w:cs="宋体"/>
          <w:color w:val="auto"/>
          <w:highlight w:val="none"/>
        </w:rPr>
      </w:pPr>
    </w:p>
    <w:p w14:paraId="587D6044">
      <w:pPr>
        <w:pStyle w:val="276"/>
        <w:rPr>
          <w:rFonts w:ascii="宋体" w:hAnsi="宋体" w:cs="宋体"/>
          <w:color w:val="auto"/>
          <w:highlight w:val="none"/>
        </w:rPr>
      </w:pPr>
    </w:p>
    <w:p w14:paraId="3AD8350D">
      <w:pPr>
        <w:pStyle w:val="276"/>
        <w:rPr>
          <w:rFonts w:ascii="宋体" w:hAnsi="宋体" w:cs="宋体"/>
          <w:color w:val="auto"/>
          <w:highlight w:val="none"/>
        </w:rPr>
      </w:pPr>
    </w:p>
    <w:p w14:paraId="798F4FD0">
      <w:pPr>
        <w:pStyle w:val="276"/>
        <w:rPr>
          <w:rFonts w:ascii="宋体" w:hAnsi="宋体" w:cs="宋体"/>
          <w:color w:val="auto"/>
          <w:highlight w:val="none"/>
        </w:rPr>
      </w:pPr>
    </w:p>
    <w:p w14:paraId="175EDCBF">
      <w:pPr>
        <w:pStyle w:val="276"/>
        <w:rPr>
          <w:rFonts w:ascii="宋体" w:hAnsi="宋体" w:cs="宋体"/>
          <w:color w:val="auto"/>
          <w:highlight w:val="none"/>
        </w:rPr>
      </w:pPr>
    </w:p>
    <w:p w14:paraId="38A0FD19">
      <w:pPr>
        <w:pStyle w:val="276"/>
        <w:rPr>
          <w:rFonts w:ascii="宋体" w:hAnsi="宋体" w:cs="宋体"/>
          <w:color w:val="auto"/>
          <w:highlight w:val="none"/>
        </w:rPr>
      </w:pPr>
    </w:p>
    <w:p w14:paraId="717F619F">
      <w:pPr>
        <w:pStyle w:val="276"/>
        <w:rPr>
          <w:rFonts w:ascii="宋体" w:hAnsi="宋体" w:cs="宋体"/>
          <w:color w:val="auto"/>
          <w:highlight w:val="none"/>
        </w:rPr>
      </w:pPr>
    </w:p>
    <w:p w14:paraId="2824237C">
      <w:pPr>
        <w:pStyle w:val="276"/>
        <w:rPr>
          <w:rFonts w:ascii="宋体" w:hAnsi="宋体" w:cs="宋体"/>
          <w:color w:val="auto"/>
          <w:highlight w:val="none"/>
        </w:rPr>
      </w:pPr>
    </w:p>
    <w:p w14:paraId="191FF7E5">
      <w:pPr>
        <w:pStyle w:val="276"/>
        <w:rPr>
          <w:rFonts w:ascii="宋体" w:hAnsi="宋体" w:cs="宋体"/>
          <w:color w:val="auto"/>
          <w:highlight w:val="none"/>
        </w:rPr>
      </w:pPr>
    </w:p>
    <w:p w14:paraId="6E41DC4C">
      <w:pPr>
        <w:pStyle w:val="276"/>
        <w:rPr>
          <w:rFonts w:ascii="宋体" w:hAnsi="宋体" w:cs="宋体"/>
          <w:color w:val="auto"/>
          <w:highlight w:val="none"/>
        </w:rPr>
      </w:pPr>
    </w:p>
    <w:p w14:paraId="5E467017">
      <w:pPr>
        <w:pStyle w:val="276"/>
        <w:rPr>
          <w:rFonts w:ascii="宋体" w:hAnsi="宋体" w:cs="宋体"/>
          <w:color w:val="auto"/>
          <w:highlight w:val="none"/>
        </w:rPr>
      </w:pPr>
    </w:p>
    <w:p w14:paraId="13DF8B9A">
      <w:pPr>
        <w:pStyle w:val="276"/>
        <w:rPr>
          <w:rFonts w:ascii="宋体" w:hAnsi="宋体" w:cs="宋体"/>
          <w:color w:val="auto"/>
          <w:highlight w:val="none"/>
        </w:rPr>
      </w:pPr>
    </w:p>
    <w:p w14:paraId="723E4BE6">
      <w:pPr>
        <w:pStyle w:val="276"/>
        <w:spacing w:line="480" w:lineRule="auto"/>
        <w:jc w:val="center"/>
        <w:rPr>
          <w:rFonts w:ascii="黑体" w:hAnsi="黑体" w:eastAsia="黑体" w:cs="宋体"/>
          <w:color w:val="auto"/>
          <w:sz w:val="28"/>
          <w:szCs w:val="28"/>
          <w:highlight w:val="none"/>
        </w:rPr>
      </w:pPr>
      <w:r>
        <w:rPr>
          <w:rFonts w:ascii="宋体" w:hAnsi="宋体" w:cs="宋体"/>
          <w:b/>
          <w:color w:val="auto"/>
          <w:sz w:val="28"/>
          <w:szCs w:val="28"/>
          <w:highlight w:val="none"/>
        </w:rPr>
        <w:t xml:space="preserve"> </w:t>
      </w:r>
      <w:r>
        <w:rPr>
          <w:rFonts w:hint="eastAsia" w:ascii="黑体" w:hAnsi="黑体" w:eastAsia="黑体" w:cs="宋体"/>
          <w:color w:val="auto"/>
          <w:sz w:val="28"/>
          <w:szCs w:val="28"/>
          <w:highlight w:val="none"/>
        </w:rPr>
        <w:t>招标人：</w:t>
      </w:r>
      <w:r>
        <w:rPr>
          <w:rFonts w:ascii="黑体" w:hAnsi="黑体" w:eastAsia="黑体" w:cs="宋体"/>
          <w:color w:val="auto"/>
          <w:sz w:val="28"/>
          <w:szCs w:val="28"/>
          <w:highlight w:val="none"/>
        </w:rPr>
        <w:t xml:space="preserve"> </w:t>
      </w:r>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（盖单位电子印章）</w:t>
      </w:r>
    </w:p>
    <w:p w14:paraId="5826BFAB">
      <w:pPr>
        <w:pStyle w:val="276"/>
        <w:spacing w:line="480" w:lineRule="auto"/>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w:t>
      </w:r>
      <w:r>
        <w:rPr>
          <w:rFonts w:ascii="黑体" w:hAnsi="黑体" w:eastAsia="黑体" w:cs="宋体"/>
          <w:color w:val="auto"/>
          <w:sz w:val="28"/>
          <w:szCs w:val="28"/>
          <w:highlight w:val="none"/>
        </w:rPr>
        <w:t xml:space="preserve"> </w:t>
      </w:r>
      <w:r>
        <w:rPr>
          <w:rFonts w:hint="eastAsia" w:ascii="黑体" w:hAnsi="黑体" w:eastAsia="黑体" w:cs="宋体"/>
          <w:color w:val="auto"/>
          <w:sz w:val="28"/>
          <w:szCs w:val="28"/>
          <w:highlight w:val="none"/>
        </w:rPr>
        <w:t>招标代理机构：</w:t>
      </w:r>
      <w:r>
        <w:rPr>
          <w:rFonts w:ascii="黑体" w:hAnsi="黑体" w:eastAsia="黑体" w:cs="宋体"/>
          <w:color w:val="auto"/>
          <w:sz w:val="28"/>
          <w:szCs w:val="28"/>
          <w:highlight w:val="none"/>
        </w:rPr>
        <w:t xml:space="preserve"> </w:t>
      </w:r>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（盖单位电子印章）</w:t>
      </w:r>
    </w:p>
    <w:p w14:paraId="7BCB8A14">
      <w:pPr>
        <w:pStyle w:val="276"/>
        <w:spacing w:line="480" w:lineRule="auto"/>
        <w:rPr>
          <w:rFonts w:ascii="宋体" w:hAnsi="宋体" w:cs="宋体"/>
          <w:color w:val="auto"/>
          <w:sz w:val="44"/>
          <w:szCs w:val="44"/>
          <w:highlight w:val="none"/>
        </w:rPr>
      </w:pPr>
      <w:r>
        <w:rPr>
          <w:rFonts w:ascii="黑体" w:hAnsi="黑体" w:eastAsia="黑体" w:cs="宋体"/>
          <w:color w:val="auto"/>
          <w:sz w:val="28"/>
          <w:szCs w:val="28"/>
          <w:highlight w:val="none"/>
        </w:rPr>
        <w:t xml:space="preserve">                   </w:t>
      </w:r>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年</w:t>
      </w:r>
      <w:r>
        <w:rPr>
          <w:rFonts w:ascii="黑体" w:hAnsi="黑体" w:eastAsia="黑体" w:cs="宋体"/>
          <w:color w:val="auto"/>
          <w:sz w:val="28"/>
          <w:szCs w:val="28"/>
          <w:highlight w:val="none"/>
        </w:rPr>
        <w:t xml:space="preserve"> </w:t>
      </w:r>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月</w:t>
      </w:r>
      <w:r>
        <w:rPr>
          <w:rFonts w:ascii="宋体" w:hAnsi="宋体" w:cs="宋体"/>
          <w:color w:val="auto"/>
          <w:sz w:val="44"/>
          <w:szCs w:val="44"/>
          <w:highlight w:val="none"/>
        </w:rPr>
        <w:br w:type="page"/>
      </w:r>
    </w:p>
    <w:p w14:paraId="7E88E29D">
      <w:pPr>
        <w:pStyle w:val="34"/>
        <w:tabs>
          <w:tab w:val="right" w:leader="dot" w:pos="9282"/>
        </w:tabs>
        <w:jc w:val="center"/>
        <w:rPr>
          <w:rFonts w:ascii="黑体" w:hAnsi="黑体" w:eastAsia="黑体" w:cs="宋体"/>
          <w:b w:val="0"/>
          <w:color w:val="auto"/>
          <w:sz w:val="44"/>
          <w:szCs w:val="44"/>
          <w:highlight w:val="none"/>
        </w:rPr>
      </w:pPr>
      <w:r>
        <w:rPr>
          <w:rFonts w:hint="eastAsia" w:ascii="黑体" w:hAnsi="黑体" w:eastAsia="黑体" w:cs="宋体"/>
          <w:b w:val="0"/>
          <w:color w:val="auto"/>
          <w:sz w:val="44"/>
          <w:szCs w:val="44"/>
          <w:highlight w:val="none"/>
        </w:rPr>
        <w:t>目</w:t>
      </w:r>
      <w:r>
        <w:rPr>
          <w:rFonts w:ascii="黑体" w:hAnsi="黑体" w:eastAsia="黑体" w:cs="宋体"/>
          <w:b w:val="0"/>
          <w:color w:val="auto"/>
          <w:sz w:val="44"/>
          <w:szCs w:val="44"/>
          <w:highlight w:val="none"/>
        </w:rPr>
        <w:t xml:space="preserve">  </w:t>
      </w:r>
      <w:r>
        <w:rPr>
          <w:rFonts w:hint="eastAsia" w:ascii="黑体" w:hAnsi="黑体" w:eastAsia="黑体" w:cs="宋体"/>
          <w:b w:val="0"/>
          <w:color w:val="auto"/>
          <w:sz w:val="44"/>
          <w:szCs w:val="44"/>
          <w:highlight w:val="none"/>
        </w:rPr>
        <w:t>录</w:t>
      </w:r>
    </w:p>
    <w:p w14:paraId="4F0C56B8">
      <w:pPr>
        <w:rPr>
          <w:rFonts w:ascii="宋体" w:hAnsi="宋体" w:cs="宋体"/>
          <w:color w:val="auto"/>
          <w:highlight w:val="none"/>
        </w:rPr>
      </w:pPr>
    </w:p>
    <w:p w14:paraId="53AB91D4">
      <w:pPr>
        <w:spacing w:before="240" w:beforeLines="100" w:after="240" w:afterLines="100" w:line="480" w:lineRule="auto"/>
        <w:jc w:val="center"/>
        <w:rPr>
          <w:rStyle w:val="56"/>
          <w:rFonts w:ascii="黑体" w:hAnsi="黑体" w:eastAsia="黑体"/>
          <w:color w:val="auto"/>
          <w:sz w:val="30"/>
          <w:szCs w:val="30"/>
          <w:highlight w:val="none"/>
        </w:rPr>
      </w:pPr>
      <w:r>
        <w:rPr>
          <w:rFonts w:hint="eastAsia" w:ascii="宋体" w:hAnsi="宋体" w:cs="宋体"/>
          <w:b/>
          <w:bCs/>
          <w:caps/>
          <w:color w:val="auto"/>
          <w:sz w:val="24"/>
          <w:highlight w:val="none"/>
        </w:rPr>
        <w:fldChar w:fldCharType="begin"/>
      </w:r>
      <w:r>
        <w:rPr>
          <w:rFonts w:ascii="宋体" w:hAnsi="宋体" w:cs="宋体"/>
          <w:color w:val="auto"/>
          <w:sz w:val="24"/>
          <w:highlight w:val="none"/>
        </w:rPr>
        <w:instrText xml:space="preserve"> TOC \h \z \u \t "标题 1,1,标题 2,2,标题 3,3" </w:instrText>
      </w:r>
      <w:r>
        <w:rPr>
          <w:rFonts w:hint="eastAsia" w:ascii="宋体" w:hAnsi="宋体" w:cs="宋体"/>
          <w:b/>
          <w:bCs/>
          <w:caps/>
          <w:color w:val="auto"/>
          <w:sz w:val="24"/>
          <w:highlight w:val="none"/>
        </w:rPr>
        <w:fldChar w:fldCharType="separate"/>
      </w:r>
      <w:r>
        <w:rPr>
          <w:color w:val="auto"/>
          <w:highlight w:val="none"/>
        </w:rPr>
        <w:fldChar w:fldCharType="begin"/>
      </w:r>
      <w:r>
        <w:rPr>
          <w:color w:val="auto"/>
          <w:highlight w:val="none"/>
        </w:rPr>
        <w:instrText xml:space="preserve"> HYPERLINK \l "_Toc74760798" </w:instrText>
      </w:r>
      <w:r>
        <w:rPr>
          <w:color w:val="auto"/>
          <w:highlight w:val="none"/>
        </w:rPr>
        <w:fldChar w:fldCharType="separate"/>
      </w:r>
      <w:r>
        <w:rPr>
          <w:rStyle w:val="56"/>
          <w:rFonts w:hint="eastAsia" w:ascii="黑体" w:hAnsi="黑体" w:eastAsia="黑体"/>
          <w:color w:val="auto"/>
          <w:sz w:val="30"/>
          <w:szCs w:val="30"/>
          <w:highlight w:val="none"/>
        </w:rPr>
        <w:t>第</w:t>
      </w:r>
      <w:r>
        <w:rPr>
          <w:rStyle w:val="56"/>
          <w:rFonts w:ascii="黑体" w:hAnsi="黑体" w:eastAsia="黑体"/>
          <w:color w:val="auto"/>
          <w:sz w:val="30"/>
          <w:szCs w:val="30"/>
          <w:highlight w:val="none"/>
        </w:rPr>
        <w:t xml:space="preserve"> </w:t>
      </w:r>
      <w:r>
        <w:rPr>
          <w:rStyle w:val="56"/>
          <w:rFonts w:hint="eastAsia" w:ascii="黑体" w:hAnsi="黑体" w:eastAsia="黑体"/>
          <w:color w:val="auto"/>
          <w:sz w:val="30"/>
          <w:szCs w:val="30"/>
          <w:highlight w:val="none"/>
        </w:rPr>
        <w:t>一</w:t>
      </w:r>
      <w:r>
        <w:rPr>
          <w:rStyle w:val="56"/>
          <w:rFonts w:ascii="黑体" w:hAnsi="黑体" w:eastAsia="黑体"/>
          <w:color w:val="auto"/>
          <w:sz w:val="30"/>
          <w:szCs w:val="30"/>
          <w:highlight w:val="none"/>
        </w:rPr>
        <w:t xml:space="preserve"> </w:t>
      </w:r>
      <w:r>
        <w:rPr>
          <w:rStyle w:val="56"/>
          <w:rFonts w:hint="eastAsia" w:ascii="黑体" w:hAnsi="黑体" w:eastAsia="黑体"/>
          <w:color w:val="auto"/>
          <w:sz w:val="30"/>
          <w:szCs w:val="30"/>
          <w:highlight w:val="none"/>
        </w:rPr>
        <w:t>卷</w:t>
      </w:r>
      <w:r>
        <w:rPr>
          <w:rStyle w:val="56"/>
          <w:rFonts w:hint="eastAsia" w:ascii="黑体" w:hAnsi="黑体" w:eastAsia="黑体"/>
          <w:color w:val="auto"/>
          <w:sz w:val="30"/>
          <w:szCs w:val="30"/>
          <w:highlight w:val="none"/>
        </w:rPr>
        <w:fldChar w:fldCharType="end"/>
      </w:r>
    </w:p>
    <w:p w14:paraId="4B265E6A">
      <w:pPr>
        <w:pStyle w:val="34"/>
        <w:tabs>
          <w:tab w:val="right" w:leader="dot" w:pos="8778"/>
        </w:tabs>
        <w:spacing w:line="480" w:lineRule="auto"/>
        <w:rPr>
          <w:rStyle w:val="56"/>
          <w:rFonts w:cs="黑体" w:asciiTheme="minorEastAsia" w:hAnsiTheme="minorEastAsia" w:eastAsiaTheme="minorEastAsia"/>
          <w:b w:val="0"/>
          <w:bCs w:val="0"/>
          <w:caps w:val="0"/>
          <w:color w:val="auto"/>
          <w:kern w:val="0"/>
          <w:sz w:val="24"/>
          <w:szCs w:val="24"/>
          <w:highlight w:val="none"/>
          <w:lang w:eastAsia="en-US"/>
        </w:rPr>
      </w:pPr>
      <w:r>
        <w:rPr>
          <w:color w:val="auto"/>
          <w:highlight w:val="none"/>
        </w:rPr>
        <w:fldChar w:fldCharType="begin"/>
      </w:r>
      <w:r>
        <w:rPr>
          <w:color w:val="auto"/>
          <w:highlight w:val="none"/>
        </w:rPr>
        <w:instrText xml:space="preserve"> HYPERLINK \l "_Toc74760799" </w:instrText>
      </w:r>
      <w:r>
        <w:rPr>
          <w:color w:val="auto"/>
          <w:highlight w:val="none"/>
        </w:rPr>
        <w:fldChar w:fldCharType="separate"/>
      </w:r>
      <w:r>
        <w:rPr>
          <w:rStyle w:val="56"/>
          <w:rFonts w:hint="eastAsia" w:cs="黑体" w:asciiTheme="minorEastAsia" w:hAnsiTheme="minorEastAsia" w:eastAsiaTheme="minorEastAsia"/>
          <w:b w:val="0"/>
          <w:bCs w:val="0"/>
          <w:caps w:val="0"/>
          <w:color w:val="auto"/>
          <w:kern w:val="0"/>
          <w:sz w:val="24"/>
          <w:szCs w:val="24"/>
          <w:highlight w:val="none"/>
          <w:lang w:eastAsia="en-US"/>
        </w:rPr>
        <w:t>第一章</w:t>
      </w:r>
      <w:r>
        <w:rPr>
          <w:rStyle w:val="56"/>
          <w:rFonts w:cs="黑体" w:asciiTheme="minorEastAsia" w:hAnsiTheme="minorEastAsia" w:eastAsiaTheme="minorEastAsia"/>
          <w:b w:val="0"/>
          <w:bCs w:val="0"/>
          <w:caps w:val="0"/>
          <w:color w:val="auto"/>
          <w:kern w:val="0"/>
          <w:sz w:val="24"/>
          <w:szCs w:val="24"/>
          <w:highlight w:val="none"/>
          <w:lang w:eastAsia="en-US"/>
        </w:rPr>
        <w:t xml:space="preserve">  </w:t>
      </w:r>
      <w:r>
        <w:rPr>
          <w:rStyle w:val="56"/>
          <w:rFonts w:hint="eastAsia" w:cs="黑体" w:asciiTheme="minorEastAsia" w:hAnsiTheme="minorEastAsia" w:eastAsiaTheme="minorEastAsia"/>
          <w:b w:val="0"/>
          <w:bCs w:val="0"/>
          <w:caps w:val="0"/>
          <w:color w:val="auto"/>
          <w:kern w:val="0"/>
          <w:sz w:val="24"/>
          <w:szCs w:val="24"/>
          <w:highlight w:val="none"/>
          <w:lang w:eastAsia="en-US"/>
        </w:rPr>
        <w:t>招标公告</w:t>
      </w:r>
      <w:r>
        <w:rPr>
          <w:rStyle w:val="56"/>
          <w:rFonts w:cs="黑体" w:asciiTheme="minorEastAsia" w:hAnsiTheme="minorEastAsia" w:eastAsiaTheme="minorEastAsia"/>
          <w:b w:val="0"/>
          <w:bCs w:val="0"/>
          <w:caps w:val="0"/>
          <w:color w:val="auto"/>
          <w:kern w:val="0"/>
          <w:sz w:val="24"/>
          <w:szCs w:val="24"/>
          <w:highlight w:val="none"/>
          <w:lang w:eastAsia="en-US"/>
        </w:rPr>
        <w:tab/>
      </w:r>
      <w:r>
        <w:rPr>
          <w:rStyle w:val="56"/>
          <w:rFonts w:cs="黑体" w:asciiTheme="minorEastAsia" w:hAnsiTheme="minorEastAsia" w:eastAsiaTheme="minorEastAsia"/>
          <w:b w:val="0"/>
          <w:bCs w:val="0"/>
          <w:caps w:val="0"/>
          <w:color w:val="auto"/>
          <w:kern w:val="0"/>
          <w:sz w:val="24"/>
          <w:szCs w:val="24"/>
          <w:highlight w:val="none"/>
          <w:lang w:eastAsia="en-US"/>
        </w:rPr>
        <w:fldChar w:fldCharType="begin"/>
      </w:r>
      <w:r>
        <w:rPr>
          <w:rStyle w:val="56"/>
          <w:rFonts w:cs="黑体" w:asciiTheme="minorEastAsia" w:hAnsiTheme="minorEastAsia" w:eastAsiaTheme="minorEastAsia"/>
          <w:b w:val="0"/>
          <w:bCs w:val="0"/>
          <w:caps w:val="0"/>
          <w:color w:val="auto"/>
          <w:kern w:val="0"/>
          <w:sz w:val="24"/>
          <w:szCs w:val="24"/>
          <w:highlight w:val="none"/>
          <w:lang w:eastAsia="en-US"/>
        </w:rPr>
        <w:instrText xml:space="preserve"> PAGEREF _Toc74760799 \h </w:instrText>
      </w:r>
      <w:r>
        <w:rPr>
          <w:rStyle w:val="56"/>
          <w:rFonts w:cs="黑体" w:asciiTheme="minorEastAsia" w:hAnsiTheme="minorEastAsia" w:eastAsiaTheme="minorEastAsia"/>
          <w:b w:val="0"/>
          <w:bCs w:val="0"/>
          <w:caps w:val="0"/>
          <w:color w:val="auto"/>
          <w:kern w:val="0"/>
          <w:sz w:val="24"/>
          <w:szCs w:val="24"/>
          <w:highlight w:val="none"/>
          <w:lang w:eastAsia="en-US"/>
        </w:rPr>
        <w:fldChar w:fldCharType="separate"/>
      </w:r>
      <w:r>
        <w:rPr>
          <w:rStyle w:val="56"/>
          <w:rFonts w:cs="黑体" w:asciiTheme="minorEastAsia" w:hAnsiTheme="minorEastAsia" w:eastAsiaTheme="minorEastAsia"/>
          <w:b w:val="0"/>
          <w:bCs w:val="0"/>
          <w:caps w:val="0"/>
          <w:color w:val="auto"/>
          <w:kern w:val="0"/>
          <w:sz w:val="24"/>
          <w:szCs w:val="24"/>
          <w:highlight w:val="none"/>
          <w:lang w:eastAsia="en-US"/>
        </w:rPr>
        <w:t>2</w:t>
      </w:r>
      <w:r>
        <w:rPr>
          <w:rStyle w:val="56"/>
          <w:rFonts w:cs="黑体" w:asciiTheme="minorEastAsia" w:hAnsiTheme="minorEastAsia" w:eastAsiaTheme="minorEastAsia"/>
          <w:b w:val="0"/>
          <w:bCs w:val="0"/>
          <w:caps w:val="0"/>
          <w:color w:val="auto"/>
          <w:kern w:val="0"/>
          <w:sz w:val="24"/>
          <w:szCs w:val="24"/>
          <w:highlight w:val="none"/>
          <w:lang w:eastAsia="en-US"/>
        </w:rPr>
        <w:fldChar w:fldCharType="end"/>
      </w:r>
      <w:r>
        <w:rPr>
          <w:rStyle w:val="56"/>
          <w:rFonts w:cs="黑体" w:asciiTheme="minorEastAsia" w:hAnsiTheme="minorEastAsia" w:eastAsiaTheme="minorEastAsia"/>
          <w:b w:val="0"/>
          <w:bCs w:val="0"/>
          <w:caps w:val="0"/>
          <w:color w:val="auto"/>
          <w:kern w:val="0"/>
          <w:sz w:val="24"/>
          <w:szCs w:val="24"/>
          <w:highlight w:val="none"/>
          <w:lang w:eastAsia="en-US"/>
        </w:rPr>
        <w:fldChar w:fldCharType="end"/>
      </w:r>
    </w:p>
    <w:p w14:paraId="54F0444E">
      <w:pPr>
        <w:pStyle w:val="34"/>
        <w:tabs>
          <w:tab w:val="right" w:leader="dot" w:pos="8778"/>
        </w:tabs>
        <w:spacing w:line="480" w:lineRule="auto"/>
        <w:rPr>
          <w:rStyle w:val="56"/>
          <w:rFonts w:cs="黑体" w:asciiTheme="minorEastAsia" w:hAnsiTheme="minorEastAsia"/>
          <w:color w:val="auto"/>
          <w:kern w:val="0"/>
          <w:sz w:val="24"/>
          <w:szCs w:val="24"/>
          <w:highlight w:val="none"/>
          <w:lang w:eastAsia="en-US"/>
        </w:rPr>
      </w:pPr>
      <w:r>
        <w:rPr>
          <w:color w:val="auto"/>
          <w:highlight w:val="none"/>
        </w:rPr>
        <w:fldChar w:fldCharType="begin"/>
      </w:r>
      <w:r>
        <w:rPr>
          <w:color w:val="auto"/>
          <w:highlight w:val="none"/>
        </w:rPr>
        <w:instrText xml:space="preserve"> HYPERLINK \l "_Toc74760812" </w:instrText>
      </w:r>
      <w:r>
        <w:rPr>
          <w:color w:val="auto"/>
          <w:highlight w:val="none"/>
        </w:rPr>
        <w:fldChar w:fldCharType="separate"/>
      </w:r>
      <w:r>
        <w:rPr>
          <w:rStyle w:val="56"/>
          <w:rFonts w:hint="eastAsia" w:cs="黑体" w:asciiTheme="minorEastAsia" w:hAnsiTheme="minorEastAsia" w:eastAsiaTheme="minorEastAsia"/>
          <w:b w:val="0"/>
          <w:bCs w:val="0"/>
          <w:caps w:val="0"/>
          <w:color w:val="auto"/>
          <w:kern w:val="0"/>
          <w:sz w:val="24"/>
          <w:szCs w:val="24"/>
          <w:highlight w:val="none"/>
          <w:lang w:eastAsia="en-US"/>
        </w:rPr>
        <w:t>第二章</w:t>
      </w:r>
      <w:r>
        <w:rPr>
          <w:rStyle w:val="56"/>
          <w:rFonts w:cs="黑体" w:asciiTheme="minorEastAsia" w:hAnsiTheme="minorEastAsia" w:eastAsiaTheme="minorEastAsia"/>
          <w:b w:val="0"/>
          <w:bCs w:val="0"/>
          <w:caps w:val="0"/>
          <w:color w:val="auto"/>
          <w:kern w:val="0"/>
          <w:sz w:val="24"/>
          <w:szCs w:val="24"/>
          <w:highlight w:val="none"/>
          <w:lang w:eastAsia="en-US"/>
        </w:rPr>
        <w:t xml:space="preserve">  </w:t>
      </w:r>
      <w:r>
        <w:rPr>
          <w:rStyle w:val="56"/>
          <w:rFonts w:hint="eastAsia" w:cs="黑体" w:asciiTheme="minorEastAsia" w:hAnsiTheme="minorEastAsia" w:eastAsiaTheme="minorEastAsia"/>
          <w:b w:val="0"/>
          <w:bCs w:val="0"/>
          <w:caps w:val="0"/>
          <w:color w:val="auto"/>
          <w:kern w:val="0"/>
          <w:sz w:val="24"/>
          <w:szCs w:val="24"/>
          <w:highlight w:val="none"/>
          <w:lang w:eastAsia="en-US"/>
        </w:rPr>
        <w:t>投标人须知</w:t>
      </w:r>
      <w:r>
        <w:rPr>
          <w:rStyle w:val="56"/>
          <w:rFonts w:cs="黑体" w:asciiTheme="minorEastAsia" w:hAnsiTheme="minorEastAsia" w:eastAsiaTheme="minorEastAsia"/>
          <w:b w:val="0"/>
          <w:bCs w:val="0"/>
          <w:caps w:val="0"/>
          <w:color w:val="auto"/>
          <w:kern w:val="0"/>
          <w:sz w:val="24"/>
          <w:szCs w:val="24"/>
          <w:highlight w:val="none"/>
          <w:lang w:eastAsia="en-US"/>
        </w:rPr>
        <w:tab/>
      </w:r>
      <w:r>
        <w:rPr>
          <w:rStyle w:val="56"/>
          <w:rFonts w:cs="黑体" w:asciiTheme="minorEastAsia" w:hAnsiTheme="minorEastAsia" w:eastAsiaTheme="minorEastAsia"/>
          <w:b w:val="0"/>
          <w:bCs w:val="0"/>
          <w:caps w:val="0"/>
          <w:color w:val="auto"/>
          <w:kern w:val="0"/>
          <w:sz w:val="24"/>
          <w:szCs w:val="24"/>
          <w:highlight w:val="none"/>
          <w:lang w:eastAsia="en-US"/>
        </w:rPr>
        <w:fldChar w:fldCharType="begin"/>
      </w:r>
      <w:r>
        <w:rPr>
          <w:rStyle w:val="56"/>
          <w:rFonts w:cs="黑体" w:asciiTheme="minorEastAsia" w:hAnsiTheme="minorEastAsia" w:eastAsiaTheme="minorEastAsia"/>
          <w:b w:val="0"/>
          <w:bCs w:val="0"/>
          <w:caps w:val="0"/>
          <w:color w:val="auto"/>
          <w:kern w:val="0"/>
          <w:sz w:val="24"/>
          <w:szCs w:val="24"/>
          <w:highlight w:val="none"/>
          <w:lang w:eastAsia="en-US"/>
        </w:rPr>
        <w:instrText xml:space="preserve"> PAGEREF _Toc74760812 \h </w:instrText>
      </w:r>
      <w:r>
        <w:rPr>
          <w:rStyle w:val="56"/>
          <w:rFonts w:cs="黑体" w:asciiTheme="minorEastAsia" w:hAnsiTheme="minorEastAsia" w:eastAsiaTheme="minorEastAsia"/>
          <w:b w:val="0"/>
          <w:bCs w:val="0"/>
          <w:caps w:val="0"/>
          <w:color w:val="auto"/>
          <w:kern w:val="0"/>
          <w:sz w:val="24"/>
          <w:szCs w:val="24"/>
          <w:highlight w:val="none"/>
          <w:lang w:eastAsia="en-US"/>
        </w:rPr>
        <w:fldChar w:fldCharType="separate"/>
      </w:r>
      <w:r>
        <w:rPr>
          <w:rStyle w:val="56"/>
          <w:rFonts w:cs="黑体" w:asciiTheme="minorEastAsia" w:hAnsiTheme="minorEastAsia" w:eastAsiaTheme="minorEastAsia"/>
          <w:b w:val="0"/>
          <w:bCs w:val="0"/>
          <w:caps w:val="0"/>
          <w:color w:val="auto"/>
          <w:kern w:val="0"/>
          <w:sz w:val="24"/>
          <w:szCs w:val="24"/>
          <w:highlight w:val="none"/>
          <w:lang w:eastAsia="en-US"/>
        </w:rPr>
        <w:t>10</w:t>
      </w:r>
      <w:r>
        <w:rPr>
          <w:rStyle w:val="56"/>
          <w:rFonts w:cs="黑体" w:asciiTheme="minorEastAsia" w:hAnsiTheme="minorEastAsia" w:eastAsiaTheme="minorEastAsia"/>
          <w:b w:val="0"/>
          <w:bCs w:val="0"/>
          <w:caps w:val="0"/>
          <w:color w:val="auto"/>
          <w:kern w:val="0"/>
          <w:sz w:val="24"/>
          <w:szCs w:val="24"/>
          <w:highlight w:val="none"/>
          <w:lang w:eastAsia="en-US"/>
        </w:rPr>
        <w:fldChar w:fldCharType="end"/>
      </w:r>
      <w:r>
        <w:rPr>
          <w:rStyle w:val="56"/>
          <w:rFonts w:cs="黑体" w:asciiTheme="minorEastAsia" w:hAnsiTheme="minorEastAsia" w:eastAsiaTheme="minorEastAsia"/>
          <w:b w:val="0"/>
          <w:bCs w:val="0"/>
          <w:caps w:val="0"/>
          <w:color w:val="auto"/>
          <w:kern w:val="0"/>
          <w:sz w:val="24"/>
          <w:szCs w:val="24"/>
          <w:highlight w:val="none"/>
          <w:lang w:eastAsia="en-US"/>
        </w:rPr>
        <w:fldChar w:fldCharType="end"/>
      </w:r>
    </w:p>
    <w:p w14:paraId="248064B3">
      <w:pPr>
        <w:pStyle w:val="34"/>
        <w:tabs>
          <w:tab w:val="right" w:leader="dot" w:pos="8778"/>
        </w:tabs>
        <w:spacing w:line="480" w:lineRule="auto"/>
        <w:rPr>
          <w:rStyle w:val="56"/>
          <w:rFonts w:cs="黑体" w:asciiTheme="minorEastAsia" w:hAnsiTheme="minorEastAsia"/>
          <w:color w:val="auto"/>
          <w:kern w:val="0"/>
          <w:sz w:val="24"/>
          <w:szCs w:val="24"/>
          <w:highlight w:val="none"/>
          <w:lang w:eastAsia="en-US"/>
        </w:rPr>
      </w:pPr>
      <w:r>
        <w:rPr>
          <w:color w:val="auto"/>
          <w:highlight w:val="none"/>
        </w:rPr>
        <w:fldChar w:fldCharType="begin"/>
      </w:r>
      <w:r>
        <w:rPr>
          <w:color w:val="auto"/>
          <w:highlight w:val="none"/>
        </w:rPr>
        <w:instrText xml:space="preserve"> HYPERLINK \l "_Toc74760872" </w:instrText>
      </w:r>
      <w:r>
        <w:rPr>
          <w:color w:val="auto"/>
          <w:highlight w:val="none"/>
        </w:rPr>
        <w:fldChar w:fldCharType="separate"/>
      </w:r>
      <w:r>
        <w:rPr>
          <w:rStyle w:val="56"/>
          <w:rFonts w:hint="eastAsia" w:cs="黑体" w:asciiTheme="minorEastAsia" w:hAnsiTheme="minorEastAsia" w:eastAsiaTheme="minorEastAsia"/>
          <w:b w:val="0"/>
          <w:bCs w:val="0"/>
          <w:caps w:val="0"/>
          <w:color w:val="auto"/>
          <w:kern w:val="0"/>
          <w:sz w:val="24"/>
          <w:szCs w:val="24"/>
          <w:highlight w:val="none"/>
          <w:lang w:eastAsia="en-US"/>
        </w:rPr>
        <w:t>第三章</w:t>
      </w:r>
      <w:r>
        <w:rPr>
          <w:rStyle w:val="56"/>
          <w:rFonts w:cs="黑体" w:asciiTheme="minorEastAsia" w:hAnsiTheme="minorEastAsia" w:eastAsiaTheme="minorEastAsia"/>
          <w:b w:val="0"/>
          <w:bCs w:val="0"/>
          <w:caps w:val="0"/>
          <w:color w:val="auto"/>
          <w:kern w:val="0"/>
          <w:sz w:val="24"/>
          <w:szCs w:val="24"/>
          <w:highlight w:val="none"/>
          <w:lang w:eastAsia="en-US"/>
        </w:rPr>
        <w:t xml:space="preserve">  </w:t>
      </w:r>
      <w:r>
        <w:rPr>
          <w:rStyle w:val="56"/>
          <w:rFonts w:hint="eastAsia" w:cs="黑体" w:asciiTheme="minorEastAsia" w:hAnsiTheme="minorEastAsia" w:eastAsiaTheme="minorEastAsia"/>
          <w:b w:val="0"/>
          <w:bCs w:val="0"/>
          <w:caps w:val="0"/>
          <w:color w:val="auto"/>
          <w:kern w:val="0"/>
          <w:sz w:val="24"/>
          <w:szCs w:val="24"/>
          <w:highlight w:val="none"/>
          <w:lang w:eastAsia="en-US"/>
        </w:rPr>
        <w:t>评标办法</w:t>
      </w:r>
      <w:r>
        <w:rPr>
          <w:rStyle w:val="56"/>
          <w:rFonts w:cs="黑体" w:asciiTheme="minorEastAsia" w:hAnsiTheme="minorEastAsia" w:eastAsiaTheme="minorEastAsia"/>
          <w:b w:val="0"/>
          <w:bCs w:val="0"/>
          <w:caps w:val="0"/>
          <w:color w:val="auto"/>
          <w:kern w:val="0"/>
          <w:sz w:val="24"/>
          <w:szCs w:val="24"/>
          <w:highlight w:val="none"/>
          <w:lang w:eastAsia="en-US"/>
        </w:rPr>
        <w:tab/>
      </w:r>
      <w:r>
        <w:rPr>
          <w:rStyle w:val="56"/>
          <w:rFonts w:cs="黑体" w:asciiTheme="minorEastAsia" w:hAnsiTheme="minorEastAsia" w:eastAsiaTheme="minorEastAsia"/>
          <w:b w:val="0"/>
          <w:bCs w:val="0"/>
          <w:caps w:val="0"/>
          <w:color w:val="auto"/>
          <w:kern w:val="0"/>
          <w:sz w:val="24"/>
          <w:szCs w:val="24"/>
          <w:highlight w:val="none"/>
          <w:lang w:eastAsia="en-US"/>
        </w:rPr>
        <w:fldChar w:fldCharType="begin"/>
      </w:r>
      <w:r>
        <w:rPr>
          <w:rStyle w:val="56"/>
          <w:rFonts w:cs="黑体" w:asciiTheme="minorEastAsia" w:hAnsiTheme="minorEastAsia" w:eastAsiaTheme="minorEastAsia"/>
          <w:b w:val="0"/>
          <w:bCs w:val="0"/>
          <w:caps w:val="0"/>
          <w:color w:val="auto"/>
          <w:kern w:val="0"/>
          <w:sz w:val="24"/>
          <w:szCs w:val="24"/>
          <w:highlight w:val="none"/>
          <w:lang w:eastAsia="en-US"/>
        </w:rPr>
        <w:instrText xml:space="preserve"> PAGEREF _Toc74760872 \h </w:instrText>
      </w:r>
      <w:r>
        <w:rPr>
          <w:rStyle w:val="56"/>
          <w:rFonts w:cs="黑体" w:asciiTheme="minorEastAsia" w:hAnsiTheme="minorEastAsia" w:eastAsiaTheme="minorEastAsia"/>
          <w:b w:val="0"/>
          <w:bCs w:val="0"/>
          <w:caps w:val="0"/>
          <w:color w:val="auto"/>
          <w:kern w:val="0"/>
          <w:sz w:val="24"/>
          <w:szCs w:val="24"/>
          <w:highlight w:val="none"/>
          <w:lang w:eastAsia="en-US"/>
        </w:rPr>
        <w:fldChar w:fldCharType="separate"/>
      </w:r>
      <w:r>
        <w:rPr>
          <w:rStyle w:val="56"/>
          <w:rFonts w:cs="黑体" w:asciiTheme="minorEastAsia" w:hAnsiTheme="minorEastAsia" w:eastAsiaTheme="minorEastAsia"/>
          <w:b w:val="0"/>
          <w:bCs w:val="0"/>
          <w:caps w:val="0"/>
          <w:color w:val="auto"/>
          <w:kern w:val="0"/>
          <w:sz w:val="24"/>
          <w:szCs w:val="24"/>
          <w:highlight w:val="none"/>
          <w:lang w:eastAsia="en-US"/>
        </w:rPr>
        <w:t>60</w:t>
      </w:r>
      <w:r>
        <w:rPr>
          <w:rStyle w:val="56"/>
          <w:rFonts w:cs="黑体" w:asciiTheme="minorEastAsia" w:hAnsiTheme="minorEastAsia" w:eastAsiaTheme="minorEastAsia"/>
          <w:b w:val="0"/>
          <w:bCs w:val="0"/>
          <w:caps w:val="0"/>
          <w:color w:val="auto"/>
          <w:kern w:val="0"/>
          <w:sz w:val="24"/>
          <w:szCs w:val="24"/>
          <w:highlight w:val="none"/>
          <w:lang w:eastAsia="en-US"/>
        </w:rPr>
        <w:fldChar w:fldCharType="end"/>
      </w:r>
      <w:r>
        <w:rPr>
          <w:rStyle w:val="56"/>
          <w:rFonts w:cs="黑体" w:asciiTheme="minorEastAsia" w:hAnsiTheme="minorEastAsia" w:eastAsiaTheme="minorEastAsia"/>
          <w:b w:val="0"/>
          <w:bCs w:val="0"/>
          <w:caps w:val="0"/>
          <w:color w:val="auto"/>
          <w:kern w:val="0"/>
          <w:sz w:val="24"/>
          <w:szCs w:val="24"/>
          <w:highlight w:val="none"/>
          <w:lang w:eastAsia="en-US"/>
        </w:rPr>
        <w:fldChar w:fldCharType="end"/>
      </w:r>
    </w:p>
    <w:p w14:paraId="6D23077F">
      <w:pPr>
        <w:pStyle w:val="34"/>
        <w:tabs>
          <w:tab w:val="right" w:leader="dot" w:pos="8778"/>
        </w:tabs>
        <w:spacing w:line="480" w:lineRule="auto"/>
        <w:rPr>
          <w:rStyle w:val="56"/>
          <w:rFonts w:cs="黑体" w:asciiTheme="minorEastAsia" w:hAnsiTheme="minorEastAsia"/>
          <w:color w:val="auto"/>
          <w:kern w:val="0"/>
          <w:sz w:val="24"/>
          <w:szCs w:val="24"/>
          <w:highlight w:val="none"/>
          <w:lang w:eastAsia="en-US"/>
        </w:rPr>
      </w:pPr>
      <w:r>
        <w:rPr>
          <w:color w:val="auto"/>
          <w:highlight w:val="none"/>
        </w:rPr>
        <w:fldChar w:fldCharType="begin"/>
      </w:r>
      <w:r>
        <w:rPr>
          <w:color w:val="auto"/>
          <w:highlight w:val="none"/>
        </w:rPr>
        <w:instrText xml:space="preserve"> HYPERLINK \l "_Toc74760889" </w:instrText>
      </w:r>
      <w:r>
        <w:rPr>
          <w:color w:val="auto"/>
          <w:highlight w:val="none"/>
        </w:rPr>
        <w:fldChar w:fldCharType="separate"/>
      </w:r>
      <w:r>
        <w:rPr>
          <w:rStyle w:val="56"/>
          <w:rFonts w:hint="eastAsia" w:cs="黑体" w:asciiTheme="minorEastAsia" w:hAnsiTheme="minorEastAsia" w:eastAsiaTheme="minorEastAsia"/>
          <w:b w:val="0"/>
          <w:bCs w:val="0"/>
          <w:caps w:val="0"/>
          <w:color w:val="auto"/>
          <w:kern w:val="0"/>
          <w:sz w:val="24"/>
          <w:szCs w:val="24"/>
          <w:highlight w:val="none"/>
          <w:lang w:eastAsia="en-US"/>
        </w:rPr>
        <w:t>第四章</w:t>
      </w:r>
      <w:r>
        <w:rPr>
          <w:rStyle w:val="56"/>
          <w:rFonts w:cs="黑体" w:asciiTheme="minorEastAsia" w:hAnsiTheme="minorEastAsia" w:eastAsiaTheme="minorEastAsia"/>
          <w:b w:val="0"/>
          <w:bCs w:val="0"/>
          <w:caps w:val="0"/>
          <w:color w:val="auto"/>
          <w:kern w:val="0"/>
          <w:sz w:val="24"/>
          <w:szCs w:val="24"/>
          <w:highlight w:val="none"/>
          <w:lang w:eastAsia="en-US"/>
        </w:rPr>
        <w:t xml:space="preserve">  </w:t>
      </w:r>
      <w:r>
        <w:rPr>
          <w:rStyle w:val="56"/>
          <w:rFonts w:hint="eastAsia" w:cs="黑体" w:asciiTheme="minorEastAsia" w:hAnsiTheme="minorEastAsia" w:eastAsiaTheme="minorEastAsia"/>
          <w:b w:val="0"/>
          <w:bCs w:val="0"/>
          <w:caps w:val="0"/>
          <w:color w:val="auto"/>
          <w:kern w:val="0"/>
          <w:sz w:val="24"/>
          <w:szCs w:val="24"/>
          <w:highlight w:val="none"/>
          <w:lang w:eastAsia="en-US"/>
        </w:rPr>
        <w:t>合同条款及格式</w:t>
      </w:r>
      <w:r>
        <w:rPr>
          <w:rStyle w:val="56"/>
          <w:rFonts w:cs="黑体" w:asciiTheme="minorEastAsia" w:hAnsiTheme="minorEastAsia" w:eastAsiaTheme="minorEastAsia"/>
          <w:b w:val="0"/>
          <w:bCs w:val="0"/>
          <w:caps w:val="0"/>
          <w:color w:val="auto"/>
          <w:kern w:val="0"/>
          <w:sz w:val="24"/>
          <w:szCs w:val="24"/>
          <w:highlight w:val="none"/>
          <w:lang w:eastAsia="en-US"/>
        </w:rPr>
        <w:tab/>
      </w:r>
      <w:r>
        <w:rPr>
          <w:rStyle w:val="56"/>
          <w:rFonts w:cs="黑体" w:asciiTheme="minorEastAsia" w:hAnsiTheme="minorEastAsia" w:eastAsiaTheme="minorEastAsia"/>
          <w:b w:val="0"/>
          <w:bCs w:val="0"/>
          <w:caps w:val="0"/>
          <w:color w:val="auto"/>
          <w:kern w:val="0"/>
          <w:sz w:val="24"/>
          <w:szCs w:val="24"/>
          <w:highlight w:val="none"/>
          <w:lang w:eastAsia="en-US"/>
        </w:rPr>
        <w:fldChar w:fldCharType="begin"/>
      </w:r>
      <w:r>
        <w:rPr>
          <w:rStyle w:val="56"/>
          <w:rFonts w:cs="黑体" w:asciiTheme="minorEastAsia" w:hAnsiTheme="minorEastAsia" w:eastAsiaTheme="minorEastAsia"/>
          <w:b w:val="0"/>
          <w:bCs w:val="0"/>
          <w:caps w:val="0"/>
          <w:color w:val="auto"/>
          <w:kern w:val="0"/>
          <w:sz w:val="24"/>
          <w:szCs w:val="24"/>
          <w:highlight w:val="none"/>
          <w:lang w:eastAsia="en-US"/>
        </w:rPr>
        <w:instrText xml:space="preserve"> PAGEREF _Toc74760889 \h </w:instrText>
      </w:r>
      <w:r>
        <w:rPr>
          <w:rStyle w:val="56"/>
          <w:rFonts w:cs="黑体" w:asciiTheme="minorEastAsia" w:hAnsiTheme="minorEastAsia" w:eastAsiaTheme="minorEastAsia"/>
          <w:b w:val="0"/>
          <w:bCs w:val="0"/>
          <w:caps w:val="0"/>
          <w:color w:val="auto"/>
          <w:kern w:val="0"/>
          <w:sz w:val="24"/>
          <w:szCs w:val="24"/>
          <w:highlight w:val="none"/>
          <w:lang w:eastAsia="en-US"/>
        </w:rPr>
        <w:fldChar w:fldCharType="separate"/>
      </w:r>
      <w:r>
        <w:rPr>
          <w:rStyle w:val="56"/>
          <w:rFonts w:cs="黑体" w:asciiTheme="minorEastAsia" w:hAnsiTheme="minorEastAsia" w:eastAsiaTheme="minorEastAsia"/>
          <w:b w:val="0"/>
          <w:bCs w:val="0"/>
          <w:caps w:val="0"/>
          <w:color w:val="auto"/>
          <w:kern w:val="0"/>
          <w:sz w:val="24"/>
          <w:szCs w:val="24"/>
          <w:highlight w:val="none"/>
          <w:lang w:eastAsia="en-US"/>
        </w:rPr>
        <w:t>83</w:t>
      </w:r>
      <w:r>
        <w:rPr>
          <w:rStyle w:val="56"/>
          <w:rFonts w:cs="黑体" w:asciiTheme="minorEastAsia" w:hAnsiTheme="minorEastAsia" w:eastAsiaTheme="minorEastAsia"/>
          <w:b w:val="0"/>
          <w:bCs w:val="0"/>
          <w:caps w:val="0"/>
          <w:color w:val="auto"/>
          <w:kern w:val="0"/>
          <w:sz w:val="24"/>
          <w:szCs w:val="24"/>
          <w:highlight w:val="none"/>
          <w:lang w:eastAsia="en-US"/>
        </w:rPr>
        <w:fldChar w:fldCharType="end"/>
      </w:r>
      <w:r>
        <w:rPr>
          <w:rStyle w:val="56"/>
          <w:rFonts w:cs="黑体" w:asciiTheme="minorEastAsia" w:hAnsiTheme="minorEastAsia" w:eastAsiaTheme="minorEastAsia"/>
          <w:b w:val="0"/>
          <w:bCs w:val="0"/>
          <w:caps w:val="0"/>
          <w:color w:val="auto"/>
          <w:kern w:val="0"/>
          <w:sz w:val="24"/>
          <w:szCs w:val="24"/>
          <w:highlight w:val="none"/>
          <w:lang w:eastAsia="en-US"/>
        </w:rPr>
        <w:fldChar w:fldCharType="end"/>
      </w:r>
    </w:p>
    <w:p w14:paraId="53049867">
      <w:pPr>
        <w:spacing w:before="240" w:beforeLines="100" w:after="240" w:afterLines="100" w:line="480" w:lineRule="auto"/>
        <w:jc w:val="center"/>
        <w:rPr>
          <w:rStyle w:val="56"/>
          <w:rFonts w:ascii="黑体" w:hAnsi="黑体" w:eastAsia="黑体"/>
          <w:color w:val="auto"/>
          <w:sz w:val="30"/>
          <w:szCs w:val="30"/>
          <w:highlight w:val="none"/>
        </w:rPr>
      </w:pPr>
      <w:r>
        <w:rPr>
          <w:color w:val="auto"/>
          <w:highlight w:val="none"/>
        </w:rPr>
        <w:fldChar w:fldCharType="begin"/>
      </w:r>
      <w:r>
        <w:rPr>
          <w:color w:val="auto"/>
          <w:highlight w:val="none"/>
        </w:rPr>
        <w:instrText xml:space="preserve"> HYPERLINK \l "_Toc74760924" </w:instrText>
      </w:r>
      <w:r>
        <w:rPr>
          <w:color w:val="auto"/>
          <w:highlight w:val="none"/>
        </w:rPr>
        <w:fldChar w:fldCharType="separate"/>
      </w:r>
      <w:r>
        <w:rPr>
          <w:rStyle w:val="56"/>
          <w:rFonts w:hint="eastAsia" w:ascii="黑体" w:hAnsi="黑体" w:eastAsia="黑体"/>
          <w:color w:val="auto"/>
          <w:sz w:val="30"/>
          <w:szCs w:val="30"/>
          <w:highlight w:val="none"/>
        </w:rPr>
        <w:t>第</w:t>
      </w:r>
      <w:r>
        <w:rPr>
          <w:rStyle w:val="56"/>
          <w:rFonts w:ascii="黑体" w:hAnsi="黑体" w:eastAsia="黑体"/>
          <w:color w:val="auto"/>
          <w:sz w:val="30"/>
          <w:szCs w:val="30"/>
          <w:highlight w:val="none"/>
        </w:rPr>
        <w:t xml:space="preserve"> </w:t>
      </w:r>
      <w:r>
        <w:rPr>
          <w:rStyle w:val="56"/>
          <w:rFonts w:hint="eastAsia" w:ascii="黑体" w:hAnsi="黑体" w:eastAsia="黑体"/>
          <w:color w:val="auto"/>
          <w:sz w:val="30"/>
          <w:szCs w:val="30"/>
          <w:highlight w:val="none"/>
        </w:rPr>
        <w:t>二</w:t>
      </w:r>
      <w:r>
        <w:rPr>
          <w:rStyle w:val="56"/>
          <w:rFonts w:ascii="黑体" w:hAnsi="黑体" w:eastAsia="黑体"/>
          <w:color w:val="auto"/>
          <w:sz w:val="30"/>
          <w:szCs w:val="30"/>
          <w:highlight w:val="none"/>
        </w:rPr>
        <w:t xml:space="preserve"> </w:t>
      </w:r>
      <w:r>
        <w:rPr>
          <w:rStyle w:val="56"/>
          <w:rFonts w:hint="eastAsia" w:ascii="黑体" w:hAnsi="黑体" w:eastAsia="黑体"/>
          <w:color w:val="auto"/>
          <w:sz w:val="30"/>
          <w:szCs w:val="30"/>
          <w:highlight w:val="none"/>
        </w:rPr>
        <w:t>卷</w:t>
      </w:r>
      <w:r>
        <w:rPr>
          <w:rStyle w:val="56"/>
          <w:rFonts w:hint="eastAsia" w:ascii="黑体" w:hAnsi="黑体" w:eastAsia="黑体"/>
          <w:color w:val="auto"/>
          <w:sz w:val="30"/>
          <w:szCs w:val="30"/>
          <w:highlight w:val="none"/>
        </w:rPr>
        <w:fldChar w:fldCharType="end"/>
      </w:r>
    </w:p>
    <w:p w14:paraId="3C21A60A">
      <w:pPr>
        <w:pStyle w:val="34"/>
        <w:tabs>
          <w:tab w:val="right" w:leader="dot" w:pos="8778"/>
        </w:tabs>
        <w:spacing w:line="480" w:lineRule="auto"/>
        <w:rPr>
          <w:rStyle w:val="56"/>
          <w:rFonts w:cs="黑体" w:asciiTheme="minorEastAsia" w:hAnsiTheme="minorEastAsia"/>
          <w:color w:val="auto"/>
          <w:kern w:val="0"/>
          <w:sz w:val="24"/>
          <w:szCs w:val="24"/>
          <w:highlight w:val="none"/>
          <w:lang w:eastAsia="en-US"/>
        </w:rPr>
      </w:pPr>
      <w:r>
        <w:rPr>
          <w:color w:val="auto"/>
          <w:highlight w:val="none"/>
        </w:rPr>
        <w:fldChar w:fldCharType="begin"/>
      </w:r>
      <w:r>
        <w:rPr>
          <w:color w:val="auto"/>
          <w:highlight w:val="none"/>
        </w:rPr>
        <w:instrText xml:space="preserve"> HYPERLINK \l "_Toc74760925" </w:instrText>
      </w:r>
      <w:r>
        <w:rPr>
          <w:color w:val="auto"/>
          <w:highlight w:val="none"/>
        </w:rPr>
        <w:fldChar w:fldCharType="separate"/>
      </w:r>
      <w:r>
        <w:rPr>
          <w:rStyle w:val="56"/>
          <w:rFonts w:hint="eastAsia" w:cs="黑体" w:asciiTheme="minorEastAsia" w:hAnsiTheme="minorEastAsia" w:eastAsiaTheme="minorEastAsia"/>
          <w:b w:val="0"/>
          <w:bCs w:val="0"/>
          <w:caps w:val="0"/>
          <w:color w:val="auto"/>
          <w:kern w:val="0"/>
          <w:sz w:val="24"/>
          <w:szCs w:val="24"/>
          <w:highlight w:val="none"/>
          <w:lang w:eastAsia="en-US"/>
        </w:rPr>
        <w:t>第五章</w:t>
      </w:r>
      <w:r>
        <w:rPr>
          <w:rStyle w:val="56"/>
          <w:rFonts w:cs="黑体" w:asciiTheme="minorEastAsia" w:hAnsiTheme="minorEastAsia" w:eastAsiaTheme="minorEastAsia"/>
          <w:b w:val="0"/>
          <w:bCs w:val="0"/>
          <w:caps w:val="0"/>
          <w:color w:val="auto"/>
          <w:kern w:val="0"/>
          <w:sz w:val="24"/>
          <w:szCs w:val="24"/>
          <w:highlight w:val="none"/>
          <w:lang w:eastAsia="en-US"/>
        </w:rPr>
        <w:t xml:space="preserve">  </w:t>
      </w:r>
      <w:r>
        <w:rPr>
          <w:rStyle w:val="56"/>
          <w:rFonts w:hint="eastAsia" w:cs="黑体" w:asciiTheme="minorEastAsia" w:hAnsiTheme="minorEastAsia" w:eastAsiaTheme="minorEastAsia"/>
          <w:b w:val="0"/>
          <w:bCs w:val="0"/>
          <w:caps w:val="0"/>
          <w:color w:val="auto"/>
          <w:kern w:val="0"/>
          <w:sz w:val="24"/>
          <w:szCs w:val="24"/>
          <w:highlight w:val="none"/>
          <w:lang w:eastAsia="en-US"/>
        </w:rPr>
        <w:t>委托人要求</w:t>
      </w:r>
      <w:r>
        <w:rPr>
          <w:rStyle w:val="56"/>
          <w:rFonts w:cs="黑体" w:asciiTheme="minorEastAsia" w:hAnsiTheme="minorEastAsia" w:eastAsiaTheme="minorEastAsia"/>
          <w:b w:val="0"/>
          <w:bCs w:val="0"/>
          <w:caps w:val="0"/>
          <w:color w:val="auto"/>
          <w:kern w:val="0"/>
          <w:sz w:val="24"/>
          <w:szCs w:val="24"/>
          <w:highlight w:val="none"/>
          <w:lang w:eastAsia="en-US"/>
        </w:rPr>
        <w:tab/>
      </w:r>
      <w:r>
        <w:rPr>
          <w:rStyle w:val="56"/>
          <w:rFonts w:cs="黑体" w:asciiTheme="minorEastAsia" w:hAnsiTheme="minorEastAsia" w:eastAsiaTheme="minorEastAsia"/>
          <w:b w:val="0"/>
          <w:bCs w:val="0"/>
          <w:caps w:val="0"/>
          <w:color w:val="auto"/>
          <w:kern w:val="0"/>
          <w:sz w:val="24"/>
          <w:szCs w:val="24"/>
          <w:highlight w:val="none"/>
          <w:lang w:eastAsia="en-US"/>
        </w:rPr>
        <w:fldChar w:fldCharType="begin"/>
      </w:r>
      <w:r>
        <w:rPr>
          <w:rStyle w:val="56"/>
          <w:rFonts w:cs="黑体" w:asciiTheme="minorEastAsia" w:hAnsiTheme="minorEastAsia" w:eastAsiaTheme="minorEastAsia"/>
          <w:b w:val="0"/>
          <w:bCs w:val="0"/>
          <w:caps w:val="0"/>
          <w:color w:val="auto"/>
          <w:kern w:val="0"/>
          <w:sz w:val="24"/>
          <w:szCs w:val="24"/>
          <w:highlight w:val="none"/>
          <w:lang w:eastAsia="en-US"/>
        </w:rPr>
        <w:instrText xml:space="preserve"> PAGEREF _Toc74760925 \h </w:instrText>
      </w:r>
      <w:r>
        <w:rPr>
          <w:rStyle w:val="56"/>
          <w:rFonts w:cs="黑体" w:asciiTheme="minorEastAsia" w:hAnsiTheme="minorEastAsia" w:eastAsiaTheme="minorEastAsia"/>
          <w:b w:val="0"/>
          <w:bCs w:val="0"/>
          <w:caps w:val="0"/>
          <w:color w:val="auto"/>
          <w:kern w:val="0"/>
          <w:sz w:val="24"/>
          <w:szCs w:val="24"/>
          <w:highlight w:val="none"/>
          <w:lang w:eastAsia="en-US"/>
        </w:rPr>
        <w:fldChar w:fldCharType="separate"/>
      </w:r>
      <w:r>
        <w:rPr>
          <w:rStyle w:val="56"/>
          <w:rFonts w:cs="黑体" w:asciiTheme="minorEastAsia" w:hAnsiTheme="minorEastAsia" w:eastAsiaTheme="minorEastAsia"/>
          <w:b w:val="0"/>
          <w:bCs w:val="0"/>
          <w:caps w:val="0"/>
          <w:color w:val="auto"/>
          <w:kern w:val="0"/>
          <w:sz w:val="24"/>
          <w:szCs w:val="24"/>
          <w:highlight w:val="none"/>
          <w:lang w:eastAsia="en-US"/>
        </w:rPr>
        <w:t>111</w:t>
      </w:r>
      <w:r>
        <w:rPr>
          <w:rStyle w:val="56"/>
          <w:rFonts w:cs="黑体" w:asciiTheme="minorEastAsia" w:hAnsiTheme="minorEastAsia" w:eastAsiaTheme="minorEastAsia"/>
          <w:b w:val="0"/>
          <w:bCs w:val="0"/>
          <w:caps w:val="0"/>
          <w:color w:val="auto"/>
          <w:kern w:val="0"/>
          <w:sz w:val="24"/>
          <w:szCs w:val="24"/>
          <w:highlight w:val="none"/>
          <w:lang w:eastAsia="en-US"/>
        </w:rPr>
        <w:fldChar w:fldCharType="end"/>
      </w:r>
      <w:r>
        <w:rPr>
          <w:rStyle w:val="56"/>
          <w:rFonts w:cs="黑体" w:asciiTheme="minorEastAsia" w:hAnsiTheme="minorEastAsia" w:eastAsiaTheme="minorEastAsia"/>
          <w:b w:val="0"/>
          <w:bCs w:val="0"/>
          <w:caps w:val="0"/>
          <w:color w:val="auto"/>
          <w:kern w:val="0"/>
          <w:sz w:val="24"/>
          <w:szCs w:val="24"/>
          <w:highlight w:val="none"/>
          <w:lang w:eastAsia="en-US"/>
        </w:rPr>
        <w:fldChar w:fldCharType="end"/>
      </w:r>
    </w:p>
    <w:p w14:paraId="09D4E187">
      <w:pPr>
        <w:pStyle w:val="34"/>
        <w:tabs>
          <w:tab w:val="right" w:leader="dot" w:pos="8778"/>
        </w:tabs>
        <w:spacing w:line="480" w:lineRule="auto"/>
        <w:rPr>
          <w:rStyle w:val="56"/>
          <w:rFonts w:cs="黑体" w:asciiTheme="minorEastAsia" w:hAnsiTheme="minorEastAsia"/>
          <w:color w:val="auto"/>
          <w:kern w:val="0"/>
          <w:sz w:val="24"/>
          <w:szCs w:val="24"/>
          <w:highlight w:val="none"/>
          <w:lang w:eastAsia="en-US"/>
        </w:rPr>
      </w:pPr>
      <w:r>
        <w:rPr>
          <w:color w:val="auto"/>
          <w:highlight w:val="none"/>
        </w:rPr>
        <w:fldChar w:fldCharType="begin"/>
      </w:r>
      <w:r>
        <w:rPr>
          <w:color w:val="auto"/>
          <w:highlight w:val="none"/>
        </w:rPr>
        <w:instrText xml:space="preserve"> HYPERLINK \l "_Toc74760926" </w:instrText>
      </w:r>
      <w:r>
        <w:rPr>
          <w:color w:val="auto"/>
          <w:highlight w:val="none"/>
        </w:rPr>
        <w:fldChar w:fldCharType="separate"/>
      </w:r>
      <w:r>
        <w:rPr>
          <w:rStyle w:val="56"/>
          <w:rFonts w:hint="eastAsia" w:cs="黑体" w:asciiTheme="minorEastAsia" w:hAnsiTheme="minorEastAsia" w:eastAsiaTheme="minorEastAsia"/>
          <w:b w:val="0"/>
          <w:bCs w:val="0"/>
          <w:caps w:val="0"/>
          <w:color w:val="auto"/>
          <w:kern w:val="0"/>
          <w:sz w:val="24"/>
          <w:szCs w:val="24"/>
          <w:highlight w:val="none"/>
          <w:lang w:eastAsia="en-US"/>
        </w:rPr>
        <w:t>第六章</w:t>
      </w:r>
      <w:r>
        <w:rPr>
          <w:rStyle w:val="56"/>
          <w:rFonts w:cs="黑体" w:asciiTheme="minorEastAsia" w:hAnsiTheme="minorEastAsia" w:eastAsiaTheme="minorEastAsia"/>
          <w:b w:val="0"/>
          <w:bCs w:val="0"/>
          <w:caps w:val="0"/>
          <w:color w:val="auto"/>
          <w:kern w:val="0"/>
          <w:sz w:val="24"/>
          <w:szCs w:val="24"/>
          <w:highlight w:val="none"/>
          <w:lang w:eastAsia="en-US"/>
        </w:rPr>
        <w:t xml:space="preserve">  </w:t>
      </w:r>
      <w:r>
        <w:rPr>
          <w:rStyle w:val="56"/>
          <w:rFonts w:hint="eastAsia" w:cs="黑体" w:asciiTheme="minorEastAsia" w:hAnsiTheme="minorEastAsia" w:eastAsiaTheme="minorEastAsia"/>
          <w:b w:val="0"/>
          <w:bCs w:val="0"/>
          <w:caps w:val="0"/>
          <w:color w:val="auto"/>
          <w:kern w:val="0"/>
          <w:sz w:val="24"/>
          <w:szCs w:val="24"/>
          <w:highlight w:val="none"/>
          <w:lang w:eastAsia="en-US"/>
        </w:rPr>
        <w:t>图纸和资料（另册）</w:t>
      </w:r>
      <w:r>
        <w:rPr>
          <w:rStyle w:val="56"/>
          <w:rFonts w:cs="黑体" w:asciiTheme="minorEastAsia" w:hAnsiTheme="minorEastAsia" w:eastAsiaTheme="minorEastAsia"/>
          <w:b w:val="0"/>
          <w:bCs w:val="0"/>
          <w:caps w:val="0"/>
          <w:color w:val="auto"/>
          <w:kern w:val="0"/>
          <w:sz w:val="24"/>
          <w:szCs w:val="24"/>
          <w:highlight w:val="none"/>
          <w:lang w:eastAsia="en-US"/>
        </w:rPr>
        <w:tab/>
      </w:r>
      <w:r>
        <w:rPr>
          <w:rStyle w:val="56"/>
          <w:rFonts w:cs="黑体" w:asciiTheme="minorEastAsia" w:hAnsiTheme="minorEastAsia" w:eastAsiaTheme="minorEastAsia"/>
          <w:b w:val="0"/>
          <w:bCs w:val="0"/>
          <w:caps w:val="0"/>
          <w:color w:val="auto"/>
          <w:kern w:val="0"/>
          <w:sz w:val="24"/>
          <w:szCs w:val="24"/>
          <w:highlight w:val="none"/>
          <w:lang w:eastAsia="en-US"/>
        </w:rPr>
        <w:fldChar w:fldCharType="begin"/>
      </w:r>
      <w:r>
        <w:rPr>
          <w:rStyle w:val="56"/>
          <w:rFonts w:cs="黑体" w:asciiTheme="minorEastAsia" w:hAnsiTheme="minorEastAsia" w:eastAsiaTheme="minorEastAsia"/>
          <w:b w:val="0"/>
          <w:bCs w:val="0"/>
          <w:caps w:val="0"/>
          <w:color w:val="auto"/>
          <w:kern w:val="0"/>
          <w:sz w:val="24"/>
          <w:szCs w:val="24"/>
          <w:highlight w:val="none"/>
          <w:lang w:eastAsia="en-US"/>
        </w:rPr>
        <w:instrText xml:space="preserve"> PAGEREF _Toc74760926 \h </w:instrText>
      </w:r>
      <w:r>
        <w:rPr>
          <w:rStyle w:val="56"/>
          <w:rFonts w:cs="黑体" w:asciiTheme="minorEastAsia" w:hAnsiTheme="minorEastAsia" w:eastAsiaTheme="minorEastAsia"/>
          <w:b w:val="0"/>
          <w:bCs w:val="0"/>
          <w:caps w:val="0"/>
          <w:color w:val="auto"/>
          <w:kern w:val="0"/>
          <w:sz w:val="24"/>
          <w:szCs w:val="24"/>
          <w:highlight w:val="none"/>
          <w:lang w:eastAsia="en-US"/>
        </w:rPr>
        <w:fldChar w:fldCharType="separate"/>
      </w:r>
      <w:r>
        <w:rPr>
          <w:rStyle w:val="56"/>
          <w:rFonts w:cs="黑体" w:asciiTheme="minorEastAsia" w:hAnsiTheme="minorEastAsia" w:eastAsiaTheme="minorEastAsia"/>
          <w:b w:val="0"/>
          <w:bCs w:val="0"/>
          <w:caps w:val="0"/>
          <w:color w:val="auto"/>
          <w:kern w:val="0"/>
          <w:sz w:val="24"/>
          <w:szCs w:val="24"/>
          <w:highlight w:val="none"/>
          <w:lang w:eastAsia="en-US"/>
        </w:rPr>
        <w:t>115</w:t>
      </w:r>
      <w:r>
        <w:rPr>
          <w:rStyle w:val="56"/>
          <w:rFonts w:cs="黑体" w:asciiTheme="minorEastAsia" w:hAnsiTheme="minorEastAsia" w:eastAsiaTheme="minorEastAsia"/>
          <w:b w:val="0"/>
          <w:bCs w:val="0"/>
          <w:caps w:val="0"/>
          <w:color w:val="auto"/>
          <w:kern w:val="0"/>
          <w:sz w:val="24"/>
          <w:szCs w:val="24"/>
          <w:highlight w:val="none"/>
          <w:lang w:eastAsia="en-US"/>
        </w:rPr>
        <w:fldChar w:fldCharType="end"/>
      </w:r>
      <w:r>
        <w:rPr>
          <w:rStyle w:val="56"/>
          <w:rFonts w:cs="黑体" w:asciiTheme="minorEastAsia" w:hAnsiTheme="minorEastAsia" w:eastAsiaTheme="minorEastAsia"/>
          <w:b w:val="0"/>
          <w:bCs w:val="0"/>
          <w:caps w:val="0"/>
          <w:color w:val="auto"/>
          <w:kern w:val="0"/>
          <w:sz w:val="24"/>
          <w:szCs w:val="24"/>
          <w:highlight w:val="none"/>
          <w:lang w:eastAsia="en-US"/>
        </w:rPr>
        <w:fldChar w:fldCharType="end"/>
      </w:r>
    </w:p>
    <w:p w14:paraId="3071B54E">
      <w:pPr>
        <w:spacing w:before="240" w:beforeLines="100" w:after="240" w:afterLines="100" w:line="480" w:lineRule="auto"/>
        <w:jc w:val="center"/>
        <w:rPr>
          <w:rStyle w:val="56"/>
          <w:rFonts w:ascii="黑体" w:hAnsi="黑体" w:eastAsia="黑体"/>
          <w:color w:val="auto"/>
          <w:sz w:val="30"/>
          <w:szCs w:val="30"/>
          <w:highlight w:val="none"/>
        </w:rPr>
      </w:pPr>
      <w:r>
        <w:rPr>
          <w:color w:val="auto"/>
          <w:highlight w:val="none"/>
        </w:rPr>
        <w:fldChar w:fldCharType="begin"/>
      </w:r>
      <w:r>
        <w:rPr>
          <w:color w:val="auto"/>
          <w:highlight w:val="none"/>
        </w:rPr>
        <w:instrText xml:space="preserve"> HYPERLINK \l "_Toc74760927" </w:instrText>
      </w:r>
      <w:r>
        <w:rPr>
          <w:color w:val="auto"/>
          <w:highlight w:val="none"/>
        </w:rPr>
        <w:fldChar w:fldCharType="separate"/>
      </w:r>
      <w:r>
        <w:rPr>
          <w:rStyle w:val="56"/>
          <w:rFonts w:hint="eastAsia" w:ascii="黑体" w:hAnsi="黑体" w:eastAsia="黑体"/>
          <w:color w:val="auto"/>
          <w:sz w:val="30"/>
          <w:szCs w:val="30"/>
          <w:highlight w:val="none"/>
        </w:rPr>
        <w:t>第</w:t>
      </w:r>
      <w:r>
        <w:rPr>
          <w:rStyle w:val="56"/>
          <w:rFonts w:ascii="黑体" w:hAnsi="黑体" w:eastAsia="黑体"/>
          <w:color w:val="auto"/>
          <w:sz w:val="30"/>
          <w:szCs w:val="30"/>
          <w:highlight w:val="none"/>
        </w:rPr>
        <w:t xml:space="preserve"> </w:t>
      </w:r>
      <w:r>
        <w:rPr>
          <w:rStyle w:val="56"/>
          <w:rFonts w:hint="eastAsia" w:ascii="黑体" w:hAnsi="黑体" w:eastAsia="黑体"/>
          <w:color w:val="auto"/>
          <w:sz w:val="30"/>
          <w:szCs w:val="30"/>
          <w:highlight w:val="none"/>
        </w:rPr>
        <w:t>三</w:t>
      </w:r>
      <w:r>
        <w:rPr>
          <w:rStyle w:val="56"/>
          <w:rFonts w:ascii="黑体" w:hAnsi="黑体" w:eastAsia="黑体"/>
          <w:color w:val="auto"/>
          <w:sz w:val="30"/>
          <w:szCs w:val="30"/>
          <w:highlight w:val="none"/>
        </w:rPr>
        <w:t xml:space="preserve"> </w:t>
      </w:r>
      <w:r>
        <w:rPr>
          <w:rStyle w:val="56"/>
          <w:rFonts w:hint="eastAsia" w:ascii="黑体" w:hAnsi="黑体" w:eastAsia="黑体"/>
          <w:color w:val="auto"/>
          <w:sz w:val="30"/>
          <w:szCs w:val="30"/>
          <w:highlight w:val="none"/>
        </w:rPr>
        <w:t>卷</w:t>
      </w:r>
      <w:r>
        <w:rPr>
          <w:rStyle w:val="56"/>
          <w:rFonts w:hint="eastAsia" w:ascii="黑体" w:hAnsi="黑体" w:eastAsia="黑体"/>
          <w:color w:val="auto"/>
          <w:sz w:val="30"/>
          <w:szCs w:val="30"/>
          <w:highlight w:val="none"/>
        </w:rPr>
        <w:fldChar w:fldCharType="end"/>
      </w:r>
    </w:p>
    <w:p w14:paraId="32D4B5D5">
      <w:pPr>
        <w:pStyle w:val="34"/>
        <w:tabs>
          <w:tab w:val="right" w:leader="dot" w:pos="8778"/>
        </w:tabs>
        <w:rPr>
          <w:rStyle w:val="56"/>
          <w:rFonts w:cs="黑体" w:asciiTheme="minorEastAsia" w:hAnsiTheme="minorEastAsia"/>
          <w:color w:val="auto"/>
          <w:kern w:val="0"/>
          <w:sz w:val="24"/>
          <w:szCs w:val="24"/>
          <w:highlight w:val="none"/>
          <w:lang w:eastAsia="en-US"/>
        </w:rPr>
      </w:pPr>
      <w:r>
        <w:rPr>
          <w:color w:val="auto"/>
          <w:highlight w:val="none"/>
        </w:rPr>
        <w:fldChar w:fldCharType="begin"/>
      </w:r>
      <w:r>
        <w:rPr>
          <w:color w:val="auto"/>
          <w:highlight w:val="none"/>
        </w:rPr>
        <w:instrText xml:space="preserve"> HYPERLINK \l "_Toc74760928" </w:instrText>
      </w:r>
      <w:r>
        <w:rPr>
          <w:color w:val="auto"/>
          <w:highlight w:val="none"/>
        </w:rPr>
        <w:fldChar w:fldCharType="separate"/>
      </w:r>
      <w:r>
        <w:rPr>
          <w:rStyle w:val="56"/>
          <w:rFonts w:hint="eastAsia" w:cs="黑体" w:asciiTheme="minorEastAsia" w:hAnsiTheme="minorEastAsia" w:eastAsiaTheme="minorEastAsia"/>
          <w:b w:val="0"/>
          <w:bCs w:val="0"/>
          <w:caps w:val="0"/>
          <w:color w:val="auto"/>
          <w:kern w:val="0"/>
          <w:sz w:val="24"/>
          <w:szCs w:val="24"/>
          <w:highlight w:val="none"/>
          <w:lang w:eastAsia="en-US"/>
        </w:rPr>
        <w:t>第七章</w:t>
      </w:r>
      <w:r>
        <w:rPr>
          <w:rStyle w:val="56"/>
          <w:rFonts w:cs="黑体" w:asciiTheme="minorEastAsia" w:hAnsiTheme="minorEastAsia" w:eastAsiaTheme="minorEastAsia"/>
          <w:b w:val="0"/>
          <w:bCs w:val="0"/>
          <w:caps w:val="0"/>
          <w:color w:val="auto"/>
          <w:kern w:val="0"/>
          <w:sz w:val="24"/>
          <w:szCs w:val="24"/>
          <w:highlight w:val="none"/>
          <w:lang w:eastAsia="en-US"/>
        </w:rPr>
        <w:t xml:space="preserve">  </w:t>
      </w:r>
      <w:r>
        <w:rPr>
          <w:rStyle w:val="56"/>
          <w:rFonts w:hint="eastAsia" w:cs="黑体" w:asciiTheme="minorEastAsia" w:hAnsiTheme="minorEastAsia" w:eastAsiaTheme="minorEastAsia"/>
          <w:b w:val="0"/>
          <w:bCs w:val="0"/>
          <w:caps w:val="0"/>
          <w:color w:val="auto"/>
          <w:kern w:val="0"/>
          <w:sz w:val="24"/>
          <w:szCs w:val="24"/>
          <w:highlight w:val="none"/>
          <w:lang w:eastAsia="en-US"/>
        </w:rPr>
        <w:t>投标文件格式</w:t>
      </w:r>
      <w:r>
        <w:rPr>
          <w:rStyle w:val="56"/>
          <w:rFonts w:cs="黑体" w:asciiTheme="minorEastAsia" w:hAnsiTheme="minorEastAsia" w:eastAsiaTheme="minorEastAsia"/>
          <w:b w:val="0"/>
          <w:bCs w:val="0"/>
          <w:caps w:val="0"/>
          <w:color w:val="auto"/>
          <w:kern w:val="0"/>
          <w:sz w:val="24"/>
          <w:szCs w:val="24"/>
          <w:highlight w:val="none"/>
          <w:lang w:eastAsia="en-US"/>
        </w:rPr>
        <w:tab/>
      </w:r>
      <w:r>
        <w:rPr>
          <w:rStyle w:val="56"/>
          <w:rFonts w:cs="黑体" w:asciiTheme="minorEastAsia" w:hAnsiTheme="minorEastAsia" w:eastAsiaTheme="minorEastAsia"/>
          <w:b w:val="0"/>
          <w:bCs w:val="0"/>
          <w:caps w:val="0"/>
          <w:color w:val="auto"/>
          <w:kern w:val="0"/>
          <w:sz w:val="24"/>
          <w:szCs w:val="24"/>
          <w:highlight w:val="none"/>
          <w:lang w:eastAsia="en-US"/>
        </w:rPr>
        <w:fldChar w:fldCharType="begin"/>
      </w:r>
      <w:r>
        <w:rPr>
          <w:rStyle w:val="56"/>
          <w:rFonts w:cs="黑体" w:asciiTheme="minorEastAsia" w:hAnsiTheme="minorEastAsia" w:eastAsiaTheme="minorEastAsia"/>
          <w:b w:val="0"/>
          <w:bCs w:val="0"/>
          <w:caps w:val="0"/>
          <w:color w:val="auto"/>
          <w:kern w:val="0"/>
          <w:sz w:val="24"/>
          <w:szCs w:val="24"/>
          <w:highlight w:val="none"/>
          <w:lang w:eastAsia="en-US"/>
        </w:rPr>
        <w:instrText xml:space="preserve"> PAGEREF _Toc74760928 \h </w:instrText>
      </w:r>
      <w:r>
        <w:rPr>
          <w:rStyle w:val="56"/>
          <w:rFonts w:cs="黑体" w:asciiTheme="minorEastAsia" w:hAnsiTheme="minorEastAsia" w:eastAsiaTheme="minorEastAsia"/>
          <w:b w:val="0"/>
          <w:bCs w:val="0"/>
          <w:caps w:val="0"/>
          <w:color w:val="auto"/>
          <w:kern w:val="0"/>
          <w:sz w:val="24"/>
          <w:szCs w:val="24"/>
          <w:highlight w:val="none"/>
          <w:lang w:eastAsia="en-US"/>
        </w:rPr>
        <w:fldChar w:fldCharType="separate"/>
      </w:r>
      <w:r>
        <w:rPr>
          <w:rStyle w:val="56"/>
          <w:rFonts w:cs="黑体" w:asciiTheme="minorEastAsia" w:hAnsiTheme="minorEastAsia" w:eastAsiaTheme="minorEastAsia"/>
          <w:b w:val="0"/>
          <w:bCs w:val="0"/>
          <w:caps w:val="0"/>
          <w:color w:val="auto"/>
          <w:kern w:val="0"/>
          <w:sz w:val="24"/>
          <w:szCs w:val="24"/>
          <w:highlight w:val="none"/>
          <w:lang w:eastAsia="en-US"/>
        </w:rPr>
        <w:t>117</w:t>
      </w:r>
      <w:r>
        <w:rPr>
          <w:rStyle w:val="56"/>
          <w:rFonts w:cs="黑体" w:asciiTheme="minorEastAsia" w:hAnsiTheme="minorEastAsia" w:eastAsiaTheme="minorEastAsia"/>
          <w:b w:val="0"/>
          <w:bCs w:val="0"/>
          <w:caps w:val="0"/>
          <w:color w:val="auto"/>
          <w:kern w:val="0"/>
          <w:sz w:val="24"/>
          <w:szCs w:val="24"/>
          <w:highlight w:val="none"/>
          <w:lang w:eastAsia="en-US"/>
        </w:rPr>
        <w:fldChar w:fldCharType="end"/>
      </w:r>
      <w:r>
        <w:rPr>
          <w:rStyle w:val="56"/>
          <w:rFonts w:cs="黑体" w:asciiTheme="minorEastAsia" w:hAnsiTheme="minorEastAsia" w:eastAsiaTheme="minorEastAsia"/>
          <w:b w:val="0"/>
          <w:bCs w:val="0"/>
          <w:caps w:val="0"/>
          <w:color w:val="auto"/>
          <w:kern w:val="0"/>
          <w:sz w:val="24"/>
          <w:szCs w:val="24"/>
          <w:highlight w:val="none"/>
          <w:lang w:eastAsia="en-US"/>
        </w:rPr>
        <w:fldChar w:fldCharType="end"/>
      </w:r>
    </w:p>
    <w:p w14:paraId="279A10C4">
      <w:pPr>
        <w:pStyle w:val="34"/>
        <w:tabs>
          <w:tab w:val="right" w:leader="dot" w:pos="8778"/>
        </w:tabs>
        <w:rPr>
          <w:rFonts w:asciiTheme="minorHAnsi" w:hAnsiTheme="minorHAnsi" w:eastAsiaTheme="minorEastAsia" w:cstheme="minorBidi"/>
          <w:b w:val="0"/>
          <w:bCs w:val="0"/>
          <w:caps w:val="0"/>
          <w:color w:val="auto"/>
          <w:sz w:val="21"/>
          <w:szCs w:val="22"/>
          <w:highlight w:val="none"/>
        </w:rPr>
      </w:pPr>
    </w:p>
    <w:p w14:paraId="619CACC8">
      <w:pPr>
        <w:pStyle w:val="276"/>
        <w:adjustRightInd w:val="0"/>
        <w:snapToGrid w:val="0"/>
        <w:spacing w:line="480" w:lineRule="auto"/>
        <w:rPr>
          <w:rFonts w:ascii="宋体" w:hAnsi="宋体" w:cs="宋体"/>
          <w:color w:val="auto"/>
          <w:highlight w:val="none"/>
        </w:rPr>
      </w:pPr>
      <w:r>
        <w:rPr>
          <w:rFonts w:hint="eastAsia" w:ascii="宋体" w:hAnsi="宋体" w:cs="宋体"/>
          <w:color w:val="auto"/>
          <w:sz w:val="24"/>
          <w:highlight w:val="none"/>
        </w:rPr>
        <w:fldChar w:fldCharType="end"/>
      </w:r>
    </w:p>
    <w:p w14:paraId="03AECB8F">
      <w:pPr>
        <w:pStyle w:val="276"/>
        <w:rPr>
          <w:rFonts w:ascii="宋体" w:hAnsi="宋体" w:cs="宋体"/>
          <w:color w:val="auto"/>
          <w:highlight w:val="none"/>
        </w:rPr>
      </w:pPr>
    </w:p>
    <w:p w14:paraId="03A99B08">
      <w:pPr>
        <w:pStyle w:val="276"/>
        <w:rPr>
          <w:rFonts w:ascii="宋体" w:hAnsi="宋体" w:cs="宋体"/>
          <w:color w:val="auto"/>
          <w:highlight w:val="none"/>
        </w:rPr>
      </w:pPr>
    </w:p>
    <w:p w14:paraId="1859A234">
      <w:pPr>
        <w:pStyle w:val="276"/>
        <w:rPr>
          <w:rFonts w:ascii="宋体" w:hAnsi="宋体" w:cs="宋体"/>
          <w:color w:val="auto"/>
          <w:highlight w:val="none"/>
        </w:rPr>
      </w:pPr>
    </w:p>
    <w:p w14:paraId="125EC0D3">
      <w:pPr>
        <w:pStyle w:val="276"/>
        <w:rPr>
          <w:rFonts w:ascii="宋体" w:hAnsi="宋体" w:cs="宋体"/>
          <w:color w:val="auto"/>
          <w:highlight w:val="none"/>
        </w:rPr>
      </w:pPr>
    </w:p>
    <w:p w14:paraId="77C72A68">
      <w:pPr>
        <w:pStyle w:val="276"/>
        <w:rPr>
          <w:rFonts w:ascii="宋体" w:hAnsi="宋体" w:cs="宋体"/>
          <w:color w:val="auto"/>
          <w:highlight w:val="none"/>
        </w:rPr>
      </w:pPr>
    </w:p>
    <w:p w14:paraId="3B28881A">
      <w:pPr>
        <w:pStyle w:val="276"/>
        <w:rPr>
          <w:rFonts w:ascii="宋体" w:hAnsi="宋体" w:cs="宋体"/>
          <w:color w:val="auto"/>
          <w:highlight w:val="none"/>
        </w:rPr>
      </w:pPr>
    </w:p>
    <w:p w14:paraId="09064B3C">
      <w:pPr>
        <w:pStyle w:val="276"/>
        <w:rPr>
          <w:rFonts w:ascii="宋体" w:hAnsi="宋体" w:cs="宋体"/>
          <w:color w:val="auto"/>
          <w:highlight w:val="none"/>
        </w:rPr>
      </w:pPr>
    </w:p>
    <w:p w14:paraId="23E47BBB">
      <w:pPr>
        <w:pStyle w:val="276"/>
        <w:rPr>
          <w:rFonts w:ascii="宋体" w:hAnsi="宋体" w:cs="宋体"/>
          <w:color w:val="auto"/>
          <w:highlight w:val="none"/>
        </w:rPr>
      </w:pPr>
    </w:p>
    <w:p w14:paraId="25368429">
      <w:pPr>
        <w:pStyle w:val="276"/>
        <w:rPr>
          <w:rFonts w:ascii="宋体" w:hAnsi="宋体" w:cs="宋体"/>
          <w:color w:val="auto"/>
          <w:highlight w:val="none"/>
        </w:rPr>
      </w:pPr>
    </w:p>
    <w:p w14:paraId="6BE987EA">
      <w:pPr>
        <w:pStyle w:val="276"/>
        <w:rPr>
          <w:rFonts w:ascii="宋体" w:hAnsi="宋体" w:cs="宋体"/>
          <w:color w:val="auto"/>
          <w:highlight w:val="none"/>
        </w:rPr>
      </w:pPr>
    </w:p>
    <w:p w14:paraId="3F56F119">
      <w:pPr>
        <w:pStyle w:val="276"/>
        <w:rPr>
          <w:rFonts w:ascii="宋体" w:hAnsi="宋体" w:cs="宋体"/>
          <w:color w:val="auto"/>
          <w:highlight w:val="none"/>
        </w:rPr>
      </w:pPr>
    </w:p>
    <w:p w14:paraId="2260F573">
      <w:pPr>
        <w:pStyle w:val="276"/>
        <w:rPr>
          <w:rFonts w:ascii="宋体" w:hAnsi="宋体" w:cs="宋体"/>
          <w:color w:val="auto"/>
          <w:highlight w:val="none"/>
        </w:rPr>
        <w:sectPr>
          <w:headerReference r:id="rId4" w:type="default"/>
          <w:footerReference r:id="rId6" w:type="default"/>
          <w:headerReference r:id="rId5" w:type="even"/>
          <w:footnotePr>
            <w:numFmt w:val="decimalEnclosedCircleChinese"/>
            <w:numRestart w:val="eachPage"/>
          </w:footnotePr>
          <w:type w:val="continuous"/>
          <w:pgSz w:w="11907" w:h="16840"/>
          <w:pgMar w:top="1418" w:right="1418" w:bottom="1418" w:left="1701" w:header="720" w:footer="720" w:gutter="0"/>
          <w:cols w:space="720" w:num="1"/>
        </w:sectPr>
      </w:pPr>
    </w:p>
    <w:p w14:paraId="3716EE24">
      <w:pPr>
        <w:pStyle w:val="276"/>
        <w:rPr>
          <w:rFonts w:ascii="宋体" w:hAnsi="宋体" w:cs="宋体"/>
          <w:color w:val="auto"/>
          <w:highlight w:val="none"/>
        </w:rPr>
      </w:pPr>
    </w:p>
    <w:p w14:paraId="5EEA19F4">
      <w:pPr>
        <w:rPr>
          <w:rFonts w:ascii="宋体" w:hAnsi="宋体" w:cs="宋体"/>
          <w:color w:val="auto"/>
          <w:highlight w:val="none"/>
        </w:rPr>
      </w:pPr>
      <w:bookmarkStart w:id="1" w:name="_Toc519777903"/>
      <w:bookmarkStart w:id="2" w:name="_Toc519601433"/>
      <w:bookmarkStart w:id="3" w:name="_Toc519777851"/>
      <w:bookmarkStart w:id="4" w:name="_Toc509828603"/>
      <w:bookmarkStart w:id="5" w:name="_Toc519777791"/>
      <w:bookmarkStart w:id="6" w:name="_Toc519777799"/>
    </w:p>
    <w:p w14:paraId="67C7B66F">
      <w:pPr>
        <w:rPr>
          <w:rFonts w:ascii="宋体" w:hAnsi="宋体" w:cs="宋体"/>
          <w:color w:val="auto"/>
          <w:highlight w:val="none"/>
        </w:rPr>
      </w:pPr>
    </w:p>
    <w:p w14:paraId="35AFBCC5">
      <w:pPr>
        <w:rPr>
          <w:rFonts w:ascii="宋体" w:hAnsi="宋体" w:cs="宋体"/>
          <w:color w:val="auto"/>
          <w:highlight w:val="none"/>
        </w:rPr>
      </w:pPr>
    </w:p>
    <w:p w14:paraId="168ED34A">
      <w:pPr>
        <w:rPr>
          <w:rFonts w:ascii="宋体" w:hAnsi="宋体" w:cs="宋体"/>
          <w:color w:val="auto"/>
          <w:highlight w:val="none"/>
        </w:rPr>
      </w:pPr>
    </w:p>
    <w:p w14:paraId="70303E17">
      <w:pPr>
        <w:rPr>
          <w:rFonts w:ascii="宋体" w:hAnsi="宋体" w:cs="宋体"/>
          <w:color w:val="auto"/>
          <w:highlight w:val="none"/>
        </w:rPr>
      </w:pPr>
    </w:p>
    <w:p w14:paraId="3B4C7ED4">
      <w:pPr>
        <w:rPr>
          <w:rFonts w:ascii="宋体" w:hAnsi="宋体" w:cs="宋体"/>
          <w:color w:val="auto"/>
          <w:highlight w:val="none"/>
        </w:rPr>
      </w:pPr>
    </w:p>
    <w:p w14:paraId="06BADE46">
      <w:pPr>
        <w:rPr>
          <w:rFonts w:ascii="宋体" w:hAnsi="宋体" w:cs="宋体"/>
          <w:color w:val="auto"/>
          <w:highlight w:val="none"/>
        </w:rPr>
      </w:pPr>
    </w:p>
    <w:p w14:paraId="6C54CF92">
      <w:pPr>
        <w:rPr>
          <w:rFonts w:ascii="宋体" w:hAnsi="宋体" w:cs="宋体"/>
          <w:color w:val="auto"/>
          <w:highlight w:val="none"/>
        </w:rPr>
      </w:pPr>
    </w:p>
    <w:p w14:paraId="09EE1E2D">
      <w:pPr>
        <w:rPr>
          <w:rFonts w:ascii="宋体" w:hAnsi="宋体" w:cs="宋体"/>
          <w:color w:val="auto"/>
          <w:highlight w:val="none"/>
        </w:rPr>
      </w:pPr>
    </w:p>
    <w:p w14:paraId="6D835F53">
      <w:pPr>
        <w:rPr>
          <w:rFonts w:ascii="宋体" w:hAnsi="宋体" w:cs="宋体"/>
          <w:color w:val="auto"/>
          <w:highlight w:val="none"/>
        </w:rPr>
      </w:pPr>
    </w:p>
    <w:p w14:paraId="014A4BE7">
      <w:pPr>
        <w:rPr>
          <w:rFonts w:ascii="宋体" w:hAnsi="宋体" w:cs="宋体"/>
          <w:color w:val="auto"/>
          <w:highlight w:val="none"/>
        </w:rPr>
      </w:pPr>
    </w:p>
    <w:p w14:paraId="5013CFB9">
      <w:pPr>
        <w:rPr>
          <w:rFonts w:ascii="宋体" w:hAnsi="宋体" w:cs="宋体"/>
          <w:color w:val="auto"/>
          <w:highlight w:val="none"/>
        </w:rPr>
      </w:pPr>
    </w:p>
    <w:p w14:paraId="56EEB17B">
      <w:pPr>
        <w:rPr>
          <w:rFonts w:ascii="宋体" w:hAnsi="宋体" w:cs="宋体"/>
          <w:color w:val="auto"/>
          <w:highlight w:val="none"/>
        </w:rPr>
      </w:pPr>
    </w:p>
    <w:p w14:paraId="7B9CE903">
      <w:pPr>
        <w:rPr>
          <w:rFonts w:ascii="宋体" w:hAnsi="宋体" w:cs="宋体"/>
          <w:color w:val="auto"/>
          <w:highlight w:val="none"/>
        </w:rPr>
      </w:pPr>
    </w:p>
    <w:p w14:paraId="2A9ADA16">
      <w:pPr>
        <w:rPr>
          <w:rFonts w:ascii="宋体" w:hAnsi="宋体" w:cs="宋体"/>
          <w:color w:val="auto"/>
          <w:highlight w:val="none"/>
        </w:rPr>
      </w:pPr>
    </w:p>
    <w:p w14:paraId="4D7D90F1">
      <w:pPr>
        <w:rPr>
          <w:rFonts w:ascii="宋体" w:hAnsi="宋体" w:cs="宋体"/>
          <w:color w:val="auto"/>
          <w:highlight w:val="none"/>
        </w:rPr>
      </w:pPr>
    </w:p>
    <w:p w14:paraId="00D1768A">
      <w:pPr>
        <w:rPr>
          <w:rFonts w:ascii="宋体" w:hAnsi="宋体" w:cs="宋体"/>
          <w:color w:val="auto"/>
          <w:highlight w:val="none"/>
        </w:rPr>
      </w:pPr>
    </w:p>
    <w:p w14:paraId="6EF978A6">
      <w:pPr>
        <w:pStyle w:val="4"/>
        <w:spacing w:before="0" w:after="0" w:line="240" w:lineRule="auto"/>
        <w:rPr>
          <w:rFonts w:ascii="宋体" w:hAnsi="宋体" w:eastAsia="宋体" w:cs="宋体"/>
          <w:color w:val="auto"/>
          <w:sz w:val="76"/>
          <w:szCs w:val="76"/>
          <w:highlight w:val="none"/>
        </w:rPr>
      </w:pPr>
      <w:bookmarkStart w:id="7" w:name="_Toc74760798"/>
      <w:r>
        <w:rPr>
          <w:rFonts w:hint="eastAsia" w:ascii="黑体" w:hAnsi="黑体" w:cs="黑体"/>
          <w:color w:val="auto"/>
          <w:sz w:val="76"/>
          <w:szCs w:val="76"/>
          <w:highlight w:val="none"/>
        </w:rPr>
        <w:t>第</w:t>
      </w:r>
      <w:r>
        <w:rPr>
          <w:rFonts w:ascii="黑体" w:hAnsi="黑体" w:cs="黑体"/>
          <w:color w:val="auto"/>
          <w:sz w:val="76"/>
          <w:szCs w:val="76"/>
          <w:highlight w:val="none"/>
        </w:rPr>
        <w:t xml:space="preserve"> </w:t>
      </w:r>
      <w:r>
        <w:rPr>
          <w:rFonts w:hint="eastAsia" w:ascii="黑体" w:hAnsi="黑体" w:cs="黑体"/>
          <w:color w:val="auto"/>
          <w:sz w:val="76"/>
          <w:szCs w:val="76"/>
          <w:highlight w:val="none"/>
        </w:rPr>
        <w:t>一</w:t>
      </w:r>
      <w:r>
        <w:rPr>
          <w:rFonts w:ascii="黑体" w:hAnsi="黑体" w:cs="黑体"/>
          <w:color w:val="auto"/>
          <w:sz w:val="76"/>
          <w:szCs w:val="76"/>
          <w:highlight w:val="none"/>
        </w:rPr>
        <w:t xml:space="preserve"> </w:t>
      </w:r>
      <w:r>
        <w:rPr>
          <w:rFonts w:hint="eastAsia" w:ascii="黑体" w:hAnsi="黑体" w:cs="黑体"/>
          <w:color w:val="auto"/>
          <w:sz w:val="76"/>
          <w:szCs w:val="76"/>
          <w:highlight w:val="none"/>
        </w:rPr>
        <w:t>卷</w:t>
      </w:r>
      <w:bookmarkEnd w:id="1"/>
      <w:bookmarkEnd w:id="2"/>
      <w:bookmarkEnd w:id="3"/>
      <w:bookmarkEnd w:id="4"/>
      <w:bookmarkEnd w:id="5"/>
      <w:bookmarkEnd w:id="6"/>
      <w:bookmarkEnd w:id="7"/>
    </w:p>
    <w:p w14:paraId="3B5B424A">
      <w:pPr>
        <w:pStyle w:val="276"/>
        <w:rPr>
          <w:rFonts w:ascii="宋体" w:hAnsi="宋体" w:cs="宋体"/>
          <w:color w:val="auto"/>
          <w:highlight w:val="none"/>
        </w:rPr>
      </w:pPr>
    </w:p>
    <w:p w14:paraId="211CF975">
      <w:pPr>
        <w:pStyle w:val="276"/>
        <w:rPr>
          <w:rFonts w:ascii="宋体" w:hAnsi="宋体" w:cs="宋体"/>
          <w:color w:val="auto"/>
          <w:highlight w:val="none"/>
        </w:rPr>
      </w:pPr>
    </w:p>
    <w:p w14:paraId="78516181">
      <w:pPr>
        <w:pStyle w:val="276"/>
        <w:rPr>
          <w:rFonts w:ascii="宋体" w:hAnsi="宋体" w:cs="宋体"/>
          <w:color w:val="auto"/>
          <w:highlight w:val="none"/>
        </w:rPr>
      </w:pPr>
    </w:p>
    <w:p w14:paraId="22D0A8E6">
      <w:pPr>
        <w:pStyle w:val="276"/>
        <w:rPr>
          <w:rFonts w:ascii="宋体" w:hAnsi="宋体" w:cs="宋体"/>
          <w:color w:val="auto"/>
          <w:highlight w:val="none"/>
        </w:rPr>
      </w:pPr>
    </w:p>
    <w:p w14:paraId="237EDFD8">
      <w:pPr>
        <w:pStyle w:val="276"/>
        <w:rPr>
          <w:rFonts w:ascii="宋体" w:hAnsi="宋体" w:cs="宋体"/>
          <w:color w:val="auto"/>
          <w:highlight w:val="none"/>
        </w:rPr>
      </w:pPr>
    </w:p>
    <w:p w14:paraId="4E7D08B7">
      <w:pPr>
        <w:pStyle w:val="276"/>
        <w:rPr>
          <w:rFonts w:ascii="宋体" w:hAnsi="宋体" w:cs="宋体"/>
          <w:color w:val="auto"/>
          <w:highlight w:val="none"/>
        </w:rPr>
      </w:pPr>
    </w:p>
    <w:p w14:paraId="1A9C9C24">
      <w:pPr>
        <w:pStyle w:val="276"/>
        <w:rPr>
          <w:rFonts w:ascii="宋体" w:hAnsi="宋体" w:cs="宋体"/>
          <w:color w:val="auto"/>
          <w:highlight w:val="none"/>
        </w:rPr>
      </w:pPr>
    </w:p>
    <w:p w14:paraId="5D22A32D">
      <w:pPr>
        <w:pStyle w:val="276"/>
        <w:rPr>
          <w:rFonts w:ascii="宋体" w:hAnsi="宋体" w:cs="宋体"/>
          <w:color w:val="auto"/>
          <w:highlight w:val="none"/>
        </w:rPr>
      </w:pPr>
    </w:p>
    <w:p w14:paraId="5773167C">
      <w:pPr>
        <w:pStyle w:val="276"/>
        <w:rPr>
          <w:rFonts w:ascii="宋体" w:hAnsi="宋体" w:cs="宋体"/>
          <w:color w:val="auto"/>
          <w:highlight w:val="none"/>
        </w:rPr>
      </w:pPr>
    </w:p>
    <w:p w14:paraId="5F2BA72E">
      <w:pPr>
        <w:pStyle w:val="276"/>
        <w:rPr>
          <w:rFonts w:ascii="宋体" w:hAnsi="宋体" w:cs="宋体"/>
          <w:color w:val="auto"/>
          <w:highlight w:val="none"/>
        </w:rPr>
      </w:pPr>
    </w:p>
    <w:p w14:paraId="2260A5A0">
      <w:pPr>
        <w:pStyle w:val="276"/>
        <w:rPr>
          <w:rFonts w:ascii="宋体" w:hAnsi="宋体" w:cs="宋体"/>
          <w:color w:val="auto"/>
          <w:highlight w:val="none"/>
        </w:rPr>
      </w:pPr>
    </w:p>
    <w:p w14:paraId="45F9A96A">
      <w:pPr>
        <w:pStyle w:val="276"/>
        <w:rPr>
          <w:rFonts w:ascii="宋体" w:hAnsi="宋体" w:cs="宋体"/>
          <w:color w:val="auto"/>
          <w:highlight w:val="none"/>
        </w:rPr>
      </w:pPr>
    </w:p>
    <w:p w14:paraId="0305B8AC">
      <w:pPr>
        <w:pStyle w:val="276"/>
        <w:rPr>
          <w:rFonts w:ascii="宋体" w:hAnsi="宋体" w:cs="宋体"/>
          <w:color w:val="auto"/>
          <w:highlight w:val="none"/>
        </w:rPr>
      </w:pPr>
    </w:p>
    <w:p w14:paraId="57C2D910">
      <w:pPr>
        <w:pStyle w:val="276"/>
        <w:rPr>
          <w:rFonts w:ascii="宋体" w:hAnsi="宋体" w:cs="宋体"/>
          <w:color w:val="auto"/>
          <w:highlight w:val="none"/>
        </w:rPr>
      </w:pPr>
    </w:p>
    <w:p w14:paraId="7CCF8C7B">
      <w:pPr>
        <w:pStyle w:val="276"/>
        <w:rPr>
          <w:rFonts w:ascii="宋体" w:hAnsi="宋体" w:cs="宋体"/>
          <w:color w:val="auto"/>
          <w:highlight w:val="none"/>
        </w:rPr>
      </w:pPr>
    </w:p>
    <w:p w14:paraId="0601499A">
      <w:pPr>
        <w:pStyle w:val="276"/>
        <w:rPr>
          <w:rFonts w:ascii="宋体" w:hAnsi="宋体" w:cs="宋体"/>
          <w:color w:val="auto"/>
          <w:highlight w:val="none"/>
        </w:rPr>
      </w:pPr>
    </w:p>
    <w:p w14:paraId="6583C5A2">
      <w:pPr>
        <w:pStyle w:val="276"/>
        <w:rPr>
          <w:rFonts w:ascii="宋体" w:hAnsi="宋体" w:cs="宋体"/>
          <w:color w:val="auto"/>
          <w:highlight w:val="none"/>
        </w:rPr>
      </w:pPr>
    </w:p>
    <w:p w14:paraId="75C437CE">
      <w:pPr>
        <w:pStyle w:val="276"/>
        <w:rPr>
          <w:rFonts w:ascii="宋体" w:hAnsi="宋体" w:cs="宋体"/>
          <w:color w:val="auto"/>
          <w:highlight w:val="none"/>
        </w:rPr>
      </w:pPr>
    </w:p>
    <w:p w14:paraId="3DB2D72C">
      <w:pPr>
        <w:pStyle w:val="276"/>
        <w:rPr>
          <w:rFonts w:ascii="宋体" w:hAnsi="宋体" w:cs="宋体"/>
          <w:color w:val="auto"/>
          <w:highlight w:val="none"/>
        </w:rPr>
      </w:pPr>
    </w:p>
    <w:p w14:paraId="5EFFF409">
      <w:pPr>
        <w:pStyle w:val="276"/>
        <w:rPr>
          <w:rFonts w:ascii="宋体" w:hAnsi="宋体" w:cs="宋体"/>
          <w:color w:val="auto"/>
          <w:highlight w:val="none"/>
        </w:rPr>
      </w:pPr>
    </w:p>
    <w:p w14:paraId="4FDB6AB4">
      <w:pPr>
        <w:pStyle w:val="276"/>
        <w:rPr>
          <w:rFonts w:ascii="宋体" w:hAnsi="宋体" w:cs="宋体"/>
          <w:color w:val="auto"/>
          <w:highlight w:val="none"/>
        </w:rPr>
      </w:pPr>
    </w:p>
    <w:p w14:paraId="74A60B58">
      <w:pPr>
        <w:pStyle w:val="276"/>
        <w:rPr>
          <w:rFonts w:ascii="宋体" w:hAnsi="宋体" w:cs="宋体"/>
          <w:color w:val="auto"/>
          <w:highlight w:val="none"/>
        </w:rPr>
      </w:pPr>
    </w:p>
    <w:p w14:paraId="7836E12B">
      <w:pPr>
        <w:pStyle w:val="276"/>
        <w:rPr>
          <w:rFonts w:ascii="宋体" w:hAnsi="宋体" w:cs="宋体"/>
          <w:color w:val="auto"/>
          <w:highlight w:val="none"/>
        </w:rPr>
      </w:pPr>
    </w:p>
    <w:p w14:paraId="07DF0671">
      <w:pPr>
        <w:pStyle w:val="276"/>
        <w:rPr>
          <w:rFonts w:ascii="宋体" w:hAnsi="宋体" w:cs="宋体"/>
          <w:color w:val="auto"/>
          <w:highlight w:val="none"/>
        </w:rPr>
      </w:pPr>
    </w:p>
    <w:p w14:paraId="510003F1">
      <w:pPr>
        <w:pStyle w:val="276"/>
        <w:rPr>
          <w:rFonts w:ascii="宋体" w:hAnsi="宋体" w:cs="宋体"/>
          <w:color w:val="auto"/>
          <w:highlight w:val="none"/>
        </w:rPr>
      </w:pPr>
    </w:p>
    <w:p w14:paraId="36971B22">
      <w:pPr>
        <w:pStyle w:val="276"/>
        <w:rPr>
          <w:rFonts w:ascii="宋体" w:hAnsi="宋体" w:cs="宋体"/>
          <w:color w:val="auto"/>
          <w:highlight w:val="none"/>
        </w:rPr>
      </w:pPr>
    </w:p>
    <w:p w14:paraId="5AB7213E">
      <w:pPr>
        <w:pStyle w:val="276"/>
        <w:rPr>
          <w:rFonts w:ascii="宋体" w:hAnsi="宋体" w:cs="宋体"/>
          <w:color w:val="auto"/>
          <w:highlight w:val="none"/>
        </w:rPr>
      </w:pPr>
    </w:p>
    <w:p w14:paraId="77E2C627">
      <w:pPr>
        <w:pStyle w:val="276"/>
        <w:rPr>
          <w:rFonts w:ascii="宋体" w:hAnsi="宋体" w:cs="宋体"/>
          <w:color w:val="auto"/>
          <w:highlight w:val="none"/>
        </w:rPr>
      </w:pPr>
    </w:p>
    <w:p w14:paraId="684B9E84">
      <w:pPr>
        <w:pStyle w:val="276"/>
        <w:rPr>
          <w:rFonts w:ascii="宋体" w:hAnsi="宋体" w:cs="宋体"/>
          <w:color w:val="auto"/>
          <w:highlight w:val="none"/>
        </w:rPr>
      </w:pPr>
    </w:p>
    <w:p w14:paraId="2E815B29">
      <w:pPr>
        <w:pStyle w:val="276"/>
        <w:rPr>
          <w:rFonts w:ascii="宋体" w:hAnsi="宋体" w:cs="宋体"/>
          <w:color w:val="auto"/>
          <w:highlight w:val="none"/>
        </w:rPr>
      </w:pPr>
    </w:p>
    <w:p w14:paraId="47E16C20">
      <w:pPr>
        <w:pStyle w:val="276"/>
        <w:rPr>
          <w:rFonts w:ascii="宋体" w:hAnsi="宋体" w:cs="宋体"/>
          <w:color w:val="auto"/>
          <w:highlight w:val="none"/>
        </w:rPr>
      </w:pPr>
    </w:p>
    <w:p w14:paraId="4984C0ED">
      <w:pPr>
        <w:pStyle w:val="276"/>
        <w:rPr>
          <w:rFonts w:ascii="宋体" w:hAnsi="宋体" w:cs="宋体"/>
          <w:color w:val="auto"/>
          <w:highlight w:val="none"/>
        </w:rPr>
      </w:pPr>
    </w:p>
    <w:p w14:paraId="1E224793">
      <w:pPr>
        <w:pStyle w:val="276"/>
        <w:rPr>
          <w:rFonts w:ascii="宋体" w:hAnsi="宋体" w:cs="宋体"/>
          <w:color w:val="auto"/>
          <w:highlight w:val="none"/>
        </w:rPr>
      </w:pPr>
    </w:p>
    <w:p w14:paraId="12A09947">
      <w:pPr>
        <w:pStyle w:val="276"/>
        <w:rPr>
          <w:rFonts w:ascii="宋体" w:hAnsi="宋体" w:cs="宋体"/>
          <w:color w:val="auto"/>
          <w:highlight w:val="none"/>
        </w:rPr>
      </w:pPr>
    </w:p>
    <w:p w14:paraId="7AC8CAE9">
      <w:pPr>
        <w:pStyle w:val="276"/>
        <w:rPr>
          <w:rFonts w:ascii="宋体" w:hAnsi="宋体" w:cs="宋体"/>
          <w:color w:val="auto"/>
          <w:highlight w:val="none"/>
        </w:rPr>
      </w:pPr>
    </w:p>
    <w:p w14:paraId="543300FB">
      <w:pPr>
        <w:pStyle w:val="276"/>
        <w:rPr>
          <w:rFonts w:ascii="宋体" w:hAnsi="宋体" w:cs="宋体"/>
          <w:color w:val="auto"/>
          <w:highlight w:val="none"/>
        </w:rPr>
      </w:pPr>
    </w:p>
    <w:p w14:paraId="22B7B4B0">
      <w:pPr>
        <w:pStyle w:val="276"/>
        <w:rPr>
          <w:rFonts w:ascii="宋体" w:hAnsi="宋体" w:cs="宋体"/>
          <w:color w:val="auto"/>
          <w:highlight w:val="none"/>
        </w:rPr>
      </w:pPr>
    </w:p>
    <w:p w14:paraId="0C7B39A4">
      <w:pPr>
        <w:pStyle w:val="276"/>
        <w:rPr>
          <w:rFonts w:ascii="宋体" w:hAnsi="宋体" w:cs="宋体"/>
          <w:color w:val="auto"/>
          <w:highlight w:val="none"/>
        </w:rPr>
      </w:pPr>
    </w:p>
    <w:p w14:paraId="2D3C83FB">
      <w:pPr>
        <w:pStyle w:val="276"/>
        <w:rPr>
          <w:rFonts w:ascii="宋体" w:hAnsi="宋体" w:cs="宋体"/>
          <w:color w:val="auto"/>
          <w:highlight w:val="none"/>
        </w:rPr>
      </w:pPr>
    </w:p>
    <w:p w14:paraId="1A1F665A">
      <w:pPr>
        <w:pStyle w:val="276"/>
        <w:rPr>
          <w:rFonts w:ascii="宋体" w:hAnsi="宋体" w:cs="宋体"/>
          <w:color w:val="auto"/>
          <w:highlight w:val="none"/>
        </w:rPr>
      </w:pPr>
    </w:p>
    <w:p w14:paraId="383FC668">
      <w:pPr>
        <w:pStyle w:val="276"/>
        <w:rPr>
          <w:rFonts w:ascii="宋体" w:hAnsi="宋体" w:cs="宋体"/>
          <w:color w:val="auto"/>
          <w:highlight w:val="none"/>
        </w:rPr>
      </w:pPr>
    </w:p>
    <w:p w14:paraId="45E97C93">
      <w:pPr>
        <w:pStyle w:val="276"/>
        <w:rPr>
          <w:rFonts w:ascii="宋体" w:hAnsi="宋体" w:cs="宋体"/>
          <w:color w:val="auto"/>
          <w:highlight w:val="none"/>
        </w:rPr>
      </w:pPr>
    </w:p>
    <w:p w14:paraId="5A7FF6BE">
      <w:pPr>
        <w:pStyle w:val="276"/>
        <w:rPr>
          <w:rFonts w:ascii="宋体" w:hAnsi="宋体" w:cs="宋体"/>
          <w:color w:val="auto"/>
          <w:highlight w:val="none"/>
        </w:rPr>
      </w:pPr>
    </w:p>
    <w:p w14:paraId="4999C5B9">
      <w:pPr>
        <w:pStyle w:val="276"/>
        <w:rPr>
          <w:rFonts w:ascii="宋体" w:hAnsi="宋体" w:cs="宋体"/>
          <w:color w:val="auto"/>
          <w:highlight w:val="none"/>
        </w:rPr>
      </w:pPr>
    </w:p>
    <w:p w14:paraId="55DC73C1">
      <w:pPr>
        <w:pStyle w:val="276"/>
        <w:rPr>
          <w:rFonts w:ascii="宋体" w:hAnsi="宋体" w:cs="宋体"/>
          <w:color w:val="auto"/>
          <w:highlight w:val="none"/>
        </w:rPr>
      </w:pPr>
    </w:p>
    <w:p w14:paraId="7F167DB7">
      <w:pPr>
        <w:pStyle w:val="20"/>
        <w:spacing w:after="0" w:line="360" w:lineRule="auto"/>
        <w:jc w:val="center"/>
        <w:rPr>
          <w:rFonts w:hint="eastAsia" w:ascii="黑体" w:hAnsi="黑体" w:eastAsia="黑体" w:cs="黑体"/>
          <w:b w:val="0"/>
          <w:color w:val="auto"/>
          <w:sz w:val="52"/>
          <w:szCs w:val="52"/>
          <w:highlight w:val="none"/>
        </w:rPr>
      </w:pPr>
      <w:bookmarkStart w:id="8" w:name="_Toc519601434"/>
      <w:bookmarkStart w:id="9" w:name="_Toc74760799"/>
      <w:bookmarkStart w:id="10" w:name="_Toc519778460"/>
      <w:bookmarkStart w:id="11" w:name="_Toc519777852"/>
      <w:bookmarkStart w:id="12" w:name="_Toc519777800"/>
      <w:bookmarkStart w:id="13" w:name="_Toc519777904"/>
      <w:bookmarkStart w:id="14" w:name="_Toc519777792"/>
      <w:r>
        <w:rPr>
          <w:rFonts w:hint="eastAsia" w:ascii="黑体" w:hAnsi="黑体" w:eastAsia="黑体" w:cs="黑体"/>
          <w:b w:val="0"/>
          <w:color w:val="auto"/>
          <w:sz w:val="52"/>
          <w:szCs w:val="52"/>
          <w:highlight w:val="none"/>
        </w:rPr>
        <w:t>第一章  招标公告</w:t>
      </w:r>
      <w:bookmarkEnd w:id="8"/>
      <w:bookmarkEnd w:id="9"/>
      <w:bookmarkEnd w:id="10"/>
      <w:bookmarkEnd w:id="11"/>
      <w:bookmarkEnd w:id="12"/>
      <w:bookmarkEnd w:id="13"/>
      <w:bookmarkEnd w:id="14"/>
    </w:p>
    <w:p w14:paraId="6D6D2B71">
      <w:pPr>
        <w:pStyle w:val="276"/>
        <w:rPr>
          <w:rFonts w:ascii="宋体" w:hAnsi="宋体" w:cs="宋体"/>
          <w:color w:val="auto"/>
          <w:highlight w:val="none"/>
        </w:rPr>
      </w:pPr>
    </w:p>
    <w:p w14:paraId="585A4F8E">
      <w:pPr>
        <w:pStyle w:val="276"/>
        <w:rPr>
          <w:rFonts w:ascii="宋体" w:hAnsi="宋体" w:cs="宋体"/>
          <w:color w:val="auto"/>
          <w:highlight w:val="none"/>
        </w:rPr>
      </w:pPr>
    </w:p>
    <w:p w14:paraId="5AB38D18">
      <w:pPr>
        <w:pStyle w:val="276"/>
        <w:rPr>
          <w:rFonts w:ascii="宋体" w:hAnsi="宋体" w:cs="宋体"/>
          <w:color w:val="auto"/>
          <w:highlight w:val="none"/>
        </w:rPr>
      </w:pPr>
    </w:p>
    <w:p w14:paraId="6FFA50E2">
      <w:pPr>
        <w:pStyle w:val="276"/>
        <w:rPr>
          <w:rFonts w:ascii="宋体" w:hAnsi="宋体" w:cs="宋体"/>
          <w:color w:val="auto"/>
          <w:highlight w:val="none"/>
        </w:rPr>
      </w:pPr>
    </w:p>
    <w:p w14:paraId="35B4758E">
      <w:pPr>
        <w:pStyle w:val="276"/>
        <w:rPr>
          <w:rFonts w:ascii="宋体" w:hAnsi="宋体" w:cs="宋体"/>
          <w:color w:val="auto"/>
          <w:highlight w:val="none"/>
        </w:rPr>
      </w:pPr>
    </w:p>
    <w:p w14:paraId="16CFD980">
      <w:pPr>
        <w:pStyle w:val="276"/>
        <w:rPr>
          <w:rFonts w:ascii="宋体" w:hAnsi="宋体" w:cs="宋体"/>
          <w:color w:val="auto"/>
          <w:highlight w:val="none"/>
        </w:rPr>
      </w:pPr>
    </w:p>
    <w:p w14:paraId="568A3321">
      <w:pPr>
        <w:pStyle w:val="276"/>
        <w:rPr>
          <w:rFonts w:ascii="宋体" w:hAnsi="宋体" w:cs="宋体"/>
          <w:color w:val="auto"/>
          <w:highlight w:val="none"/>
        </w:rPr>
      </w:pPr>
    </w:p>
    <w:p w14:paraId="43044CFA">
      <w:pPr>
        <w:pStyle w:val="276"/>
        <w:rPr>
          <w:rFonts w:ascii="宋体" w:hAnsi="宋体" w:cs="宋体"/>
          <w:color w:val="auto"/>
          <w:highlight w:val="none"/>
        </w:rPr>
      </w:pPr>
    </w:p>
    <w:p w14:paraId="6E449466">
      <w:pPr>
        <w:pStyle w:val="276"/>
        <w:rPr>
          <w:rFonts w:ascii="宋体" w:hAnsi="宋体" w:cs="宋体"/>
          <w:color w:val="auto"/>
          <w:highlight w:val="none"/>
        </w:rPr>
      </w:pPr>
    </w:p>
    <w:p w14:paraId="6F609445">
      <w:pPr>
        <w:pStyle w:val="276"/>
        <w:rPr>
          <w:rFonts w:ascii="宋体" w:hAnsi="宋体" w:cs="宋体"/>
          <w:color w:val="auto"/>
          <w:highlight w:val="none"/>
        </w:rPr>
      </w:pPr>
    </w:p>
    <w:p w14:paraId="243D616C">
      <w:pPr>
        <w:pStyle w:val="276"/>
        <w:rPr>
          <w:rFonts w:ascii="宋体" w:hAnsi="宋体" w:cs="宋体"/>
          <w:color w:val="auto"/>
          <w:highlight w:val="none"/>
        </w:rPr>
      </w:pPr>
    </w:p>
    <w:p w14:paraId="11B47B29">
      <w:pPr>
        <w:pStyle w:val="276"/>
        <w:rPr>
          <w:rFonts w:ascii="宋体" w:hAnsi="宋体" w:cs="宋体"/>
          <w:color w:val="auto"/>
          <w:highlight w:val="none"/>
        </w:rPr>
      </w:pPr>
    </w:p>
    <w:p w14:paraId="58699D9C">
      <w:pPr>
        <w:pStyle w:val="276"/>
        <w:rPr>
          <w:rFonts w:ascii="宋体" w:hAnsi="宋体" w:cs="宋体"/>
          <w:color w:val="auto"/>
          <w:highlight w:val="none"/>
        </w:rPr>
      </w:pPr>
    </w:p>
    <w:p w14:paraId="57B48B7E">
      <w:pPr>
        <w:pStyle w:val="276"/>
        <w:rPr>
          <w:rFonts w:ascii="宋体" w:hAnsi="宋体" w:cs="宋体"/>
          <w:color w:val="auto"/>
          <w:highlight w:val="none"/>
        </w:rPr>
      </w:pPr>
    </w:p>
    <w:p w14:paraId="35D53176">
      <w:pPr>
        <w:pStyle w:val="276"/>
        <w:rPr>
          <w:rFonts w:ascii="宋体" w:hAnsi="宋体" w:cs="宋体"/>
          <w:color w:val="auto"/>
          <w:highlight w:val="none"/>
        </w:rPr>
      </w:pPr>
    </w:p>
    <w:p w14:paraId="4CE2C603">
      <w:pPr>
        <w:pStyle w:val="276"/>
        <w:rPr>
          <w:rFonts w:ascii="宋体" w:hAnsi="宋体" w:cs="宋体"/>
          <w:color w:val="auto"/>
          <w:highlight w:val="none"/>
        </w:rPr>
      </w:pPr>
    </w:p>
    <w:p w14:paraId="1FFF9ED5">
      <w:pPr>
        <w:pStyle w:val="276"/>
        <w:spacing w:line="360" w:lineRule="auto"/>
        <w:jc w:val="center"/>
        <w:outlineLvl w:val="0"/>
        <w:rPr>
          <w:rFonts w:ascii="宋体" w:hAnsi="宋体" w:cs="宋体"/>
          <w:color w:val="auto"/>
          <w:highlight w:val="none"/>
        </w:rPr>
      </w:pPr>
      <w:r>
        <w:rPr>
          <w:rFonts w:ascii="宋体" w:hAnsi="宋体" w:cs="宋体"/>
          <w:color w:val="auto"/>
          <w:highlight w:val="none"/>
        </w:rPr>
        <w:br w:type="page"/>
      </w:r>
      <w:bookmarkStart w:id="15" w:name="_Toc519778461"/>
      <w:r>
        <w:rPr>
          <w:rStyle w:val="75"/>
          <w:b w:val="0"/>
          <w:bCs w:val="0"/>
        </w:rPr>
        <w:t>第一章  招标公告</w:t>
      </w:r>
    </w:p>
    <w:p w14:paraId="498E68D6">
      <w:pPr>
        <w:pStyle w:val="276"/>
        <w:spacing w:line="360" w:lineRule="auto"/>
        <w:ind w:firstLine="1960" w:firstLineChars="700"/>
        <w:rPr>
          <w:rFonts w:ascii="宋体" w:hAnsi="宋体" w:cs="宋体"/>
          <w:b/>
          <w:color w:val="auto"/>
          <w:sz w:val="28"/>
          <w:szCs w:val="28"/>
          <w:highlight w:val="none"/>
        </w:rPr>
      </w:pPr>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w:t>
      </w:r>
      <w:r>
        <w:rPr>
          <w:rFonts w:hint="eastAsia" w:ascii="黑体" w:hAnsi="黑体" w:eastAsia="黑体" w:cs="宋体"/>
          <w:color w:val="auto"/>
          <w:sz w:val="28"/>
          <w:szCs w:val="28"/>
          <w:highlight w:val="none"/>
          <w:lang w:val="en-US" w:eastAsia="zh-CN"/>
        </w:rPr>
        <w:t>招标</w:t>
      </w:r>
      <w:r>
        <w:rPr>
          <w:rFonts w:hint="eastAsia" w:ascii="黑体" w:hAnsi="黑体" w:eastAsia="黑体" w:cs="宋体"/>
          <w:color w:val="auto"/>
          <w:sz w:val="28"/>
          <w:szCs w:val="28"/>
          <w:highlight w:val="none"/>
        </w:rPr>
        <w:t>项目名称）招标公告</w:t>
      </w:r>
    </w:p>
    <w:p w14:paraId="2CC27F33">
      <w:pPr>
        <w:pStyle w:val="276"/>
        <w:spacing w:line="360" w:lineRule="auto"/>
        <w:rPr>
          <w:rFonts w:ascii="宋体" w:hAnsi="宋体" w:cs="宋体"/>
          <w:color w:val="auto"/>
          <w:highlight w:val="none"/>
        </w:rPr>
      </w:pPr>
    </w:p>
    <w:p w14:paraId="6900C149">
      <w:pPr>
        <w:pStyle w:val="5"/>
        <w:rPr>
          <w:rFonts w:ascii="黑体" w:hAnsi="Times New Roman"/>
          <w:color w:val="auto"/>
          <w:sz w:val="28"/>
          <w:szCs w:val="28"/>
          <w:highlight w:val="none"/>
        </w:rPr>
      </w:pPr>
      <w:bookmarkStart w:id="16" w:name="_Toc523921577"/>
      <w:bookmarkStart w:id="17" w:name="_Toc74760800"/>
      <w:r>
        <w:rPr>
          <w:rFonts w:hint="eastAsia" w:ascii="黑体" w:hAnsi="Times New Roman"/>
          <w:color w:val="auto"/>
          <w:sz w:val="28"/>
          <w:szCs w:val="28"/>
          <w:highlight w:val="none"/>
          <w:lang w:val="en-US" w:eastAsia="zh-CN"/>
        </w:rPr>
        <w:t xml:space="preserve">1. </w:t>
      </w:r>
      <w:r>
        <w:rPr>
          <w:rFonts w:hint="eastAsia" w:ascii="黑体" w:hAnsi="Times New Roman"/>
          <w:color w:val="auto"/>
          <w:sz w:val="28"/>
          <w:szCs w:val="28"/>
          <w:highlight w:val="none"/>
        </w:rPr>
        <w:t>招标条件</w:t>
      </w:r>
      <w:bookmarkEnd w:id="15"/>
      <w:bookmarkEnd w:id="16"/>
      <w:bookmarkEnd w:id="17"/>
    </w:p>
    <w:p w14:paraId="515F1E6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本次招标项目</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（项目名称）已由</w:t>
      </w:r>
      <w:r>
        <w:rPr>
          <w:rFonts w:ascii="宋体" w:hAnsi="宋体" w:cs="宋体"/>
          <w:color w:val="auto"/>
          <w:sz w:val="24"/>
          <w:highlight w:val="none"/>
          <w:u w:val="single"/>
        </w:rPr>
        <w:t xml:space="preserve">           </w:t>
      </w:r>
      <w:r>
        <w:rPr>
          <w:rFonts w:hint="eastAsia" w:ascii="宋体" w:hAnsi="宋体" w:cs="宋体"/>
          <w:color w:val="auto"/>
          <w:sz w:val="24"/>
          <w:highlight w:val="none"/>
        </w:rPr>
        <w:t>（项目审批、核准或备案机关名称）以</w:t>
      </w:r>
      <w:r>
        <w:rPr>
          <w:rFonts w:ascii="宋体" w:hAnsi="宋体" w:cs="宋体"/>
          <w:color w:val="auto"/>
          <w:sz w:val="24"/>
          <w:highlight w:val="none"/>
          <w:u w:val="single"/>
        </w:rPr>
        <w:t xml:space="preserve">           </w:t>
      </w:r>
      <w:r>
        <w:rPr>
          <w:rFonts w:hint="eastAsia" w:ascii="宋体" w:hAnsi="宋体" w:cs="宋体"/>
          <w:color w:val="auto"/>
          <w:sz w:val="24"/>
          <w:highlight w:val="none"/>
        </w:rPr>
        <w:t>（批文名称及编号）批准建设，初步设计已由</w:t>
      </w:r>
      <w:r>
        <w:rPr>
          <w:rFonts w:ascii="宋体" w:hAnsi="宋体" w:cs="宋体"/>
          <w:color w:val="auto"/>
          <w:sz w:val="24"/>
          <w:highlight w:val="none"/>
          <w:u w:val="single"/>
        </w:rPr>
        <w:t xml:space="preserve">            </w:t>
      </w:r>
      <w:r>
        <w:rPr>
          <w:rFonts w:hint="eastAsia" w:ascii="宋体" w:hAnsi="宋体" w:cs="宋体"/>
          <w:color w:val="auto"/>
          <w:sz w:val="24"/>
          <w:highlight w:val="none"/>
        </w:rPr>
        <w:t>（批准机关名称）以</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（批文名称及编号）批准，项目业主为</w:t>
      </w:r>
      <w:r>
        <w:rPr>
          <w:rFonts w:ascii="宋体" w:hAnsi="宋体" w:cs="宋体"/>
          <w:color w:val="auto"/>
          <w:sz w:val="24"/>
          <w:highlight w:val="none"/>
          <w:u w:val="single"/>
        </w:rPr>
        <w:t xml:space="preserve">         </w:t>
      </w:r>
      <w:r>
        <w:rPr>
          <w:rFonts w:hint="eastAsia" w:ascii="宋体" w:hAnsi="宋体" w:cs="宋体"/>
          <w:color w:val="auto"/>
          <w:sz w:val="24"/>
          <w:highlight w:val="none"/>
        </w:rPr>
        <w:t>，建设资金来自</w:t>
      </w:r>
      <w:r>
        <w:rPr>
          <w:rFonts w:ascii="宋体" w:hAnsi="宋体" w:cs="宋体"/>
          <w:color w:val="auto"/>
          <w:sz w:val="24"/>
          <w:highlight w:val="none"/>
          <w:u w:val="single"/>
        </w:rPr>
        <w:t xml:space="preserve">          </w:t>
      </w:r>
      <w:r>
        <w:rPr>
          <w:rFonts w:hint="eastAsia" w:ascii="宋体" w:hAnsi="宋体" w:cs="宋体"/>
          <w:color w:val="auto"/>
          <w:sz w:val="24"/>
          <w:highlight w:val="none"/>
        </w:rPr>
        <w:t>（资金来源），出资比例为</w:t>
      </w:r>
      <w:r>
        <w:rPr>
          <w:rStyle w:val="58"/>
          <w:rFonts w:ascii="宋体" w:hAnsi="宋体" w:cs="宋体"/>
          <w:color w:val="auto"/>
          <w:sz w:val="24"/>
          <w:highlight w:val="none"/>
        </w:rPr>
        <w:footnoteReference w:id="1"/>
      </w:r>
      <w:r>
        <w:rPr>
          <w:rFonts w:ascii="宋体" w:hAnsi="宋体" w:cs="宋体"/>
          <w:color w:val="auto"/>
          <w:sz w:val="24"/>
          <w:highlight w:val="none"/>
          <w:u w:val="single"/>
        </w:rPr>
        <w:t xml:space="preserve">       </w:t>
      </w:r>
      <w:r>
        <w:rPr>
          <w:rFonts w:hint="eastAsia" w:ascii="宋体" w:hAnsi="宋体" w:cs="宋体"/>
          <w:color w:val="auto"/>
          <w:sz w:val="24"/>
          <w:highlight w:val="none"/>
        </w:rPr>
        <w:t>，招标人为</w:t>
      </w:r>
      <w:r>
        <w:rPr>
          <w:rFonts w:ascii="宋体" w:hAnsi="宋体" w:cs="宋体"/>
          <w:color w:val="auto"/>
          <w:sz w:val="24"/>
          <w:highlight w:val="none"/>
          <w:u w:val="single"/>
        </w:rPr>
        <w:t xml:space="preserve">       </w:t>
      </w:r>
      <w:r>
        <w:rPr>
          <w:rFonts w:hint="eastAsia" w:ascii="宋体" w:hAnsi="宋体" w:cs="宋体"/>
          <w:color w:val="auto"/>
          <w:sz w:val="24"/>
          <w:highlight w:val="none"/>
        </w:rPr>
        <w:t>。项目已具备招标条件，现对该项目</w:t>
      </w:r>
      <w:r>
        <w:rPr>
          <w:rFonts w:ascii="宋体" w:hAnsi="宋体" w:cs="宋体"/>
          <w:color w:val="auto"/>
          <w:sz w:val="24"/>
          <w:highlight w:val="none"/>
          <w:u w:val="single"/>
        </w:rPr>
        <w:t xml:space="preserve">    </w:t>
      </w:r>
      <w:r>
        <w:rPr>
          <w:rFonts w:hint="eastAsia" w:ascii="宋体" w:hAnsi="宋体" w:cs="宋体"/>
          <w:color w:val="auto"/>
          <w:sz w:val="24"/>
          <w:highlight w:val="none"/>
        </w:rPr>
        <w:t>（招标类别）</w:t>
      </w:r>
      <w:r>
        <w:rPr>
          <w:rFonts w:ascii="宋体" w:hAnsi="宋体" w:cs="宋体"/>
          <w:color w:val="auto"/>
          <w:sz w:val="24"/>
          <w:highlight w:val="none"/>
          <w:u w:val="single"/>
        </w:rPr>
        <w:t xml:space="preserve">    </w:t>
      </w:r>
      <w:r>
        <w:rPr>
          <w:rFonts w:hint="eastAsia" w:ascii="宋体" w:hAnsi="宋体" w:cs="宋体"/>
          <w:color w:val="auto"/>
          <w:sz w:val="24"/>
          <w:highlight w:val="none"/>
        </w:rPr>
        <w:t>标段</w:t>
      </w:r>
      <w:r>
        <w:rPr>
          <w:rStyle w:val="58"/>
          <w:rFonts w:hint="eastAsia" w:ascii="宋体" w:hAnsi="宋体" w:cs="宋体"/>
          <w:sz w:val="24"/>
        </w:rPr>
        <w:footnoteReference w:id="2"/>
      </w:r>
      <w:r>
        <w:rPr>
          <w:rFonts w:hint="eastAsia" w:ascii="宋体" w:hAnsi="宋体" w:cs="宋体"/>
          <w:color w:val="auto"/>
          <w:sz w:val="24"/>
          <w:highlight w:val="none"/>
        </w:rPr>
        <w:t>进行公开招标。</w:t>
      </w:r>
    </w:p>
    <w:p w14:paraId="6EAB5DFF">
      <w:pPr>
        <w:pStyle w:val="5"/>
      </w:pPr>
      <w:bookmarkStart w:id="18" w:name="_Toc519778462"/>
      <w:bookmarkStart w:id="19" w:name="_Toc523921578"/>
      <w:bookmarkStart w:id="20" w:name="_Toc74760801"/>
      <w:r>
        <w:rPr>
          <w:rFonts w:hint="eastAsia"/>
        </w:rPr>
        <w:t>2</w:t>
      </w:r>
      <w:r>
        <w:rPr>
          <w:rFonts w:hint="eastAsia"/>
          <w:lang w:val="en-US" w:eastAsia="zh-CN"/>
        </w:rPr>
        <w:t xml:space="preserve">. </w:t>
      </w:r>
      <w:r>
        <w:rPr>
          <w:rFonts w:hint="eastAsia"/>
        </w:rPr>
        <w:t>项目概况与招标范围</w:t>
      </w:r>
      <w:bookmarkEnd w:id="18"/>
      <w:bookmarkEnd w:id="19"/>
      <w:bookmarkEnd w:id="20"/>
    </w:p>
    <w:p w14:paraId="3F54E4A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2.1 </w:t>
      </w:r>
      <w:r>
        <w:rPr>
          <w:rFonts w:hint="eastAsia" w:ascii="宋体" w:hAnsi="宋体" w:cs="宋体"/>
          <w:color w:val="auto"/>
          <w:sz w:val="24"/>
          <w:highlight w:val="none"/>
        </w:rPr>
        <w:t>项目概况：</w:t>
      </w:r>
      <w:r>
        <w:rPr>
          <w:rFonts w:ascii="宋体" w:hAnsi="宋体" w:cs="宋体"/>
          <w:color w:val="auto"/>
          <w:sz w:val="24"/>
          <w:highlight w:val="none"/>
          <w:u w:val="single"/>
        </w:rPr>
        <w:t xml:space="preserve">     （说明本次招标项目的建设地点、规模等）   </w:t>
      </w:r>
      <w:r>
        <w:rPr>
          <w:rFonts w:ascii="宋体" w:hAnsi="宋体" w:cs="宋体"/>
          <w:color w:val="auto"/>
          <w:sz w:val="24"/>
          <w:highlight w:val="none"/>
        </w:rPr>
        <w:t xml:space="preserve">。                                              </w:t>
      </w:r>
    </w:p>
    <w:p w14:paraId="134BEC2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 </w:t>
      </w:r>
      <w:r>
        <w:rPr>
          <w:rFonts w:hint="eastAsia" w:ascii="宋体" w:hAnsi="宋体" w:cs="宋体"/>
          <w:color w:val="auto"/>
          <w:sz w:val="24"/>
          <w:highlight w:val="none"/>
        </w:rPr>
        <w:t>技术标准：</w:t>
      </w:r>
      <w:r>
        <w:rPr>
          <w:rFonts w:ascii="宋体" w:hAnsi="宋体" w:cs="宋体"/>
          <w:color w:val="auto"/>
          <w:sz w:val="24"/>
          <w:highlight w:val="none"/>
          <w:u w:val="single"/>
        </w:rPr>
        <w:t xml:space="preserve">     （说明本次招标项目的设计技术标准等）     </w:t>
      </w:r>
      <w:r>
        <w:rPr>
          <w:rFonts w:ascii="宋体" w:hAnsi="宋体" w:cs="宋体"/>
          <w:color w:val="auto"/>
          <w:sz w:val="24"/>
          <w:highlight w:val="none"/>
        </w:rPr>
        <w:t xml:space="preserve">。                              </w:t>
      </w:r>
    </w:p>
    <w:p w14:paraId="517DF8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2.3 </w:t>
      </w:r>
      <w:r>
        <w:rPr>
          <w:rFonts w:hint="eastAsia" w:ascii="宋体" w:hAnsi="宋体" w:cs="宋体"/>
          <w:color w:val="auto"/>
          <w:sz w:val="24"/>
          <w:highlight w:val="none"/>
        </w:rPr>
        <w:t>招标范围及监理试验室服务期限</w:t>
      </w:r>
    </w:p>
    <w:p w14:paraId="465F517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2.3.1招标范围</w:t>
      </w:r>
      <w:r>
        <w:rPr>
          <w:rStyle w:val="58"/>
          <w:rFonts w:ascii="宋体" w:hAnsi="宋体" w:cs="宋体"/>
          <w:color w:val="auto"/>
          <w:sz w:val="24"/>
          <w:highlight w:val="none"/>
        </w:rPr>
        <w:footnoteReference w:id="3"/>
      </w:r>
    </w:p>
    <w:p w14:paraId="54F10D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起讫桩号：</w:t>
      </w:r>
      <w:r>
        <w:rPr>
          <w:rFonts w:ascii="宋体" w:hAnsi="宋体" w:cs="宋体"/>
          <w:color w:val="auto"/>
          <w:sz w:val="24"/>
          <w:highlight w:val="none"/>
          <w:u w:val="single"/>
        </w:rPr>
        <w:t xml:space="preserve">          </w:t>
      </w:r>
      <w:r>
        <w:rPr>
          <w:rFonts w:hint="eastAsia" w:ascii="宋体" w:hAnsi="宋体" w:cs="宋体"/>
          <w:color w:val="auto"/>
          <w:sz w:val="24"/>
          <w:highlight w:val="none"/>
        </w:rPr>
        <w:t>范围内</w:t>
      </w:r>
      <w:r>
        <w:rPr>
          <w:rFonts w:ascii="宋体" w:hAnsi="宋体" w:cs="宋体"/>
          <w:color w:val="auto"/>
          <w:sz w:val="24"/>
          <w:highlight w:val="none"/>
        </w:rPr>
        <w:t xml:space="preserve"> </w:t>
      </w:r>
      <w:r>
        <w:rPr>
          <w:rFonts w:hint="eastAsia" w:ascii="宋体" w:hAnsi="宋体" w:cs="宋体"/>
          <w:color w:val="auto"/>
          <w:sz w:val="24"/>
          <w:highlight w:val="none"/>
        </w:rPr>
        <w:t>□路基、□路面、□桥梁、□隧道、□交通安全设施、□机电、□绿化</w:t>
      </w:r>
      <w:r>
        <w:rPr>
          <w:rFonts w:hint="eastAsia" w:ascii="宋体" w:hAnsi="宋体" w:cs="宋体"/>
          <w:color w:val="auto"/>
          <w:sz w:val="24"/>
          <w:highlight w:val="none"/>
          <w:lang w:val="en-US" w:eastAsia="zh-CN"/>
        </w:rPr>
        <w:t>及环境保护设施</w:t>
      </w:r>
      <w:r>
        <w:rPr>
          <w:rFonts w:hint="eastAsia" w:ascii="宋体" w:hAnsi="宋体" w:cs="宋体"/>
          <w:color w:val="auto"/>
          <w:sz w:val="24"/>
          <w:highlight w:val="none"/>
        </w:rPr>
        <w:t>、□房建、□其他：</w:t>
      </w:r>
      <w:r>
        <w:rPr>
          <w:rFonts w:ascii="宋体" w:hAnsi="宋体" w:cs="宋体"/>
          <w:color w:val="auto"/>
          <w:sz w:val="24"/>
          <w:highlight w:val="none"/>
          <w:u w:val="single"/>
        </w:rPr>
        <w:t xml:space="preserve">       </w:t>
      </w:r>
      <w:r>
        <w:rPr>
          <w:rFonts w:hint="eastAsia" w:ascii="宋体" w:hAnsi="宋体" w:cs="宋体"/>
          <w:color w:val="auto"/>
          <w:sz w:val="24"/>
          <w:highlight w:val="none"/>
          <w:u w:val="none"/>
          <w:lang w:val="en-US" w:eastAsia="zh-CN"/>
        </w:rPr>
        <w:t>的监理试验室</w:t>
      </w:r>
      <w:r>
        <w:rPr>
          <w:rFonts w:hint="eastAsia" w:ascii="宋体" w:hAnsi="宋体" w:cs="宋体"/>
          <w:color w:val="auto"/>
          <w:sz w:val="24"/>
          <w:highlight w:val="none"/>
        </w:rPr>
        <w:t>。</w:t>
      </w:r>
    </w:p>
    <w:p w14:paraId="17F6A245">
      <w:pPr>
        <w:spacing w:line="360" w:lineRule="auto"/>
        <w:ind w:firstLine="480" w:firstLineChars="200"/>
        <w:jc w:val="left"/>
        <w:rPr>
          <w:rFonts w:ascii="宋体" w:hAnsi="宋体" w:cs="宋体"/>
          <w:color w:val="auto"/>
          <w:sz w:val="24"/>
          <w:highlight w:val="none"/>
          <w:u w:val="none"/>
        </w:rPr>
      </w:pPr>
      <w:r>
        <w:rPr>
          <w:rFonts w:hint="eastAsia" w:ascii="宋体" w:hAnsi="宋体" w:cs="宋体"/>
          <w:color w:val="auto"/>
          <w:sz w:val="24"/>
          <w:highlight w:val="none"/>
          <w:u w:val="none"/>
        </w:rPr>
        <w:t>……</w:t>
      </w:r>
    </w:p>
    <w:p w14:paraId="7A7A482F">
      <w:pPr>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2.3.2标段划分</w:t>
      </w:r>
    </w:p>
    <w:p w14:paraId="63F1996E">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本次招标划分为</w:t>
      </w:r>
      <w:r>
        <w:rPr>
          <w:rFonts w:ascii="宋体" w:hAnsi="宋体" w:cs="宋体"/>
          <w:color w:val="auto"/>
          <w:sz w:val="24"/>
          <w:highlight w:val="none"/>
          <w:u w:val="single"/>
        </w:rPr>
        <w:t xml:space="preserve">    </w:t>
      </w:r>
      <w:r>
        <w:rPr>
          <w:rFonts w:hint="eastAsia" w:ascii="宋体" w:hAnsi="宋体" w:cs="宋体"/>
          <w:color w:val="auto"/>
          <w:sz w:val="24"/>
          <w:highlight w:val="none"/>
        </w:rPr>
        <w:t>个标段，标段号为</w:t>
      </w:r>
      <w:r>
        <w:rPr>
          <w:rFonts w:ascii="宋体" w:hAnsi="宋体" w:cs="宋体"/>
          <w:color w:val="auto"/>
          <w:sz w:val="24"/>
          <w:highlight w:val="none"/>
          <w:u w:val="single"/>
        </w:rPr>
        <w:t xml:space="preserve">       </w:t>
      </w:r>
      <w:r>
        <w:rPr>
          <w:rFonts w:hint="eastAsia" w:ascii="宋体" w:hAnsi="宋体" w:cs="宋体"/>
          <w:color w:val="auto"/>
          <w:sz w:val="24"/>
          <w:highlight w:val="none"/>
        </w:rPr>
        <w:t>。具体标段划分、对应施工标段、起讫桩号、主要工程内容及规模等见</w:t>
      </w:r>
      <w:r>
        <w:rPr>
          <w:rFonts w:hint="eastAsia" w:ascii="宋体" w:hAnsi="宋体" w:cs="宋体"/>
          <w:color w:val="auto"/>
          <w:sz w:val="24"/>
          <w:highlight w:val="none"/>
          <w:u w:val="single"/>
        </w:rPr>
        <w:t>本公告附表一</w:t>
      </w:r>
      <w:r>
        <w:rPr>
          <w:rStyle w:val="58"/>
          <w:rFonts w:ascii="宋体" w:hAnsi="宋体" w:cs="宋体"/>
          <w:color w:val="auto"/>
          <w:sz w:val="24"/>
          <w:highlight w:val="none"/>
          <w:u w:val="single"/>
        </w:rPr>
        <w:footnoteReference w:id="4"/>
      </w:r>
      <w:r>
        <w:rPr>
          <w:rFonts w:hint="eastAsia" w:ascii="宋体" w:hAnsi="宋体" w:cs="宋体"/>
          <w:color w:val="auto"/>
          <w:sz w:val="24"/>
          <w:highlight w:val="none"/>
        </w:rPr>
        <w:t>。</w:t>
      </w:r>
    </w:p>
    <w:p w14:paraId="716AC004">
      <w:pPr>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2.3.3机构设置</w:t>
      </w:r>
    </w:p>
    <w:p w14:paraId="318B7208">
      <w:pPr>
        <w:spacing w:line="360" w:lineRule="auto"/>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标段监理试验室按一级机构设置</w:t>
      </w:r>
      <w:r>
        <w:rPr>
          <w:rStyle w:val="58"/>
          <w:rFonts w:ascii="宋体" w:hAnsi="宋体" w:cs="宋体"/>
          <w:color w:val="auto"/>
          <w:sz w:val="24"/>
          <w:highlight w:val="none"/>
        </w:rPr>
        <w:footnoteReference w:id="5"/>
      </w:r>
      <w:r>
        <w:rPr>
          <w:rFonts w:hint="eastAsia" w:ascii="宋体" w:hAnsi="宋体" w:cs="宋体"/>
          <w:color w:val="auto"/>
          <w:sz w:val="24"/>
          <w:highlight w:val="none"/>
        </w:rPr>
        <w:t>；</w:t>
      </w:r>
    </w:p>
    <w:p w14:paraId="55932EA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u w:val="none"/>
        </w:rPr>
        <w:t>……</w:t>
      </w:r>
    </w:p>
    <w:p w14:paraId="011A82D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2.3.4监理</w:t>
      </w:r>
      <w:r>
        <w:rPr>
          <w:rFonts w:hint="eastAsia" w:ascii="宋体" w:hAnsi="宋体" w:cs="宋体"/>
          <w:color w:val="auto"/>
          <w:sz w:val="24"/>
          <w:highlight w:val="none"/>
        </w:rPr>
        <w:t>试验室服务期限</w:t>
      </w:r>
    </w:p>
    <w:p w14:paraId="48A21DD4">
      <w:pPr>
        <w:spacing w:line="360" w:lineRule="auto"/>
        <w:ind w:firstLine="482" w:firstLineChars="200"/>
        <w:jc w:val="left"/>
        <w:rPr>
          <w:rFonts w:ascii="宋体" w:hAnsi="宋体" w:cs="宋体"/>
          <w:color w:val="auto"/>
          <w:sz w:val="24"/>
          <w:highlight w:val="none"/>
        </w:rPr>
      </w:pPr>
      <w:r>
        <w:rPr>
          <w:rFonts w:hint="eastAsia" w:ascii="宋体" w:hAnsi="宋体" w:cs="宋体"/>
          <w:b/>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标段：施工准备期</w:t>
      </w:r>
      <w:r>
        <w:rPr>
          <w:rFonts w:ascii="宋体" w:hAnsi="宋体" w:cs="宋体"/>
          <w:color w:val="auto"/>
          <w:sz w:val="24"/>
          <w:highlight w:val="none"/>
          <w:u w:val="single"/>
        </w:rPr>
        <w:t xml:space="preserve">   </w:t>
      </w:r>
      <w:r>
        <w:rPr>
          <w:rFonts w:hint="eastAsia" w:ascii="宋体" w:hAnsi="宋体" w:cs="宋体"/>
          <w:color w:val="auto"/>
          <w:sz w:val="24"/>
          <w:highlight w:val="none"/>
        </w:rPr>
        <w:t>个月，施工期</w:t>
      </w:r>
      <w:r>
        <w:rPr>
          <w:rFonts w:ascii="宋体" w:hAnsi="宋体" w:cs="宋体"/>
          <w:color w:val="auto"/>
          <w:sz w:val="24"/>
          <w:highlight w:val="none"/>
          <w:u w:val="single"/>
        </w:rPr>
        <w:t xml:space="preserve">   </w:t>
      </w:r>
      <w:r>
        <w:rPr>
          <w:rFonts w:hint="eastAsia" w:ascii="宋体" w:hAnsi="宋体" w:cs="宋体"/>
          <w:color w:val="auto"/>
          <w:sz w:val="24"/>
          <w:highlight w:val="none"/>
        </w:rPr>
        <w:t>个月，缺陷责任期</w:t>
      </w:r>
      <w:r>
        <w:rPr>
          <w:rFonts w:ascii="宋体" w:hAnsi="宋体" w:cs="宋体"/>
          <w:color w:val="auto"/>
          <w:sz w:val="24"/>
          <w:highlight w:val="none"/>
          <w:u w:val="single"/>
        </w:rPr>
        <w:t xml:space="preserve">   </w:t>
      </w:r>
      <w:r>
        <w:rPr>
          <w:rFonts w:hint="eastAsia" w:ascii="宋体" w:hAnsi="宋体" w:cs="宋体"/>
          <w:color w:val="auto"/>
          <w:sz w:val="24"/>
          <w:highlight w:val="none"/>
        </w:rPr>
        <w:t>个月。</w:t>
      </w:r>
      <w:r>
        <w:rPr>
          <w:rStyle w:val="58"/>
          <w:rFonts w:ascii="宋体" w:hAnsi="宋体" w:cs="宋体"/>
          <w:color w:val="auto"/>
          <w:sz w:val="24"/>
          <w:highlight w:val="none"/>
        </w:rPr>
        <w:footnoteReference w:id="6"/>
      </w:r>
    </w:p>
    <w:p w14:paraId="2C41E6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none"/>
        </w:rPr>
        <w:t>……</w:t>
      </w:r>
    </w:p>
    <w:p w14:paraId="0FD42C20">
      <w:pPr>
        <w:pStyle w:val="5"/>
        <w:numPr>
          <w:ilvl w:val="-1"/>
          <w:numId w:val="0"/>
        </w:numPr>
      </w:pPr>
      <w:bookmarkStart w:id="21" w:name="_Toc74760802"/>
      <w:bookmarkStart w:id="22" w:name="_Toc519778463"/>
      <w:bookmarkStart w:id="23" w:name="_Toc523921579"/>
      <w:r>
        <w:rPr>
          <w:rFonts w:hint="eastAsia"/>
          <w:lang w:val="en-US" w:eastAsia="zh-CN"/>
        </w:rPr>
        <w:t xml:space="preserve">3. </w:t>
      </w:r>
      <w:r>
        <w:rPr>
          <w:rFonts w:hint="eastAsia"/>
        </w:rPr>
        <w:t>投标人资格要求</w:t>
      </w:r>
      <w:bookmarkEnd w:id="21"/>
      <w:bookmarkEnd w:id="22"/>
      <w:bookmarkEnd w:id="23"/>
    </w:p>
    <w:p w14:paraId="7C8C508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3.1</w:t>
      </w:r>
      <w:r>
        <w:rPr>
          <w:rFonts w:ascii="宋体" w:hAnsi="宋体" w:cs="宋体"/>
          <w:b/>
          <w:color w:val="auto"/>
          <w:sz w:val="24"/>
          <w:highlight w:val="none"/>
        </w:rPr>
        <w:t xml:space="preserve"> </w:t>
      </w:r>
      <w:r>
        <w:rPr>
          <w:rFonts w:hint="eastAsia" w:ascii="宋体" w:hAnsi="宋体" w:cs="宋体"/>
          <w:color w:val="auto"/>
          <w:sz w:val="24"/>
          <w:highlight w:val="none"/>
        </w:rPr>
        <w:t>投标人资格条件：</w:t>
      </w:r>
      <w:r>
        <w:rPr>
          <w:rFonts w:hint="eastAsia" w:ascii="宋体" w:hAnsi="宋体" w:cs="宋体"/>
          <w:color w:val="auto"/>
          <w:sz w:val="24"/>
          <w:highlight w:val="none"/>
          <w:u w:val="single"/>
        </w:rPr>
        <w:t>见第二章“投标人须知”前附表附录资格审查条件</w:t>
      </w:r>
      <w:r>
        <w:rPr>
          <w:rFonts w:hint="eastAsia" w:ascii="宋体" w:hAnsi="宋体" w:cs="宋体"/>
          <w:color w:val="auto"/>
          <w:sz w:val="24"/>
          <w:highlight w:val="none"/>
        </w:rPr>
        <w:t>。</w:t>
      </w:r>
    </w:p>
    <w:p w14:paraId="4F22725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3.2</w:t>
      </w:r>
      <w:r>
        <w:rPr>
          <w:rFonts w:ascii="宋体" w:hAnsi="宋体" w:cs="宋体"/>
          <w:b/>
          <w:color w:val="auto"/>
          <w:sz w:val="24"/>
          <w:highlight w:val="none"/>
        </w:rPr>
        <w:t xml:space="preserve"> </w:t>
      </w:r>
      <w:r>
        <w:rPr>
          <w:rFonts w:hint="eastAsia" w:ascii="宋体" w:hAnsi="宋体" w:cs="宋体"/>
          <w:color w:val="auto"/>
          <w:sz w:val="24"/>
          <w:highlight w:val="none"/>
        </w:rPr>
        <w:t>本次招标：</w:t>
      </w:r>
      <w:r>
        <w:rPr>
          <w:rFonts w:hint="eastAsia" w:ascii="宋体" w:hAnsi="宋体" w:cs="宋体"/>
          <w:b/>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标段，不接受联合体投标。</w:t>
      </w:r>
    </w:p>
    <w:p w14:paraId="100220F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标段，接受联合体投标，联合体所有成员数量不得超过</w:t>
      </w:r>
      <w:r>
        <w:rPr>
          <w:rFonts w:ascii="宋体" w:hAnsi="宋体" w:cs="宋体"/>
          <w:color w:val="auto"/>
          <w:sz w:val="24"/>
          <w:highlight w:val="none"/>
          <w:u w:val="single"/>
        </w:rPr>
        <w:t xml:space="preserve">    </w:t>
      </w:r>
      <w:r>
        <w:rPr>
          <w:rFonts w:hint="eastAsia" w:ascii="宋体" w:hAnsi="宋体" w:cs="宋体"/>
          <w:color w:val="auto"/>
          <w:sz w:val="24"/>
          <w:highlight w:val="none"/>
        </w:rPr>
        <w:t>家，联合体应具有的资格条件要求：</w:t>
      </w:r>
      <w:r>
        <w:rPr>
          <w:rFonts w:hint="eastAsia" w:ascii="宋体" w:hAnsi="宋体" w:cs="宋体"/>
          <w:color w:val="auto"/>
          <w:sz w:val="24"/>
          <w:highlight w:val="none"/>
          <w:u w:val="single"/>
        </w:rPr>
        <w:t>见第二章“投标人须知”前附表附录资格审查条件</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Style w:val="58"/>
          <w:rFonts w:hint="eastAsia"/>
          <w:kern w:val="0"/>
        </w:rPr>
        <w:footnoteReference w:id="7"/>
      </w:r>
    </w:p>
    <w:p w14:paraId="7FC6801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3.3 </w:t>
      </w:r>
      <w:r>
        <w:rPr>
          <w:rFonts w:hint="eastAsia" w:ascii="宋体" w:hAnsi="宋体" w:cs="宋体"/>
          <w:color w:val="auto"/>
          <w:sz w:val="24"/>
          <w:highlight w:val="none"/>
        </w:rPr>
        <w:t>每个投标人最多可对</w:t>
      </w:r>
      <w:r>
        <w:rPr>
          <w:rFonts w:ascii="宋体" w:hAnsi="宋体" w:cs="宋体"/>
          <w:color w:val="auto"/>
          <w:sz w:val="24"/>
          <w:highlight w:val="none"/>
          <w:u w:val="single"/>
        </w:rPr>
        <w:t xml:space="preserve">   </w:t>
      </w:r>
      <w:r>
        <w:rPr>
          <w:rFonts w:hint="eastAsia" w:ascii="宋体" w:hAnsi="宋体" w:cs="宋体"/>
          <w:color w:val="auto"/>
          <w:sz w:val="24"/>
          <w:highlight w:val="none"/>
        </w:rPr>
        <w:t>个标段投标，允许中</w:t>
      </w:r>
      <w:r>
        <w:rPr>
          <w:rFonts w:ascii="宋体" w:hAnsi="宋体" w:cs="宋体"/>
          <w:color w:val="auto"/>
          <w:sz w:val="24"/>
          <w:highlight w:val="none"/>
          <w:u w:val="single"/>
        </w:rPr>
        <w:t xml:space="preserve">   </w:t>
      </w:r>
      <w:r>
        <w:rPr>
          <w:rFonts w:hint="eastAsia" w:ascii="宋体" w:hAnsi="宋体" w:cs="宋体"/>
          <w:color w:val="auto"/>
          <w:sz w:val="24"/>
          <w:highlight w:val="none"/>
        </w:rPr>
        <w:t>个标段。</w:t>
      </w:r>
      <w:r>
        <w:rPr>
          <w:rFonts w:hint="eastAsia" w:ascii="Times New Roman" w:hAnsi="Times New Roman"/>
          <w:color w:val="auto"/>
          <w:sz w:val="24"/>
          <w:highlight w:val="none"/>
        </w:rPr>
        <w:t>投标人投标标段数量超过允许投标人投标标段数量时，相关投标均无效</w:t>
      </w:r>
      <w:r>
        <w:rPr>
          <w:rFonts w:hint="eastAsia" w:ascii="宋体" w:hAnsi="宋体" w:cs="宋体"/>
          <w:color w:val="auto"/>
          <w:sz w:val="24"/>
          <w:highlight w:val="none"/>
        </w:rPr>
        <w:t>。</w:t>
      </w:r>
      <w:r>
        <w:rPr>
          <w:rStyle w:val="58"/>
          <w:rFonts w:hint="eastAsia"/>
          <w:sz w:val="24"/>
        </w:rPr>
        <w:footnoteReference w:id="8"/>
      </w:r>
    </w:p>
    <w:p w14:paraId="495C64B2">
      <w:pPr>
        <w:spacing w:line="360" w:lineRule="auto"/>
        <w:ind w:firstLine="482" w:firstLineChars="200"/>
        <w:jc w:val="left"/>
        <w:rPr>
          <w:rFonts w:ascii="宋体" w:hAnsi="宋体" w:cs="宋体"/>
          <w:color w:val="auto"/>
          <w:sz w:val="24"/>
          <w:highlight w:val="none"/>
        </w:rPr>
      </w:pPr>
      <w:r>
        <w:rPr>
          <w:rFonts w:hint="eastAsia" w:ascii="宋体" w:hAnsi="宋体"/>
          <w:b/>
          <w:color w:val="auto"/>
          <w:sz w:val="24"/>
          <w:highlight w:val="none"/>
        </w:rPr>
        <w:t>□</w:t>
      </w:r>
      <w:r>
        <w:rPr>
          <w:rFonts w:ascii="宋体" w:hAnsi="宋体"/>
          <w:color w:val="auto"/>
          <w:sz w:val="24"/>
          <w:highlight w:val="none"/>
        </w:rPr>
        <w:t xml:space="preserve"> </w:t>
      </w:r>
      <w:r>
        <w:rPr>
          <w:rFonts w:hint="eastAsia" w:ascii="宋体" w:hAnsi="宋体" w:cs="宋体"/>
          <w:color w:val="auto"/>
          <w:sz w:val="24"/>
          <w:highlight w:val="none"/>
        </w:rPr>
        <w:t>允许中</w:t>
      </w:r>
      <w:r>
        <w:rPr>
          <w:rFonts w:ascii="宋体" w:hAnsi="宋体" w:cs="宋体"/>
          <w:color w:val="auto"/>
          <w:sz w:val="24"/>
          <w:highlight w:val="none"/>
        </w:rPr>
        <w:t>2个及以上标段</w:t>
      </w:r>
      <w:r>
        <w:rPr>
          <w:rFonts w:hint="eastAsia" w:ascii="宋体" w:hAnsi="宋体" w:cs="宋体"/>
          <w:color w:val="auto"/>
          <w:sz w:val="24"/>
          <w:highlight w:val="none"/>
          <w:lang w:val="en-US" w:eastAsia="zh-CN"/>
        </w:rPr>
        <w:t>的</w:t>
      </w:r>
      <w:r>
        <w:rPr>
          <w:rFonts w:ascii="宋体" w:hAnsi="宋体" w:cs="宋体"/>
          <w:color w:val="auto"/>
          <w:sz w:val="24"/>
          <w:highlight w:val="none"/>
        </w:rPr>
        <w:t>，</w:t>
      </w:r>
      <w:r>
        <w:rPr>
          <w:rFonts w:hint="eastAsia" w:ascii="宋体" w:hAnsi="宋体" w:cs="宋体"/>
          <w:color w:val="auto"/>
          <w:sz w:val="24"/>
          <w:highlight w:val="none"/>
        </w:rPr>
        <w:t>每个标段拟投入</w:t>
      </w:r>
      <w:r>
        <w:rPr>
          <w:rFonts w:ascii="宋体" w:hAnsi="宋体" w:cs="宋体"/>
          <w:color w:val="auto"/>
          <w:sz w:val="24"/>
          <w:highlight w:val="none"/>
        </w:rPr>
        <w:t>主要人员</w:t>
      </w:r>
      <w:r>
        <w:rPr>
          <w:rFonts w:hint="eastAsia" w:ascii="宋体" w:hAnsi="宋体" w:cs="宋体"/>
          <w:color w:val="auto"/>
          <w:sz w:val="24"/>
          <w:highlight w:val="none"/>
        </w:rPr>
        <w:t>不得相同</w:t>
      </w:r>
      <w:r>
        <w:rPr>
          <w:rFonts w:hint="eastAsia" w:ascii="宋体" w:hAnsi="宋体"/>
          <w:color w:val="auto"/>
          <w:sz w:val="24"/>
          <w:highlight w:val="none"/>
        </w:rPr>
        <w:t>。</w:t>
      </w:r>
      <w:r>
        <w:rPr>
          <w:rStyle w:val="58"/>
          <w:rFonts w:ascii="宋体" w:hAnsi="宋体" w:cs="宋体"/>
          <w:sz w:val="24"/>
        </w:rPr>
        <w:footnoteReference w:id="9"/>
      </w:r>
      <w:r>
        <w:rPr>
          <w:rFonts w:ascii="宋体" w:hAnsi="宋体" w:cs="宋体"/>
          <w:color w:val="auto"/>
          <w:sz w:val="24"/>
          <w:highlight w:val="none"/>
        </w:rPr>
        <w:t xml:space="preserve">                           </w:t>
      </w:r>
    </w:p>
    <w:p w14:paraId="309223A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3.4</w:t>
      </w:r>
      <w:r>
        <w:rPr>
          <w:rFonts w:ascii="宋体" w:hAnsi="宋体" w:cs="宋体"/>
          <w:b/>
          <w:color w:val="auto"/>
          <w:sz w:val="24"/>
          <w:highlight w:val="none"/>
        </w:rPr>
        <w:t xml:space="preserve"> </w:t>
      </w:r>
      <w:r>
        <w:rPr>
          <w:rFonts w:hint="eastAsia" w:ascii="宋体" w:hAnsi="宋体" w:cs="宋体"/>
          <w:color w:val="auto"/>
          <w:sz w:val="24"/>
          <w:highlight w:val="none"/>
        </w:rPr>
        <w:t>与招标人存在利害关系可能影响招标公正性的单位，不得参加投标。法定代表人为同一人或者存在控股、管理关系的不同单位，不得参加同一标段投标。否则，相关投标均无效。</w:t>
      </w:r>
    </w:p>
    <w:p w14:paraId="65C6D957">
      <w:pPr>
        <w:pStyle w:val="5"/>
      </w:pPr>
      <w:bookmarkStart w:id="24" w:name="_Toc74760803"/>
      <w:bookmarkStart w:id="25" w:name="_Toc523921580"/>
      <w:bookmarkStart w:id="26" w:name="_Toc519778464"/>
      <w:r>
        <w:rPr>
          <w:rFonts w:hint="eastAsia"/>
        </w:rPr>
        <w:t>4</w:t>
      </w:r>
      <w:r>
        <w:rPr>
          <w:rFonts w:hint="eastAsia"/>
          <w:lang w:val="en-US" w:eastAsia="zh-CN"/>
        </w:rPr>
        <w:t xml:space="preserve">. </w:t>
      </w:r>
      <w:r>
        <w:rPr>
          <w:rFonts w:hint="eastAsia"/>
        </w:rPr>
        <w:t>招标文件的获取</w:t>
      </w:r>
      <w:bookmarkEnd w:id="24"/>
      <w:bookmarkEnd w:id="25"/>
      <w:bookmarkEnd w:id="26"/>
      <w:r>
        <w:t xml:space="preserve"> </w:t>
      </w:r>
    </w:p>
    <w:p w14:paraId="1C871BF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凡有意参加投标者，</w:t>
      </w:r>
      <w:r>
        <w:rPr>
          <w:rFonts w:hint="eastAsia" w:ascii="宋体" w:hAnsi="宋体" w:cs="宋体"/>
          <w:color w:val="auto"/>
          <w:sz w:val="24"/>
          <w:highlight w:val="none"/>
          <w:lang w:val="en-US" w:eastAsia="zh-CN"/>
        </w:rPr>
        <w:t>须为</w:t>
      </w:r>
      <w:r>
        <w:rPr>
          <w:rFonts w:hint="eastAsia" w:ascii="宋体" w:hAnsi="宋体" w:cs="宋体"/>
          <w:color w:val="auto"/>
          <w:sz w:val="24"/>
          <w:highlight w:val="none"/>
        </w:rPr>
        <w:t>全国公共资源交易平台（四川省）（网址</w:t>
      </w:r>
      <w:r>
        <w:rPr>
          <w:rFonts w:ascii="宋体" w:hAnsi="宋体" w:cs="宋体"/>
          <w:color w:val="auto"/>
          <w:sz w:val="24"/>
          <w:highlight w:val="none"/>
        </w:rPr>
        <w:t xml:space="preserve"> </w:t>
      </w:r>
      <w:r>
        <w:rPr>
          <w:rFonts w:hint="eastAsia" w:ascii="宋体" w:hAnsi="宋体" w:cs="宋体"/>
          <w:color w:val="auto"/>
          <w:sz w:val="24"/>
          <w:highlight w:val="none"/>
          <w:lang w:eastAsia="zh-CN"/>
        </w:rPr>
        <w:t>https</w:t>
      </w:r>
      <w:r>
        <w:rPr>
          <w:rFonts w:ascii="宋体" w:hAnsi="宋体" w:cs="宋体"/>
          <w:color w:val="auto"/>
          <w:sz w:val="24"/>
          <w:highlight w:val="none"/>
        </w:rPr>
        <w:t>://ggzyjy.sc.gov.cn/）的注册网员</w:t>
      </w:r>
      <w:r>
        <w:rPr>
          <w:rStyle w:val="58"/>
          <w:rFonts w:ascii="宋体" w:hAnsi="宋体" w:cs="宋体"/>
          <w:color w:val="auto"/>
          <w:sz w:val="24"/>
          <w:highlight w:val="none"/>
        </w:rPr>
        <w:footnoteReference w:id="10"/>
      </w:r>
      <w:r>
        <w:rPr>
          <w:rFonts w:hint="eastAsia" w:ascii="宋体" w:hAnsi="宋体" w:cs="宋体"/>
          <w:color w:val="auto"/>
          <w:sz w:val="24"/>
          <w:highlight w:val="none"/>
        </w:rPr>
        <w:t>；于</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时</w:t>
      </w:r>
      <w:r>
        <w:rPr>
          <w:rFonts w:ascii="宋体" w:hAnsi="宋体" w:cs="宋体"/>
          <w:color w:val="auto"/>
          <w:sz w:val="24"/>
          <w:highlight w:val="none"/>
          <w:u w:val="single"/>
        </w:rPr>
        <w:t xml:space="preserve">   </w:t>
      </w:r>
      <w:r>
        <w:rPr>
          <w:rFonts w:hint="eastAsia" w:ascii="宋体" w:hAnsi="宋体" w:cs="宋体"/>
          <w:color w:val="auto"/>
          <w:sz w:val="24"/>
          <w:highlight w:val="none"/>
        </w:rPr>
        <w:t>分至</w:t>
      </w:r>
    </w:p>
    <w:p w14:paraId="1385F5E6">
      <w:pPr>
        <w:spacing w:line="360" w:lineRule="auto"/>
        <w:rPr>
          <w:rFonts w:ascii="宋体" w:hAnsi="宋体" w:cs="宋体"/>
          <w:color w:val="auto"/>
          <w:sz w:val="24"/>
          <w:highlight w:val="none"/>
          <w:u w:val="single"/>
        </w:rPr>
      </w:pP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color w:val="auto"/>
          <w:sz w:val="24"/>
          <w:highlight w:val="none"/>
          <w:u w:val="single"/>
        </w:rPr>
        <w:t xml:space="preserve">   </w:t>
      </w:r>
      <w:r>
        <w:rPr>
          <w:rFonts w:hint="eastAsia" w:ascii="宋体" w:hAnsi="宋体" w:cs="宋体"/>
          <w:color w:val="auto"/>
          <w:sz w:val="24"/>
          <w:highlight w:val="none"/>
        </w:rPr>
        <w:t>时</w:t>
      </w:r>
      <w:r>
        <w:rPr>
          <w:rFonts w:ascii="宋体" w:hAnsi="宋体" w:cs="宋体"/>
          <w:color w:val="auto"/>
          <w:sz w:val="24"/>
          <w:highlight w:val="none"/>
          <w:u w:val="single"/>
        </w:rPr>
        <w:t xml:space="preserve">   </w:t>
      </w:r>
      <w:r>
        <w:rPr>
          <w:rFonts w:hint="eastAsia" w:ascii="宋体" w:hAnsi="宋体" w:cs="宋体"/>
          <w:color w:val="auto"/>
          <w:sz w:val="24"/>
          <w:highlight w:val="none"/>
        </w:rPr>
        <w:t>分（北京时间，下同）在“四川省公路水运工程电子招投标系统</w:t>
      </w:r>
      <w:r>
        <w:rPr>
          <w:rFonts w:hint="eastAsia" w:ascii="宋体" w:hAnsi="宋体"/>
          <w:color w:val="auto"/>
          <w:sz w:val="24"/>
          <w:highlight w:val="none"/>
        </w:rPr>
        <w:t>”</w:t>
      </w:r>
      <w:r>
        <w:rPr>
          <w:rStyle w:val="58"/>
          <w:rFonts w:hint="eastAsia" w:ascii="宋体" w:hAnsi="宋体"/>
          <w:color w:val="auto"/>
          <w:sz w:val="24"/>
          <w:highlight w:val="none"/>
        </w:rPr>
        <w:footnoteReference w:id="11"/>
      </w:r>
      <w:r>
        <w:rPr>
          <w:rFonts w:hint="eastAsia" w:ascii="宋体" w:hAnsi="宋体" w:cs="宋体"/>
          <w:color w:val="auto"/>
          <w:sz w:val="24"/>
          <w:highlight w:val="none"/>
        </w:rPr>
        <w:t>（以下简称“电子交易系统”）免费匿名下载招标文件、□图纸、□参考资料</w:t>
      </w:r>
      <w:bookmarkStart w:id="27" w:name="_Hlk98611840"/>
      <w:r>
        <w:rPr>
          <w:rStyle w:val="58"/>
          <w:rFonts w:hint="eastAsia" w:ascii="宋体" w:hAnsi="宋体" w:cs="宋体"/>
          <w:color w:val="auto"/>
          <w:sz w:val="24"/>
          <w:highlight w:val="none"/>
        </w:rPr>
        <w:footnoteReference w:id="12"/>
      </w:r>
      <w:bookmarkEnd w:id="27"/>
      <w:r>
        <w:rPr>
          <w:rFonts w:hint="eastAsia" w:ascii="宋体" w:hAnsi="宋体" w:cs="宋体"/>
          <w:color w:val="auto"/>
          <w:sz w:val="24"/>
          <w:highlight w:val="none"/>
        </w:rPr>
        <w:t>。</w:t>
      </w:r>
    </w:p>
    <w:p w14:paraId="0A210CD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图纸、参考资料获取</w:t>
      </w:r>
      <w:r>
        <w:rPr>
          <w:rStyle w:val="58"/>
          <w:rFonts w:ascii="宋体" w:hAnsi="宋体" w:cs="宋体"/>
          <w:color w:val="auto"/>
          <w:sz w:val="24"/>
          <w:highlight w:val="none"/>
        </w:rPr>
        <w:footnoteReference w:id="13"/>
      </w:r>
      <w:r>
        <w:rPr>
          <w:rFonts w:hint="eastAsia" w:ascii="宋体" w:hAnsi="宋体" w:cs="宋体"/>
          <w:color w:val="auto"/>
          <w:sz w:val="24"/>
          <w:highlight w:val="none"/>
        </w:rPr>
        <w:t>：</w:t>
      </w:r>
      <w:r>
        <w:rPr>
          <w:rFonts w:ascii="宋体" w:hAnsi="宋体" w:cs="宋体"/>
          <w:color w:val="auto"/>
          <w:sz w:val="24"/>
          <w:highlight w:val="none"/>
          <w:u w:val="single"/>
        </w:rPr>
        <w:t xml:space="preserve">     （招标人指定获取方式）       </w:t>
      </w:r>
      <w:r>
        <w:rPr>
          <w:rFonts w:hint="eastAsia" w:ascii="宋体" w:hAnsi="宋体" w:cs="宋体"/>
          <w:color w:val="auto"/>
          <w:sz w:val="24"/>
          <w:highlight w:val="none"/>
        </w:rPr>
        <w:t>。</w:t>
      </w:r>
    </w:p>
    <w:p w14:paraId="72CBE60E">
      <w:pPr>
        <w:spacing w:line="360" w:lineRule="auto"/>
        <w:ind w:firstLine="480" w:firstLineChars="200"/>
        <w:jc w:val="left"/>
        <w:rPr>
          <w:rFonts w:hint="eastAsia" w:ascii="宋体" w:hAnsi="宋体" w:cs="宋体"/>
          <w:color w:val="auto"/>
          <w:sz w:val="24"/>
          <w:highlight w:val="none"/>
        </w:rPr>
      </w:pPr>
      <w:r>
        <w:rPr>
          <w:rFonts w:hint="eastAsia" w:ascii="宋体" w:hAnsi="宋体"/>
          <w:color w:val="auto"/>
          <w:sz w:val="24"/>
          <w:highlight w:val="none"/>
        </w:rPr>
        <w:t>投标人未按上述要求下载招标人提供的图纸（如有）、参考资料（如有）的，自行承担由此造成的影响。</w:t>
      </w:r>
    </w:p>
    <w:p w14:paraId="689EA7F3">
      <w:pPr>
        <w:pStyle w:val="5"/>
      </w:pPr>
      <w:bookmarkStart w:id="28" w:name="_Toc74760804"/>
      <w:bookmarkStart w:id="29" w:name="_Toc523921581"/>
      <w:r>
        <w:rPr>
          <w:rFonts w:hint="eastAsia"/>
        </w:rPr>
        <w:t>5</w:t>
      </w:r>
      <w:r>
        <w:rPr>
          <w:rFonts w:hint="eastAsia"/>
          <w:lang w:val="en-US" w:eastAsia="zh-CN"/>
        </w:rPr>
        <w:t xml:space="preserve">. </w:t>
      </w:r>
      <w:r>
        <w:rPr>
          <w:rFonts w:hint="eastAsia"/>
        </w:rPr>
        <w:t>投标文件的递交及相关事宜</w:t>
      </w:r>
      <w:bookmarkEnd w:id="28"/>
      <w:bookmarkEnd w:id="29"/>
      <w:bookmarkStart w:id="30" w:name="_Toc519768268"/>
      <w:bookmarkEnd w:id="30"/>
      <w:bookmarkStart w:id="31" w:name="_Toc519768267"/>
      <w:bookmarkEnd w:id="31"/>
    </w:p>
    <w:p w14:paraId="18D9FB0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5.1</w:t>
      </w:r>
      <w:r>
        <w:rPr>
          <w:rFonts w:ascii="宋体" w:hAnsi="宋体" w:cs="宋体"/>
          <w:b/>
          <w:color w:val="auto"/>
          <w:sz w:val="24"/>
          <w:highlight w:val="none"/>
        </w:rPr>
        <w:t xml:space="preserve"> </w:t>
      </w:r>
      <w:r>
        <w:rPr>
          <w:rFonts w:hint="eastAsia" w:ascii="宋体" w:hAnsi="宋体" w:cs="宋体"/>
          <w:color w:val="auto"/>
          <w:sz w:val="24"/>
          <w:highlight w:val="none"/>
        </w:rPr>
        <w:t>招标人将</w:t>
      </w:r>
      <w:r>
        <w:rPr>
          <w:rFonts w:ascii="宋体" w:hAnsi="宋体" w:cs="宋体"/>
          <w:color w:val="auto"/>
          <w:sz w:val="24"/>
          <w:highlight w:val="none"/>
        </w:rPr>
        <w:t xml:space="preserve"> </w:t>
      </w:r>
      <w:r>
        <w:rPr>
          <w:rFonts w:hint="eastAsia" w:ascii="宋体" w:hAnsi="宋体" w:cs="宋体"/>
          <w:b/>
          <w:color w:val="auto"/>
          <w:sz w:val="24"/>
          <w:highlight w:val="none"/>
        </w:rPr>
        <w:t>□</w:t>
      </w:r>
      <w:r>
        <w:rPr>
          <w:rFonts w:ascii="宋体" w:hAnsi="宋体" w:cs="宋体"/>
          <w:color w:val="auto"/>
          <w:sz w:val="24"/>
          <w:highlight w:val="none"/>
        </w:rPr>
        <w:t xml:space="preserve"> 不组织进行工程现场踏勘和召开投标预备会。</w:t>
      </w:r>
    </w:p>
    <w:p w14:paraId="26C023A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b/>
          <w:color w:val="auto"/>
          <w:sz w:val="24"/>
          <w:highlight w:val="none"/>
        </w:rPr>
        <w:t>□</w:t>
      </w:r>
      <w:r>
        <w:rPr>
          <w:rFonts w:ascii="宋体" w:hAnsi="宋体" w:cs="宋体"/>
          <w:color w:val="auto"/>
          <w:sz w:val="24"/>
          <w:highlight w:val="none"/>
        </w:rPr>
        <w:t xml:space="preserve"> 组织进行工程现场踏勘并召开投标预备会。</w:t>
      </w:r>
    </w:p>
    <w:p w14:paraId="7FB4EE6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踏勘现场集中时间：</w:t>
      </w: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color w:val="auto"/>
          <w:sz w:val="24"/>
          <w:highlight w:val="none"/>
          <w:u w:val="single"/>
        </w:rPr>
        <w:t xml:space="preserve">   </w:t>
      </w:r>
      <w:r>
        <w:rPr>
          <w:rFonts w:hint="eastAsia" w:ascii="宋体" w:hAnsi="宋体" w:cs="宋体"/>
          <w:color w:val="auto"/>
          <w:sz w:val="24"/>
          <w:highlight w:val="none"/>
        </w:rPr>
        <w:t>时，集中地点：</w:t>
      </w:r>
      <w:r>
        <w:rPr>
          <w:rFonts w:ascii="宋体" w:hAnsi="宋体" w:cs="宋体"/>
          <w:color w:val="auto"/>
          <w:sz w:val="24"/>
          <w:highlight w:val="none"/>
          <w:u w:val="single"/>
        </w:rPr>
        <w:t xml:space="preserve">            </w:t>
      </w:r>
      <w:r>
        <w:rPr>
          <w:rFonts w:ascii="宋体" w:hAnsi="宋体" w:cs="宋体"/>
          <w:color w:val="auto"/>
          <w:sz w:val="24"/>
          <w:highlight w:val="none"/>
        </w:rPr>
        <w:t>。</w:t>
      </w:r>
    </w:p>
    <w:p w14:paraId="1D4ABB5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投标预备会召开时间：</w:t>
      </w: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color w:val="auto"/>
          <w:sz w:val="24"/>
          <w:highlight w:val="none"/>
          <w:u w:val="single"/>
        </w:rPr>
        <w:t xml:space="preserve">   </w:t>
      </w:r>
      <w:r>
        <w:rPr>
          <w:rFonts w:hint="eastAsia" w:ascii="宋体" w:hAnsi="宋体" w:cs="宋体"/>
          <w:color w:val="auto"/>
          <w:sz w:val="24"/>
          <w:highlight w:val="none"/>
        </w:rPr>
        <w:t>时，召开地点：</w:t>
      </w:r>
      <w:r>
        <w:rPr>
          <w:rFonts w:ascii="宋体" w:hAnsi="宋体" w:cs="宋体"/>
          <w:color w:val="auto"/>
          <w:sz w:val="24"/>
          <w:highlight w:val="none"/>
          <w:u w:val="single"/>
        </w:rPr>
        <w:t xml:space="preserve">            </w:t>
      </w:r>
      <w:r>
        <w:rPr>
          <w:rFonts w:ascii="宋体" w:hAnsi="宋体" w:cs="宋体"/>
          <w:color w:val="auto"/>
          <w:sz w:val="24"/>
          <w:highlight w:val="none"/>
        </w:rPr>
        <w:t>。</w:t>
      </w:r>
    </w:p>
    <w:p w14:paraId="7B01E56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5.2 </w:t>
      </w:r>
      <w:r>
        <w:rPr>
          <w:rFonts w:hint="eastAsia" w:ascii="宋体" w:hAnsi="宋体" w:cs="宋体"/>
          <w:color w:val="auto"/>
          <w:sz w:val="24"/>
          <w:highlight w:val="none"/>
        </w:rPr>
        <w:t>投标文件的递交</w:t>
      </w:r>
      <w:r>
        <w:rPr>
          <w:rStyle w:val="58"/>
          <w:rFonts w:ascii="宋体" w:hAnsi="宋体" w:cs="宋体"/>
          <w:color w:val="auto"/>
          <w:sz w:val="24"/>
          <w:highlight w:val="none"/>
        </w:rPr>
        <w:footnoteReference w:id="14"/>
      </w:r>
    </w:p>
    <w:p w14:paraId="5048B6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1）投标文件递交的截止时间为</w:t>
      </w: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color w:val="auto"/>
          <w:sz w:val="24"/>
          <w:highlight w:val="none"/>
          <w:u w:val="single"/>
        </w:rPr>
        <w:t xml:space="preserve">   </w:t>
      </w:r>
      <w:r>
        <w:rPr>
          <w:rFonts w:hint="eastAsia" w:ascii="宋体" w:hAnsi="宋体" w:cs="宋体"/>
          <w:color w:val="auto"/>
          <w:sz w:val="24"/>
          <w:highlight w:val="none"/>
        </w:rPr>
        <w:t>时</w:t>
      </w:r>
      <w:r>
        <w:rPr>
          <w:rFonts w:ascii="宋体" w:hAnsi="宋体" w:cs="宋体"/>
          <w:color w:val="auto"/>
          <w:sz w:val="24"/>
          <w:highlight w:val="none"/>
          <w:u w:val="single"/>
        </w:rPr>
        <w:t xml:space="preserve">   </w:t>
      </w:r>
      <w:r>
        <w:rPr>
          <w:rFonts w:hint="eastAsia" w:ascii="宋体" w:hAnsi="宋体" w:cs="宋体"/>
          <w:color w:val="auto"/>
          <w:sz w:val="24"/>
          <w:highlight w:val="none"/>
        </w:rPr>
        <w:t>分（投标截止时间，下同）。</w:t>
      </w:r>
    </w:p>
    <w:p w14:paraId="66A09D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2）投标人应在投标截止时间前，通过互联网使用单位CA数字证书</w:t>
      </w:r>
      <w:r>
        <w:rPr>
          <w:rFonts w:ascii="宋体" w:hAnsi="宋体" w:cs="宋体"/>
          <w:color w:val="auto"/>
          <w:sz w:val="24"/>
          <w:highlight w:val="none"/>
          <w:vertAlign w:val="superscript"/>
        </w:rPr>
        <w:footnoteReference w:id="15"/>
      </w:r>
      <w:r>
        <w:rPr>
          <w:rFonts w:hint="eastAsia" w:ascii="宋体" w:hAnsi="宋体" w:cs="宋体"/>
          <w:color w:val="auto"/>
          <w:sz w:val="24"/>
          <w:highlight w:val="none"/>
        </w:rPr>
        <w:t>登录“</w:t>
      </w:r>
      <w:r>
        <w:rPr>
          <w:rFonts w:hint="eastAsia" w:ascii="宋体" w:hAnsi="宋体" w:cs="宋体"/>
          <w:color w:val="auto"/>
          <w:sz w:val="24"/>
          <w:highlight w:val="none"/>
          <w:lang w:eastAsia="zh-CN"/>
        </w:rPr>
        <w:t>电子交易系统</w:t>
      </w:r>
      <w:r>
        <w:rPr>
          <w:rFonts w:hint="eastAsia" w:ascii="宋体" w:hAnsi="宋体" w:cs="宋体"/>
          <w:color w:val="auto"/>
          <w:sz w:val="24"/>
          <w:highlight w:val="none"/>
        </w:rPr>
        <w:t>”，将加密的第一个信封（商务及技术文件）电子投标文件和加密的第二个信封（报价文件）电子投标文件上传</w:t>
      </w:r>
      <w:bookmarkStart w:id="32" w:name="_Hlk98611863"/>
      <w:r>
        <w:rPr>
          <w:rStyle w:val="58"/>
          <w:rFonts w:ascii="宋体" w:hAnsi="宋体" w:cs="宋体"/>
          <w:color w:val="auto"/>
          <w:sz w:val="24"/>
          <w:highlight w:val="none"/>
        </w:rPr>
        <w:footnoteReference w:id="16"/>
      </w:r>
      <w:bookmarkEnd w:id="32"/>
      <w:r>
        <w:rPr>
          <w:rFonts w:hint="eastAsia" w:ascii="宋体" w:hAnsi="宋体" w:cs="宋体"/>
          <w:color w:val="auto"/>
          <w:sz w:val="24"/>
          <w:highlight w:val="none"/>
        </w:rPr>
        <w:t>，上传成功后系统自动生成电子签收凭证，电子签收凭证时间即为递交时间。</w:t>
      </w:r>
    </w:p>
    <w:p w14:paraId="4B9DC3AD">
      <w:pPr>
        <w:spacing w:line="360" w:lineRule="auto"/>
        <w:ind w:firstLine="482" w:firstLineChars="200"/>
        <w:jc w:val="left"/>
        <w:rPr>
          <w:rFonts w:hint="eastAsia" w:ascii="宋体" w:hAnsi="宋体" w:cs="宋体"/>
          <w:color w:val="auto"/>
          <w:sz w:val="24"/>
          <w:highlight w:val="none"/>
        </w:rPr>
      </w:pPr>
      <w:r>
        <w:rPr>
          <w:rFonts w:hint="eastAsia" w:ascii="宋体" w:hAnsi="宋体" w:cs="宋体"/>
          <w:b/>
          <w:color w:val="auto"/>
          <w:sz w:val="24"/>
          <w:highlight w:val="none"/>
        </w:rPr>
        <w:t>□</w:t>
      </w:r>
      <w:r>
        <w:rPr>
          <w:rFonts w:ascii="宋体" w:hAnsi="宋体" w:cs="宋体"/>
          <w:color w:val="auto"/>
          <w:sz w:val="24"/>
          <w:highlight w:val="none"/>
        </w:rPr>
        <w:t xml:space="preserve"> （3）</w:t>
      </w:r>
      <w:r>
        <w:rPr>
          <w:rFonts w:hint="eastAsia" w:ascii="宋体" w:hAnsi="宋体" w:cs="宋体"/>
          <w:color w:val="auto"/>
          <w:sz w:val="24"/>
          <w:highlight w:val="none"/>
        </w:rPr>
        <w:t>若</w:t>
      </w:r>
      <w:r>
        <w:rPr>
          <w:rFonts w:ascii="宋体" w:hAnsi="宋体" w:cs="宋体"/>
          <w:color w:val="auto"/>
          <w:sz w:val="24"/>
          <w:highlight w:val="none"/>
        </w:rPr>
        <w:t>投标人</w:t>
      </w:r>
      <w:r>
        <w:rPr>
          <w:rFonts w:hint="eastAsia" w:ascii="宋体" w:hAnsi="宋体" w:cs="宋体"/>
          <w:color w:val="auto"/>
          <w:sz w:val="24"/>
          <w:highlight w:val="none"/>
        </w:rPr>
        <w:t>以银行保函形式</w:t>
      </w:r>
      <w:r>
        <w:rPr>
          <w:rFonts w:hint="eastAsia" w:ascii="宋体" w:hAnsi="宋体" w:cs="宋体"/>
          <w:color w:val="auto"/>
          <w:sz w:val="24"/>
          <w:highlight w:val="none"/>
          <w:lang w:eastAsia="zh-CN"/>
        </w:rPr>
        <w:t>缴纳</w:t>
      </w:r>
      <w:r>
        <w:rPr>
          <w:rFonts w:hint="eastAsia" w:ascii="宋体" w:hAnsi="宋体" w:cs="宋体"/>
          <w:color w:val="auto"/>
          <w:sz w:val="24"/>
          <w:highlight w:val="none"/>
        </w:rPr>
        <w:t>投标保证金的，</w:t>
      </w:r>
      <w:r>
        <w:rPr>
          <w:rFonts w:ascii="宋体" w:hAnsi="宋体" w:cs="宋体"/>
          <w:color w:val="auto"/>
          <w:sz w:val="24"/>
          <w:highlight w:val="none"/>
        </w:rPr>
        <w:t>投标人应于</w:t>
      </w: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p>
    <w:p w14:paraId="04BCA6F3">
      <w:pPr>
        <w:spacing w:line="360" w:lineRule="auto"/>
        <w:ind w:firstLine="0" w:firstLineChars="0"/>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ascii="宋体" w:hAnsi="宋体" w:cs="宋体"/>
          <w:color w:val="auto"/>
          <w:sz w:val="24"/>
          <w:highlight w:val="none"/>
          <w:u w:val="single"/>
        </w:rPr>
        <w:t xml:space="preserve">   </w:t>
      </w:r>
      <w:r>
        <w:rPr>
          <w:rFonts w:hint="eastAsia" w:ascii="宋体" w:hAnsi="宋体" w:cs="宋体"/>
          <w:color w:val="auto"/>
          <w:sz w:val="24"/>
          <w:highlight w:val="none"/>
        </w:rPr>
        <w:t>时</w:t>
      </w:r>
      <w:r>
        <w:rPr>
          <w:rFonts w:ascii="宋体" w:hAnsi="宋体" w:cs="宋体"/>
          <w:color w:val="auto"/>
          <w:sz w:val="24"/>
          <w:highlight w:val="none"/>
          <w:u w:val="single"/>
        </w:rPr>
        <w:t xml:space="preserve">   </w:t>
      </w:r>
      <w:r>
        <w:rPr>
          <w:rFonts w:hint="eastAsia" w:ascii="宋体" w:hAnsi="宋体" w:cs="宋体"/>
          <w:color w:val="auto"/>
          <w:sz w:val="24"/>
          <w:highlight w:val="none"/>
        </w:rPr>
        <w:t>分～</w:t>
      </w:r>
      <w:r>
        <w:rPr>
          <w:rFonts w:ascii="宋体" w:hAnsi="宋体" w:cs="宋体"/>
          <w:color w:val="auto"/>
          <w:sz w:val="24"/>
          <w:highlight w:val="none"/>
          <w:u w:val="single"/>
        </w:rPr>
        <w:t xml:space="preserve">    </w:t>
      </w:r>
      <w:r>
        <w:rPr>
          <w:rFonts w:hint="eastAsia" w:ascii="宋体" w:hAnsi="宋体" w:cs="宋体"/>
          <w:color w:val="auto"/>
          <w:sz w:val="24"/>
          <w:highlight w:val="none"/>
        </w:rPr>
        <w:t>时</w:t>
      </w:r>
      <w:r>
        <w:rPr>
          <w:rFonts w:ascii="宋体" w:hAnsi="宋体" w:cs="宋体"/>
          <w:color w:val="auto"/>
          <w:sz w:val="24"/>
          <w:highlight w:val="none"/>
          <w:u w:val="single"/>
        </w:rPr>
        <w:t xml:space="preserve">    </w:t>
      </w:r>
      <w:r>
        <w:rPr>
          <w:rFonts w:hint="eastAsia" w:ascii="宋体" w:hAnsi="宋体" w:cs="宋体"/>
          <w:color w:val="auto"/>
          <w:sz w:val="24"/>
          <w:highlight w:val="none"/>
        </w:rPr>
        <w:t>分将投标保证金</w:t>
      </w:r>
      <w:r>
        <w:rPr>
          <w:rFonts w:ascii="宋体" w:hAnsi="宋体" w:cs="宋体"/>
          <w:color w:val="auto"/>
          <w:sz w:val="24"/>
          <w:highlight w:val="none"/>
        </w:rPr>
        <w:t>银行保函</w:t>
      </w:r>
      <w:r>
        <w:rPr>
          <w:rFonts w:hint="eastAsia" w:ascii="宋体" w:hAnsi="宋体" w:cs="宋体"/>
          <w:color w:val="auto"/>
          <w:sz w:val="24"/>
          <w:highlight w:val="none"/>
        </w:rPr>
        <w:t>原件现场递交至</w:t>
      </w:r>
      <w:r>
        <w:rPr>
          <w:rFonts w:ascii="宋体" w:hAnsi="宋体" w:cs="宋体"/>
          <w:color w:val="auto"/>
          <w:sz w:val="24"/>
          <w:highlight w:val="none"/>
          <w:u w:val="single"/>
        </w:rPr>
        <w:t>（详细地址）</w:t>
      </w:r>
      <w:r>
        <w:rPr>
          <w:rFonts w:hint="eastAsia" w:ascii="宋体" w:hAnsi="宋体" w:cs="宋体"/>
          <w:color w:val="auto"/>
          <w:sz w:val="24"/>
          <w:highlight w:val="none"/>
        </w:rPr>
        <w:t>。</w:t>
      </w:r>
    </w:p>
    <w:p w14:paraId="64D3D33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5.3 </w:t>
      </w:r>
      <w:r>
        <w:rPr>
          <w:rFonts w:hint="eastAsia" w:ascii="宋体" w:hAnsi="宋体" w:cs="宋体"/>
          <w:color w:val="auto"/>
          <w:sz w:val="24"/>
          <w:highlight w:val="none"/>
        </w:rPr>
        <w:t>投标文件的送达</w:t>
      </w:r>
      <w:r>
        <w:rPr>
          <w:rStyle w:val="58"/>
          <w:rFonts w:ascii="宋体" w:hAnsi="宋体" w:cs="宋体"/>
          <w:color w:val="auto"/>
          <w:sz w:val="24"/>
          <w:highlight w:val="none"/>
        </w:rPr>
        <w:footnoteReference w:id="17"/>
      </w:r>
    </w:p>
    <w:p w14:paraId="6EFF36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1）投标文件逾期未完成上传、未按规定加密上传或未按相应投标标段对应上传的，“</w:t>
      </w:r>
      <w:r>
        <w:rPr>
          <w:rFonts w:hint="eastAsia" w:ascii="宋体" w:hAnsi="宋体" w:cs="宋体"/>
          <w:color w:val="auto"/>
          <w:sz w:val="24"/>
          <w:highlight w:val="none"/>
          <w:lang w:eastAsia="zh-CN"/>
        </w:rPr>
        <w:t>电子交易系统</w:t>
      </w:r>
      <w:r>
        <w:rPr>
          <w:rFonts w:ascii="宋体" w:hAnsi="宋体" w:cs="宋体"/>
          <w:color w:val="auto"/>
          <w:sz w:val="24"/>
          <w:highlight w:val="none"/>
        </w:rPr>
        <w:t>”将拒收相应投标文件。若</w:t>
      </w:r>
      <w:r>
        <w:rPr>
          <w:rFonts w:hint="eastAsia" w:ascii="宋体" w:hAnsi="宋体" w:cs="宋体"/>
          <w:color w:val="auto"/>
          <w:sz w:val="24"/>
          <w:highlight w:val="none"/>
          <w:lang w:val="en-US" w:eastAsia="zh-CN"/>
        </w:rPr>
        <w:t>证明是</w:t>
      </w:r>
      <w:r>
        <w:rPr>
          <w:rFonts w:ascii="宋体" w:hAnsi="宋体" w:cs="宋体"/>
          <w:color w:val="auto"/>
          <w:sz w:val="24"/>
          <w:highlight w:val="none"/>
        </w:rPr>
        <w:t>投标人原因</w:t>
      </w:r>
      <w:r>
        <w:rPr>
          <w:rFonts w:hint="eastAsia" w:ascii="宋体" w:hAnsi="宋体" w:cs="宋体"/>
          <w:color w:val="auto"/>
          <w:sz w:val="24"/>
          <w:highlight w:val="none"/>
          <w:lang w:val="en-US" w:eastAsia="zh-CN"/>
        </w:rPr>
        <w:t>导致</w:t>
      </w:r>
      <w:r>
        <w:rPr>
          <w:rFonts w:ascii="宋体" w:hAnsi="宋体" w:cs="宋体"/>
          <w:color w:val="auto"/>
          <w:sz w:val="24"/>
          <w:highlight w:val="none"/>
        </w:rPr>
        <w:t>开标时对其加密的投标文件未成功解密的，视为投标人撤销投标文件</w:t>
      </w:r>
      <w:bookmarkStart w:id="33" w:name="_Hlk99382130"/>
      <w:r>
        <w:rPr>
          <w:rFonts w:hint="eastAsia" w:ascii="宋体" w:hAnsi="宋体" w:cs="宋体"/>
          <w:color w:val="auto"/>
          <w:sz w:val="24"/>
          <w:highlight w:val="none"/>
          <w:lang w:eastAsia="zh-CN"/>
        </w:rPr>
        <w:t>。</w:t>
      </w:r>
      <w:bookmarkEnd w:id="33"/>
    </w:p>
    <w:p w14:paraId="48979AD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w:t>
      </w:r>
      <w:r>
        <w:rPr>
          <w:rFonts w:hint="eastAsia" w:ascii="宋体" w:hAnsi="宋体" w:cs="宋体"/>
          <w:color w:val="auto"/>
          <w:sz w:val="24"/>
          <w:highlight w:val="none"/>
        </w:rPr>
        <w:t>（</w:t>
      </w:r>
      <w:r>
        <w:rPr>
          <w:rFonts w:ascii="宋体" w:hAnsi="宋体" w:cs="宋体"/>
          <w:color w:val="auto"/>
          <w:sz w:val="24"/>
          <w:highlight w:val="none"/>
        </w:rPr>
        <w:t>2）现场递交的</w:t>
      </w:r>
      <w:r>
        <w:rPr>
          <w:rFonts w:hint="eastAsia" w:ascii="宋体" w:hAnsi="宋体" w:cs="宋体"/>
          <w:color w:val="auto"/>
          <w:sz w:val="24"/>
          <w:highlight w:val="none"/>
        </w:rPr>
        <w:t>投标保证金</w:t>
      </w:r>
      <w:r>
        <w:rPr>
          <w:rFonts w:ascii="宋体" w:hAnsi="宋体" w:cs="宋体"/>
          <w:color w:val="auto"/>
          <w:sz w:val="24"/>
          <w:highlight w:val="none"/>
        </w:rPr>
        <w:t>银行保函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原件</w:t>
      </w:r>
      <w:r>
        <w:rPr>
          <w:rFonts w:ascii="宋体" w:hAnsi="宋体" w:cs="宋体"/>
          <w:color w:val="auto"/>
          <w:sz w:val="24"/>
          <w:highlight w:val="none"/>
        </w:rPr>
        <w:t>逾期</w:t>
      </w:r>
      <w:r>
        <w:rPr>
          <w:rFonts w:hint="eastAsia" w:ascii="宋体" w:hAnsi="宋体" w:cs="宋体"/>
          <w:color w:val="auto"/>
          <w:sz w:val="24"/>
          <w:highlight w:val="none"/>
          <w:lang w:val="en-US" w:eastAsia="zh-CN"/>
        </w:rPr>
        <w:t>送</w:t>
      </w:r>
      <w:r>
        <w:rPr>
          <w:rFonts w:ascii="宋体" w:hAnsi="宋体" w:cs="宋体"/>
          <w:color w:val="auto"/>
          <w:sz w:val="24"/>
          <w:highlight w:val="none"/>
        </w:rPr>
        <w:t>达的、未送达指定地点的</w:t>
      </w:r>
      <w:r>
        <w:rPr>
          <w:rFonts w:hint="eastAsia" w:ascii="宋体" w:hAnsi="宋体" w:cs="宋体"/>
          <w:color w:val="auto"/>
          <w:sz w:val="24"/>
          <w:highlight w:val="none"/>
        </w:rPr>
        <w:t>，招标人将予以拒收。</w:t>
      </w:r>
    </w:p>
    <w:p w14:paraId="5A51BAC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5.4 </w:t>
      </w:r>
      <w:r>
        <w:rPr>
          <w:rFonts w:hint="eastAsia" w:ascii="宋体" w:hAnsi="宋体" w:cs="宋体"/>
          <w:color w:val="auto"/>
          <w:sz w:val="24"/>
          <w:highlight w:val="none"/>
        </w:rPr>
        <w:t>开标</w:t>
      </w:r>
    </w:p>
    <w:p w14:paraId="420EDD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1）开标时间：</w:t>
      </w:r>
      <w:r>
        <w:rPr>
          <w:rFonts w:hint="eastAsia" w:ascii="宋体" w:hAnsi="宋体" w:cs="宋体"/>
          <w:color w:val="auto"/>
          <w:sz w:val="24"/>
          <w:highlight w:val="none"/>
        </w:rPr>
        <w:t>同</w:t>
      </w:r>
      <w:r>
        <w:rPr>
          <w:rFonts w:ascii="宋体" w:hAnsi="宋体" w:cs="宋体"/>
          <w:color w:val="auto"/>
          <w:sz w:val="24"/>
          <w:highlight w:val="none"/>
        </w:rPr>
        <w:t>投标截止时间</w:t>
      </w:r>
      <w:r>
        <w:rPr>
          <w:rFonts w:hint="eastAsia" w:ascii="宋体" w:hAnsi="宋体" w:cs="宋体"/>
          <w:color w:val="auto"/>
          <w:sz w:val="24"/>
          <w:highlight w:val="none"/>
        </w:rPr>
        <w:t>。</w:t>
      </w:r>
    </w:p>
    <w:p w14:paraId="6F3443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2）开标地点：</w:t>
      </w:r>
      <w:r>
        <w:rPr>
          <w:rFonts w:hint="eastAsia" w:ascii="宋体" w:hAnsi="宋体" w:cs="宋体"/>
          <w:color w:val="auto"/>
          <w:sz w:val="24"/>
          <w:highlight w:val="none"/>
        </w:rPr>
        <w:t>投标人通过互联网使用单位</w:t>
      </w:r>
      <w:r>
        <w:rPr>
          <w:rFonts w:ascii="宋体" w:hAnsi="宋体" w:cs="宋体"/>
          <w:color w:val="auto"/>
          <w:sz w:val="24"/>
          <w:highlight w:val="none"/>
        </w:rPr>
        <w:t>CA数字证书登录“</w:t>
      </w:r>
      <w:r>
        <w:rPr>
          <w:rFonts w:hint="eastAsia" w:ascii="宋体" w:hAnsi="宋体" w:cs="宋体"/>
          <w:color w:val="auto"/>
          <w:sz w:val="24"/>
          <w:highlight w:val="none"/>
          <w:lang w:eastAsia="zh-CN"/>
        </w:rPr>
        <w:t>电子交易系统</w:t>
      </w:r>
      <w:r>
        <w:rPr>
          <w:rFonts w:ascii="宋体" w:hAnsi="宋体" w:cs="宋体"/>
          <w:color w:val="auto"/>
          <w:sz w:val="24"/>
          <w:highlight w:val="none"/>
        </w:rPr>
        <w:t>”，</w:t>
      </w:r>
    </w:p>
    <w:p w14:paraId="1490B4C4">
      <w:pPr>
        <w:spacing w:line="360" w:lineRule="auto"/>
        <w:ind w:firstLine="480" w:firstLineChars="200"/>
        <w:rPr>
          <w:rFonts w:ascii="宋体" w:hAnsi="宋体" w:cs="宋体"/>
          <w:color w:val="auto"/>
          <w:sz w:val="24"/>
          <w:highlight w:val="none"/>
        </w:rPr>
      </w:pPr>
    </w:p>
    <w:p w14:paraId="3CC05A2C">
      <w:pPr>
        <w:spacing w:line="360" w:lineRule="auto"/>
        <w:ind w:firstLine="0" w:firstLineChars="0"/>
        <w:rPr>
          <w:rFonts w:ascii="宋体" w:hAnsi="宋体" w:cs="宋体"/>
          <w:color w:val="auto"/>
          <w:sz w:val="24"/>
          <w:highlight w:val="none"/>
        </w:rPr>
      </w:pPr>
      <w:r>
        <w:rPr>
          <w:rFonts w:ascii="宋体" w:hAnsi="宋体" w:cs="宋体"/>
          <w:color w:val="auto"/>
          <w:sz w:val="24"/>
          <w:highlight w:val="none"/>
        </w:rPr>
        <w:t>在“不见面开标大厅”参与开标过程</w:t>
      </w:r>
      <w:r>
        <w:rPr>
          <w:rFonts w:ascii="宋体" w:hAnsi="宋体" w:cs="宋体"/>
          <w:color w:val="auto"/>
          <w:sz w:val="24"/>
          <w:highlight w:val="none"/>
          <w:vertAlign w:val="superscript"/>
        </w:rPr>
        <w:footnoteReference w:id="18"/>
      </w:r>
      <w:r>
        <w:rPr>
          <w:rFonts w:ascii="宋体" w:hAnsi="宋体" w:cs="宋体"/>
          <w:color w:val="auto"/>
          <w:sz w:val="24"/>
          <w:highlight w:val="none"/>
        </w:rPr>
        <w:t>。</w:t>
      </w:r>
    </w:p>
    <w:p w14:paraId="00019F4A">
      <w:pPr>
        <w:pStyle w:val="5"/>
      </w:pPr>
      <w:bookmarkStart w:id="34" w:name="_Toc74760805"/>
      <w:bookmarkStart w:id="35" w:name="_Toc523921582"/>
      <w:r>
        <w:rPr>
          <w:rFonts w:hint="eastAsia"/>
        </w:rPr>
        <w:t>6</w:t>
      </w:r>
      <w:r>
        <w:rPr>
          <w:rFonts w:hint="eastAsia"/>
          <w:lang w:val="en-US" w:eastAsia="zh-CN"/>
        </w:rPr>
        <w:t xml:space="preserve">. </w:t>
      </w:r>
      <w:r>
        <w:rPr>
          <w:rFonts w:hint="eastAsia"/>
        </w:rPr>
        <w:t>评标办法</w:t>
      </w:r>
      <w:bookmarkEnd w:id="34"/>
      <w:bookmarkEnd w:id="35"/>
    </w:p>
    <w:p w14:paraId="3E8E1E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本次招标采用资格后审，双信封形式。评标方法采用综合评估法。</w:t>
      </w:r>
    </w:p>
    <w:p w14:paraId="4BC7E12C">
      <w:pPr>
        <w:pStyle w:val="5"/>
      </w:pPr>
      <w:bookmarkStart w:id="36" w:name="_Toc523921583"/>
      <w:bookmarkStart w:id="37" w:name="_Toc74760806"/>
      <w:r>
        <w:rPr>
          <w:rFonts w:hint="eastAsia"/>
        </w:rPr>
        <w:t>7</w:t>
      </w:r>
      <w:r>
        <w:rPr>
          <w:rFonts w:hint="eastAsia"/>
          <w:lang w:val="en-US" w:eastAsia="zh-CN"/>
        </w:rPr>
        <w:t xml:space="preserve">. </w:t>
      </w:r>
      <w:r>
        <w:rPr>
          <w:rFonts w:hint="eastAsia"/>
        </w:rPr>
        <w:t>发布公告的媒介</w:t>
      </w:r>
      <w:bookmarkEnd w:id="36"/>
      <w:bookmarkEnd w:id="37"/>
    </w:p>
    <w:p w14:paraId="66227C30">
      <w:pPr>
        <w:tabs>
          <w:tab w:val="left" w:pos="422"/>
        </w:tabs>
        <w:wordWrap w:val="0"/>
        <w:spacing w:line="360" w:lineRule="auto"/>
        <w:ind w:firstLine="480" w:firstLineChars="200"/>
        <w:rPr>
          <w:rFonts w:ascii="宋体" w:hAnsi="宋体" w:cs="宋体"/>
          <w:color w:val="auto"/>
          <w:sz w:val="30"/>
          <w:szCs w:val="30"/>
          <w:highlight w:val="none"/>
        </w:rPr>
      </w:pPr>
      <w:r>
        <w:rPr>
          <w:rFonts w:hint="eastAsia" w:ascii="宋体" w:hAnsi="宋体" w:cs="宋体"/>
          <w:color w:val="auto"/>
          <w:sz w:val="24"/>
          <w:highlight w:val="none"/>
        </w:rPr>
        <w:t>本次招标公告同时在全国公共资源交易平台（四川省）（</w:t>
      </w:r>
      <w:r>
        <w:rPr>
          <w:rFonts w:hint="eastAsia" w:ascii="宋体" w:hAnsi="宋体" w:cs="宋体"/>
          <w:color w:val="auto"/>
          <w:sz w:val="24"/>
          <w:highlight w:val="none"/>
          <w:lang w:eastAsia="zh-CN"/>
        </w:rPr>
        <w:t>https</w:t>
      </w:r>
      <w:r>
        <w:rPr>
          <w:rFonts w:ascii="宋体" w:hAnsi="宋体" w:cs="宋体"/>
          <w:color w:val="auto"/>
          <w:sz w:val="24"/>
          <w:highlight w:val="none"/>
        </w:rPr>
        <w:t>://ggzyjy.sc.gov.cn/</w:t>
      </w:r>
      <w:r>
        <w:rPr>
          <w:rFonts w:hint="eastAsia"/>
          <w:color w:val="auto"/>
          <w:highlight w:val="none"/>
        </w:rPr>
        <w:t>）</w:t>
      </w:r>
      <w:r>
        <w:rPr>
          <w:rFonts w:hint="eastAsia" w:ascii="宋体" w:hAnsi="宋体" w:cs="宋体"/>
          <w:color w:val="auto"/>
          <w:sz w:val="24"/>
          <w:highlight w:val="none"/>
        </w:rPr>
        <w:t>以及</w:t>
      </w:r>
      <w:r>
        <w:rPr>
          <w:rFonts w:ascii="宋体" w:hAnsi="宋体" w:cs="宋体"/>
          <w:color w:val="auto"/>
          <w:sz w:val="24"/>
          <w:highlight w:val="none"/>
          <w:u w:val="single"/>
        </w:rPr>
        <w:t xml:space="preserve">          </w:t>
      </w:r>
      <w:r>
        <w:rPr>
          <w:rFonts w:ascii="宋体" w:hAnsi="宋体" w:cs="宋体"/>
          <w:color w:val="auto"/>
          <w:sz w:val="24"/>
          <w:highlight w:val="none"/>
        </w:rPr>
        <w:t>（发布公告的媒介名称）上发布。</w:t>
      </w:r>
      <w:bookmarkStart w:id="38" w:name="_Toc523921584"/>
    </w:p>
    <w:p w14:paraId="1A9F1063">
      <w:pPr>
        <w:pStyle w:val="5"/>
        <w:rPr>
          <w:rFonts w:hint="eastAsia" w:ascii="Arial" w:hAnsi="Arial"/>
          <w:sz w:val="28"/>
          <w:szCs w:val="32"/>
        </w:rPr>
      </w:pPr>
      <w:bookmarkStart w:id="39" w:name="_Toc74760807"/>
      <w:r>
        <w:rPr>
          <w:rFonts w:hint="eastAsia" w:ascii="Arial" w:hAnsi="Arial"/>
          <w:sz w:val="28"/>
          <w:szCs w:val="32"/>
          <w:lang w:val="en-US" w:eastAsia="zh-CN"/>
        </w:rPr>
        <w:t xml:space="preserve">8. </w:t>
      </w:r>
      <w:r>
        <w:rPr>
          <w:rFonts w:hint="eastAsia" w:ascii="Arial" w:hAnsi="Arial"/>
          <w:sz w:val="28"/>
          <w:szCs w:val="32"/>
        </w:rPr>
        <w:t>招标工作公开接受社会监督</w:t>
      </w:r>
      <w:bookmarkEnd w:id="38"/>
      <w:bookmarkEnd w:id="39"/>
    </w:p>
    <w:p w14:paraId="2E74F64C">
      <w:pPr>
        <w:spacing w:line="360" w:lineRule="auto"/>
        <w:ind w:firstLine="480" w:firstLineChars="200"/>
        <w:rPr>
          <w:rFonts w:ascii="宋体" w:hAnsi="宋体" w:cs="宋体"/>
          <w:color w:val="auto"/>
          <w:sz w:val="24"/>
          <w:highlight w:val="none"/>
        </w:rPr>
      </w:pPr>
      <w:bookmarkStart w:id="40" w:name="_Toc519601435"/>
      <w:bookmarkStart w:id="41" w:name="_Toc513555779"/>
      <w:bookmarkStart w:id="42" w:name="_Toc513556611"/>
      <w:bookmarkStart w:id="43" w:name="_Toc513555535"/>
      <w:r>
        <w:rPr>
          <w:rFonts w:ascii="宋体" w:hAnsi="宋体" w:cs="宋体"/>
          <w:color w:val="auto"/>
          <w:sz w:val="24"/>
          <w:highlight w:val="none"/>
        </w:rPr>
        <w:t>8.1</w:t>
      </w:r>
      <w:r>
        <w:rPr>
          <w:rFonts w:ascii="宋体" w:hAnsi="宋体" w:cs="宋体"/>
          <w:b/>
          <w:color w:val="auto"/>
          <w:sz w:val="24"/>
          <w:highlight w:val="none"/>
        </w:rPr>
        <w:t xml:space="preserve"> </w:t>
      </w:r>
      <w:r>
        <w:rPr>
          <w:rFonts w:hint="eastAsia" w:ascii="宋体" w:hAnsi="宋体" w:cs="宋体"/>
          <w:color w:val="auto"/>
          <w:sz w:val="24"/>
          <w:highlight w:val="none"/>
        </w:rPr>
        <w:t>公示制度</w:t>
      </w:r>
      <w:bookmarkEnd w:id="40"/>
      <w:bookmarkEnd w:id="41"/>
      <w:bookmarkEnd w:id="42"/>
      <w:bookmarkEnd w:id="43"/>
    </w:p>
    <w:p w14:paraId="4CEFA5BD">
      <w:pPr>
        <w:spacing w:line="360" w:lineRule="auto"/>
        <w:ind w:firstLine="480" w:firstLineChars="200"/>
        <w:rPr>
          <w:rFonts w:ascii="宋体" w:hAnsi="宋体" w:cs="宋体"/>
          <w:color w:val="auto"/>
          <w:sz w:val="24"/>
          <w:highlight w:val="none"/>
        </w:rPr>
      </w:pPr>
      <w:bookmarkStart w:id="44" w:name="_Toc519601436"/>
      <w:bookmarkStart w:id="45" w:name="_Toc513555780"/>
      <w:bookmarkStart w:id="46" w:name="_Toc513555536"/>
      <w:bookmarkStart w:id="47" w:name="_Toc513556612"/>
      <w:r>
        <w:rPr>
          <w:rFonts w:hint="eastAsia" w:ascii="宋体" w:hAnsi="宋体" w:cs="宋体"/>
          <w:color w:val="auto"/>
          <w:sz w:val="24"/>
          <w:highlight w:val="none"/>
        </w:rPr>
        <w:t>评标结果公示：招标人在收到评标报告之日起</w:t>
      </w:r>
      <w:r>
        <w:rPr>
          <w:rFonts w:ascii="宋体" w:hAnsi="宋体" w:cs="宋体"/>
          <w:color w:val="auto"/>
          <w:sz w:val="24"/>
          <w:highlight w:val="none"/>
        </w:rPr>
        <w:t>3日内，将评标结果在全国公共资源交易平台（四川省）（</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 w:val="24"/>
          <w:highlight w:val="none"/>
          <w:lang w:eastAsia="zh-CN"/>
        </w:rPr>
        <w:t>https</w:t>
      </w:r>
      <w:r>
        <w:rPr>
          <w:rFonts w:ascii="宋体" w:hAnsi="宋体" w:cs="宋体"/>
          <w:color w:val="auto"/>
          <w:sz w:val="24"/>
          <w:highlight w:val="none"/>
        </w:rPr>
        <w:t xml:space="preserve">://ggzyjy.sc.gov.cn/ </w:t>
      </w:r>
      <w:r>
        <w:rPr>
          <w:rFonts w:hint="eastAsia" w:ascii="宋体" w:hAnsi="宋体" w:cs="宋体"/>
          <w:color w:val="auto"/>
          <w:sz w:val="24"/>
          <w:highlight w:val="none"/>
        </w:rPr>
        <w:t>）</w:t>
      </w:r>
      <w:r>
        <w:rPr>
          <w:rFonts w:hint="eastAsia" w:ascii="宋体" w:hAnsi="宋体" w:cs="宋体"/>
          <w:color w:val="auto"/>
          <w:sz w:val="24"/>
          <w:highlight w:val="none"/>
        </w:rPr>
        <w:fldChar w:fldCharType="end"/>
      </w:r>
      <w:r>
        <w:rPr>
          <w:rFonts w:hint="eastAsia" w:ascii="宋体" w:hAnsi="宋体" w:cs="宋体"/>
          <w:color w:val="auto"/>
          <w:kern w:val="0"/>
          <w:sz w:val="24"/>
          <w:highlight w:val="none"/>
        </w:rPr>
        <w:t>以及</w:t>
      </w:r>
      <w:r>
        <w:rPr>
          <w:rFonts w:ascii="宋体" w:hAnsi="宋体" w:cs="宋体"/>
          <w:color w:val="auto"/>
          <w:sz w:val="24"/>
          <w:highlight w:val="none"/>
          <w:u w:val="single"/>
        </w:rPr>
        <w:t xml:space="preserve">              </w:t>
      </w:r>
      <w:r>
        <w:rPr>
          <w:rFonts w:hint="eastAsia" w:ascii="宋体" w:hAnsi="宋体"/>
          <w:color w:val="auto"/>
          <w:sz w:val="24"/>
          <w:highlight w:val="none"/>
        </w:rPr>
        <w:t>（发布公告的媒介名称）</w:t>
      </w:r>
      <w:r>
        <w:rPr>
          <w:rFonts w:ascii="宋体" w:hAnsi="宋体" w:cs="宋体"/>
          <w:color w:val="auto"/>
          <w:sz w:val="24"/>
          <w:highlight w:val="none"/>
        </w:rPr>
        <w:t xml:space="preserve"> </w:t>
      </w:r>
      <w:r>
        <w:rPr>
          <w:rFonts w:hint="eastAsia" w:ascii="宋体" w:hAnsi="宋体" w:cs="宋体"/>
          <w:color w:val="auto"/>
          <w:sz w:val="24"/>
          <w:highlight w:val="none"/>
        </w:rPr>
        <w:t>上公示</w:t>
      </w:r>
      <w:r>
        <w:rPr>
          <w:rFonts w:ascii="宋体" w:hAnsi="宋体" w:cs="宋体"/>
          <w:color w:val="auto"/>
          <w:sz w:val="24"/>
          <w:highlight w:val="none"/>
        </w:rPr>
        <w:t>3个工作日以接受社会公开监督。投标人或者其他</w:t>
      </w:r>
      <w:r>
        <w:rPr>
          <w:rFonts w:hint="eastAsia" w:ascii="宋体" w:hAnsi="宋体" w:cs="宋体"/>
          <w:color w:val="auto"/>
          <w:sz w:val="24"/>
          <w:highlight w:val="none"/>
        </w:rPr>
        <w:t>利害关系人对评标结果有异议的，应当在评标结果公示期间提出。</w:t>
      </w:r>
    </w:p>
    <w:bookmarkEnd w:id="44"/>
    <w:bookmarkEnd w:id="45"/>
    <w:bookmarkEnd w:id="46"/>
    <w:bookmarkEnd w:id="47"/>
    <w:p w14:paraId="4A9BF6A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同时招标人将把</w:t>
      </w:r>
      <w:r>
        <w:rPr>
          <w:rFonts w:ascii="宋体" w:hAnsi="宋体" w:cs="宋体"/>
          <w:b/>
          <w:bCs/>
          <w:color w:val="auto"/>
          <w:sz w:val="24"/>
          <w:highlight w:val="none"/>
          <w:u w:val="none"/>
        </w:rPr>
        <w:t xml:space="preserve"> □</w:t>
      </w:r>
      <w:r>
        <w:rPr>
          <w:rFonts w:ascii="宋体" w:hAnsi="宋体" w:cs="宋体"/>
          <w:color w:val="auto"/>
          <w:sz w:val="24"/>
          <w:highlight w:val="none"/>
          <w:u w:val="single"/>
        </w:rPr>
        <w:t>中标候选人</w:t>
      </w:r>
      <w:r>
        <w:rPr>
          <w:rFonts w:hint="eastAsia" w:ascii="宋体" w:hAnsi="宋体" w:cs="宋体"/>
          <w:color w:val="auto"/>
          <w:sz w:val="24"/>
          <w:highlight w:val="none"/>
        </w:rPr>
        <w:t>、</w:t>
      </w:r>
      <w:r>
        <w:rPr>
          <w:rFonts w:hint="eastAsia" w:ascii="宋体" w:hAnsi="宋体" w:cs="宋体"/>
          <w:b/>
          <w:bCs/>
          <w:color w:val="auto"/>
          <w:sz w:val="24"/>
          <w:highlight w:val="none"/>
          <w:u w:val="none"/>
        </w:rPr>
        <w:t>□</w:t>
      </w:r>
      <w:r>
        <w:rPr>
          <w:rFonts w:hint="eastAsia" w:ascii="宋体" w:hAnsi="宋体" w:cs="宋体"/>
          <w:color w:val="auto"/>
          <w:sz w:val="24"/>
          <w:highlight w:val="none"/>
          <w:u w:val="single"/>
        </w:rPr>
        <w:t>所有投标人</w:t>
      </w:r>
      <w:r>
        <w:rPr>
          <w:rFonts w:ascii="宋体" w:hAnsi="宋体" w:cs="宋体"/>
          <w:color w:val="auto"/>
          <w:sz w:val="24"/>
          <w:highlight w:val="none"/>
        </w:rPr>
        <w:t xml:space="preserve"> 投标文件中所提供的</w:t>
      </w:r>
      <w:r>
        <w:rPr>
          <w:rFonts w:ascii="宋体" w:hAnsi="宋体" w:cs="宋体"/>
          <w:b/>
          <w:bCs/>
          <w:color w:val="auto"/>
          <w:sz w:val="24"/>
          <w:highlight w:val="none"/>
          <w:u w:val="none"/>
        </w:rPr>
        <w:t xml:space="preserve"> </w:t>
      </w:r>
      <w:r>
        <w:rPr>
          <w:rFonts w:hint="eastAsia" w:ascii="宋体" w:hAnsi="宋体" w:cs="宋体"/>
          <w:b/>
          <w:bCs/>
          <w:color w:val="auto"/>
          <w:sz w:val="24"/>
          <w:highlight w:val="none"/>
          <w:u w:val="none"/>
        </w:rPr>
        <w:t>□</w:t>
      </w:r>
      <w:r>
        <w:rPr>
          <w:rFonts w:hint="eastAsia" w:ascii="宋体" w:hAnsi="宋体" w:cs="宋体"/>
          <w:color w:val="auto"/>
          <w:sz w:val="24"/>
          <w:highlight w:val="none"/>
          <w:u w:val="single"/>
        </w:rPr>
        <w:t>近年完成</w:t>
      </w:r>
      <w:r>
        <w:rPr>
          <w:rFonts w:hint="eastAsia" w:ascii="宋体" w:hAnsi="宋体" w:cs="宋体"/>
          <w:color w:val="auto"/>
          <w:sz w:val="24"/>
          <w:highlight w:val="none"/>
          <w:u w:val="single"/>
          <w:lang w:val="en-US" w:eastAsia="zh-CN"/>
        </w:rPr>
        <w:t>的</w:t>
      </w:r>
      <w:r>
        <w:rPr>
          <w:rFonts w:hint="eastAsia" w:ascii="宋体" w:hAnsi="宋体" w:cs="宋体"/>
          <w:color w:val="auto"/>
          <w:sz w:val="24"/>
          <w:highlight w:val="none"/>
          <w:u w:val="single"/>
        </w:rPr>
        <w:t>类似项目情况</w:t>
      </w:r>
      <w:r>
        <w:rPr>
          <w:rFonts w:hint="eastAsia" w:ascii="宋体" w:hAnsi="宋体" w:cs="宋体"/>
          <w:color w:val="auto"/>
          <w:sz w:val="24"/>
          <w:highlight w:val="none"/>
        </w:rPr>
        <w:t>、</w:t>
      </w:r>
      <w:r>
        <w:rPr>
          <w:rFonts w:hint="eastAsia" w:ascii="宋体" w:hAnsi="宋体" w:cs="宋体"/>
          <w:b/>
          <w:bCs/>
          <w:color w:val="auto"/>
          <w:sz w:val="24"/>
          <w:highlight w:val="none"/>
          <w:u w:val="none"/>
        </w:rPr>
        <w:t>□</w:t>
      </w:r>
      <w:r>
        <w:rPr>
          <w:rFonts w:hint="eastAsia" w:ascii="宋体" w:hAnsi="宋体" w:cs="宋体"/>
          <w:color w:val="auto"/>
          <w:sz w:val="24"/>
          <w:highlight w:val="none"/>
          <w:u w:val="single"/>
        </w:rPr>
        <w:t>拟委任</w:t>
      </w:r>
      <w:r>
        <w:rPr>
          <w:rFonts w:hint="eastAsia" w:ascii="宋体" w:hAnsi="宋体" w:cs="宋体"/>
          <w:color w:val="auto"/>
          <w:sz w:val="24"/>
          <w:highlight w:val="none"/>
          <w:u w:val="single"/>
          <w:lang w:val="en-US" w:eastAsia="zh-CN"/>
        </w:rPr>
        <w:t>的</w:t>
      </w:r>
      <w:r>
        <w:rPr>
          <w:rFonts w:hint="eastAsia" w:ascii="宋体" w:hAnsi="宋体" w:cs="宋体"/>
          <w:color w:val="auto"/>
          <w:sz w:val="24"/>
          <w:highlight w:val="none"/>
          <w:u w:val="single"/>
        </w:rPr>
        <w:t>主要人员</w:t>
      </w:r>
      <w:r>
        <w:rPr>
          <w:rFonts w:hint="eastAsia" w:ascii="宋体" w:hAnsi="宋体" w:cs="宋体"/>
          <w:color w:val="auto"/>
          <w:sz w:val="24"/>
          <w:highlight w:val="none"/>
          <w:u w:val="single"/>
          <w:lang w:val="en-US" w:eastAsia="zh-CN"/>
        </w:rPr>
        <w:t>资历</w:t>
      </w:r>
      <w:r>
        <w:rPr>
          <w:rFonts w:ascii="宋体" w:hAnsi="宋体" w:cs="宋体"/>
          <w:color w:val="auto"/>
          <w:sz w:val="24"/>
          <w:highlight w:val="none"/>
        </w:rPr>
        <w:t xml:space="preserve"> </w:t>
      </w:r>
      <w:bookmarkStart w:id="48" w:name="_Hlk94031583"/>
      <w:r>
        <w:rPr>
          <w:rStyle w:val="58"/>
          <w:rFonts w:ascii="宋体" w:hAnsi="宋体"/>
          <w:color w:val="auto"/>
          <w:sz w:val="24"/>
          <w:highlight w:val="none"/>
          <w:u w:val="none"/>
        </w:rPr>
        <w:footnoteReference w:id="19"/>
      </w:r>
      <w:bookmarkEnd w:id="48"/>
      <w:r>
        <w:rPr>
          <w:rFonts w:ascii="宋体" w:hAnsi="宋体" w:cs="宋体"/>
          <w:color w:val="auto"/>
          <w:sz w:val="24"/>
          <w:highlight w:val="none"/>
        </w:rPr>
        <w:t>等内容作为公示资料在全国公共资源交易平台（四川省）(</w:t>
      </w:r>
      <w:r>
        <w:rPr>
          <w:color w:val="auto"/>
          <w:highlight w:val="none"/>
        </w:rPr>
        <w:fldChar w:fldCharType="begin"/>
      </w:r>
      <w:r>
        <w:rPr>
          <w:color w:val="auto"/>
          <w:highlight w:val="none"/>
        </w:rPr>
        <w:instrText xml:space="preserve"> HYPERLINK "http://ggzyjy.sc.gov.cn/)、" </w:instrText>
      </w:r>
      <w:r>
        <w:rPr>
          <w:color w:val="auto"/>
          <w:highlight w:val="none"/>
        </w:rPr>
        <w:fldChar w:fldCharType="separate"/>
      </w:r>
      <w:r>
        <w:rPr>
          <w:rStyle w:val="56"/>
          <w:rFonts w:hint="eastAsia" w:ascii="宋体" w:hAnsi="宋体" w:cs="宋体"/>
          <w:color w:val="auto"/>
          <w:sz w:val="24"/>
          <w:highlight w:val="none"/>
          <w:u w:val="none"/>
          <w:lang w:eastAsia="zh-CN"/>
        </w:rPr>
        <w:t>https</w:t>
      </w:r>
      <w:r>
        <w:rPr>
          <w:rStyle w:val="56"/>
          <w:rFonts w:ascii="宋体" w:hAnsi="宋体" w:cs="宋体"/>
          <w:color w:val="auto"/>
          <w:sz w:val="24"/>
          <w:highlight w:val="none"/>
          <w:u w:val="none"/>
        </w:rPr>
        <w:t>://ggzyjy.sc.gov.cn/)</w:t>
      </w:r>
      <w:r>
        <w:rPr>
          <w:rStyle w:val="56"/>
          <w:rFonts w:ascii="宋体" w:hAnsi="宋体" w:cs="宋体"/>
          <w:color w:val="auto"/>
          <w:sz w:val="24"/>
          <w:highlight w:val="none"/>
          <w:u w:val="none"/>
        </w:rPr>
        <w:fldChar w:fldCharType="end"/>
      </w:r>
      <w:r>
        <w:rPr>
          <w:rFonts w:hint="eastAsia" w:ascii="宋体" w:hAnsi="宋体" w:cs="宋体"/>
          <w:color w:val="auto"/>
          <w:kern w:val="0"/>
          <w:sz w:val="24"/>
          <w:highlight w:val="none"/>
        </w:rPr>
        <w:t>以及</w:t>
      </w:r>
      <w:r>
        <w:rPr>
          <w:rFonts w:ascii="宋体" w:hAnsi="宋体" w:cs="宋体"/>
          <w:color w:val="auto"/>
          <w:sz w:val="24"/>
          <w:highlight w:val="none"/>
          <w:u w:val="single"/>
        </w:rPr>
        <w:t xml:space="preserve">              </w:t>
      </w:r>
      <w:r>
        <w:rPr>
          <w:rFonts w:hint="eastAsia" w:ascii="宋体" w:hAnsi="宋体"/>
          <w:color w:val="auto"/>
          <w:sz w:val="24"/>
          <w:highlight w:val="none"/>
        </w:rPr>
        <w:t>（发布公告的媒介名称）</w:t>
      </w:r>
      <w:r>
        <w:rPr>
          <w:rFonts w:hint="eastAsia" w:ascii="宋体" w:hAnsi="宋体" w:cs="宋体"/>
          <w:color w:val="auto"/>
          <w:sz w:val="24"/>
          <w:highlight w:val="none"/>
        </w:rPr>
        <w:t>进行公示。公示截止日同评标结果公示截止日，公示期间接受社会公开监督。</w:t>
      </w:r>
    </w:p>
    <w:p w14:paraId="2249F1A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8.2</w:t>
      </w:r>
      <w:r>
        <w:rPr>
          <w:rFonts w:ascii="宋体" w:hAnsi="宋体" w:cs="宋体"/>
          <w:b/>
          <w:color w:val="auto"/>
          <w:sz w:val="24"/>
          <w:highlight w:val="none"/>
        </w:rPr>
        <w:t xml:space="preserve"> </w:t>
      </w:r>
      <w:r>
        <w:rPr>
          <w:rFonts w:hint="eastAsia" w:ascii="宋体" w:hAnsi="宋体" w:cs="宋体"/>
          <w:bCs/>
          <w:color w:val="auto"/>
          <w:sz w:val="24"/>
          <w:highlight w:val="none"/>
        </w:rPr>
        <w:t>异议、</w:t>
      </w:r>
      <w:r>
        <w:rPr>
          <w:rFonts w:hint="eastAsia" w:ascii="宋体" w:hAnsi="宋体" w:cs="宋体"/>
          <w:color w:val="auto"/>
          <w:sz w:val="24"/>
          <w:highlight w:val="none"/>
        </w:rPr>
        <w:t>投诉处理</w:t>
      </w:r>
    </w:p>
    <w:p w14:paraId="4380B29E">
      <w:pPr>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.2.1</w:t>
      </w:r>
      <w:r>
        <w:rPr>
          <w:rFonts w:hint="eastAsia" w:ascii="宋体" w:hAnsi="宋体"/>
          <w:color w:val="auto"/>
          <w:sz w:val="24"/>
          <w:highlight w:val="none"/>
        </w:rPr>
        <w:t>异议处理</w:t>
      </w:r>
    </w:p>
    <w:p w14:paraId="6FAA8749">
      <w:pPr>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rPr>
        <w:t>（1）投标人对招标文件的异议</w:t>
      </w:r>
      <w:r>
        <w:rPr>
          <w:rFonts w:hint="eastAsia" w:ascii="宋体" w:hAnsi="宋体"/>
          <w:color w:val="auto"/>
          <w:sz w:val="24"/>
          <w:highlight w:val="none"/>
          <w:lang w:val="en-US" w:eastAsia="zh-CN"/>
        </w:rPr>
        <w:t>可</w:t>
      </w:r>
      <w:r>
        <w:rPr>
          <w:rFonts w:hint="eastAsia" w:ascii="宋体" w:hAnsi="宋体"/>
          <w:color w:val="auto"/>
          <w:sz w:val="24"/>
          <w:highlight w:val="none"/>
        </w:rPr>
        <w:t>通过“电子交易系统”在“</w:t>
      </w:r>
      <w:r>
        <w:rPr>
          <w:rFonts w:hint="eastAsia" w:ascii="宋体" w:hAnsi="宋体"/>
          <w:color w:val="auto"/>
          <w:sz w:val="24"/>
          <w:highlight w:val="none"/>
          <w:lang w:val="en-US" w:eastAsia="zh-CN"/>
        </w:rPr>
        <w:t>澄清与</w:t>
      </w:r>
      <w:r>
        <w:rPr>
          <w:rFonts w:hint="eastAsia" w:ascii="宋体" w:hAnsi="宋体"/>
          <w:color w:val="auto"/>
          <w:sz w:val="24"/>
          <w:highlight w:val="none"/>
        </w:rPr>
        <w:t>异议”</w:t>
      </w:r>
      <w:r>
        <w:rPr>
          <w:rFonts w:ascii="宋体" w:hAnsi="宋体" w:cs="宋体"/>
          <w:color w:val="auto"/>
          <w:sz w:val="24"/>
          <w:highlight w:val="none"/>
          <w:vertAlign w:val="superscript"/>
        </w:rPr>
        <w:footnoteReference w:id="20"/>
      </w:r>
      <w:r>
        <w:rPr>
          <w:rFonts w:hint="eastAsia" w:ascii="宋体" w:hAnsi="宋体"/>
          <w:color w:val="auto"/>
          <w:sz w:val="24"/>
          <w:highlight w:val="none"/>
        </w:rPr>
        <w:t>菜单中</w:t>
      </w:r>
      <w:r>
        <w:rPr>
          <w:rFonts w:hint="eastAsia" w:ascii="宋体" w:hAnsi="宋体"/>
          <w:color w:val="auto"/>
          <w:sz w:val="24"/>
          <w:highlight w:val="none"/>
          <w:lang w:val="en-US" w:eastAsia="zh-CN"/>
        </w:rPr>
        <w:t>进行</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也可采用符合</w:t>
      </w:r>
      <w:r>
        <w:rPr>
          <w:rFonts w:hint="eastAsia" w:ascii="宋体" w:hAnsi="宋体" w:cs="宋体"/>
          <w:snapToGrid w:val="0"/>
          <w:color w:val="auto"/>
          <w:kern w:val="0"/>
          <w:sz w:val="24"/>
          <w:highlight w:val="none"/>
          <w:lang w:val="en-US" w:eastAsia="zh-CN"/>
        </w:rPr>
        <w:t>第二章“投标人须知”</w:t>
      </w:r>
      <w:r>
        <w:rPr>
          <w:rFonts w:hint="eastAsia" w:ascii="宋体" w:hAnsi="宋体" w:eastAsia="宋体" w:cs="宋体"/>
          <w:snapToGrid w:val="0"/>
          <w:color w:val="auto"/>
          <w:kern w:val="0"/>
          <w:sz w:val="24"/>
          <w:highlight w:val="none"/>
          <w:lang w:val="en-US" w:eastAsia="zh-CN"/>
        </w:rPr>
        <w:t>前附表第8.5.2项</w:t>
      </w:r>
      <w:r>
        <w:rPr>
          <w:rFonts w:hint="eastAsia" w:ascii="宋体" w:hAnsi="宋体" w:cs="宋体"/>
          <w:snapToGrid w:val="0"/>
          <w:color w:val="auto"/>
          <w:kern w:val="0"/>
          <w:sz w:val="24"/>
          <w:highlight w:val="none"/>
          <w:lang w:val="en-US" w:eastAsia="zh-CN"/>
        </w:rPr>
        <w:t>要求</w:t>
      </w:r>
      <w:r>
        <w:rPr>
          <w:rFonts w:hint="eastAsia" w:ascii="宋体" w:hAnsi="宋体" w:eastAsia="宋体" w:cs="宋体"/>
          <w:snapToGrid w:val="0"/>
          <w:color w:val="auto"/>
          <w:kern w:val="0"/>
          <w:sz w:val="24"/>
          <w:highlight w:val="none"/>
          <w:lang w:val="en-US" w:eastAsia="zh-CN"/>
        </w:rPr>
        <w:t>的书面方式进行</w:t>
      </w:r>
      <w:r>
        <w:rPr>
          <w:rFonts w:hint="eastAsia" w:ascii="宋体" w:hAnsi="宋体"/>
          <w:color w:val="auto"/>
          <w:sz w:val="24"/>
          <w:highlight w:val="none"/>
        </w:rPr>
        <w:t>。</w:t>
      </w:r>
    </w:p>
    <w:p w14:paraId="35511291">
      <w:pPr>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2）投标人对开标如有异议，应在</w:t>
      </w:r>
      <w:r>
        <w:rPr>
          <w:rFonts w:hint="eastAsia" w:ascii="宋体" w:hAnsi="宋体"/>
          <w:color w:val="auto"/>
          <w:sz w:val="24"/>
          <w:highlight w:val="none"/>
        </w:rPr>
        <w:t>系统进入异议倒计时时间内，点击“开标异议提问”提出。</w:t>
      </w:r>
      <w:r>
        <w:rPr>
          <w:rFonts w:hint="eastAsia" w:ascii="宋体" w:hAnsi="宋体" w:cs="宋体"/>
          <w:color w:val="auto"/>
          <w:sz w:val="24"/>
          <w:highlight w:val="none"/>
        </w:rPr>
        <w:t>招标人应在“异议回复”栏当场作出答复。</w:t>
      </w:r>
    </w:p>
    <w:p w14:paraId="3168F1B9">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（3）投标人对评标结果如有异议，应在中标候选人公示期间提出</w:t>
      </w:r>
      <w:r>
        <w:rPr>
          <w:rFonts w:hint="eastAsia" w:ascii="宋体" w:hAnsi="宋体" w:cs="宋体"/>
          <w:color w:val="auto"/>
          <w:sz w:val="24"/>
          <w:highlight w:val="none"/>
          <w:lang w:eastAsia="zh-CN"/>
        </w:rPr>
        <w:t>，</w:t>
      </w:r>
      <w:r>
        <w:rPr>
          <w:rFonts w:hint="eastAsia" w:ascii="宋体" w:hAnsi="宋体" w:cs="宋体"/>
          <w:sz w:val="24"/>
        </w:rPr>
        <w:t>投标人提出异议可</w:t>
      </w:r>
      <w:r>
        <w:rPr>
          <w:rFonts w:hint="eastAsia" w:ascii="宋体" w:hAnsi="宋体" w:cs="宋体"/>
          <w:color w:val="auto"/>
          <w:sz w:val="24"/>
          <w:highlight w:val="none"/>
        </w:rPr>
        <w:t>通过“电子交易系统”在“</w:t>
      </w:r>
      <w:r>
        <w:rPr>
          <w:rFonts w:hint="eastAsia" w:ascii="宋体" w:hAnsi="宋体" w:cs="宋体"/>
          <w:color w:val="auto"/>
          <w:sz w:val="24"/>
          <w:highlight w:val="none"/>
          <w:lang w:val="en-US" w:eastAsia="zh-CN"/>
        </w:rPr>
        <w:t>澄清与</w:t>
      </w:r>
      <w:r>
        <w:rPr>
          <w:rFonts w:hint="eastAsia" w:ascii="宋体" w:hAnsi="宋体" w:cs="宋体"/>
          <w:color w:val="auto"/>
          <w:sz w:val="24"/>
          <w:highlight w:val="none"/>
        </w:rPr>
        <w:t>异议</w:t>
      </w:r>
      <w:r>
        <w:rPr>
          <w:rFonts w:hint="eastAsia" w:ascii="宋体" w:hAnsi="宋体" w:cs="宋体"/>
          <w:color w:val="auto"/>
          <w:sz w:val="24"/>
          <w:highlight w:val="none"/>
          <w:lang w:eastAsia="zh-CN"/>
        </w:rPr>
        <w:t>”</w:t>
      </w:r>
      <w:r>
        <w:rPr>
          <w:rFonts w:hint="eastAsia" w:ascii="宋体" w:hAnsi="宋体" w:cs="宋体"/>
          <w:color w:val="auto"/>
          <w:sz w:val="24"/>
          <w:highlight w:val="none"/>
        </w:rPr>
        <w:t>菜单中进行</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也可采用符合</w:t>
      </w:r>
      <w:r>
        <w:rPr>
          <w:rFonts w:hint="eastAsia" w:ascii="宋体" w:hAnsi="宋体" w:cs="宋体"/>
          <w:snapToGrid w:val="0"/>
          <w:color w:val="auto"/>
          <w:kern w:val="0"/>
          <w:sz w:val="24"/>
          <w:highlight w:val="none"/>
          <w:lang w:val="en-US" w:eastAsia="zh-CN"/>
        </w:rPr>
        <w:t>第二章“投标人须知”</w:t>
      </w:r>
      <w:r>
        <w:rPr>
          <w:rFonts w:hint="eastAsia" w:ascii="宋体" w:hAnsi="宋体" w:eastAsia="宋体" w:cs="宋体"/>
          <w:snapToGrid w:val="0"/>
          <w:color w:val="auto"/>
          <w:kern w:val="0"/>
          <w:sz w:val="24"/>
          <w:highlight w:val="none"/>
          <w:lang w:val="en-US" w:eastAsia="zh-CN"/>
        </w:rPr>
        <w:t>前附表第8.5.2项</w:t>
      </w:r>
      <w:r>
        <w:rPr>
          <w:rFonts w:hint="eastAsia" w:ascii="宋体" w:hAnsi="宋体" w:cs="宋体"/>
          <w:snapToGrid w:val="0"/>
          <w:color w:val="auto"/>
          <w:kern w:val="0"/>
          <w:sz w:val="24"/>
          <w:highlight w:val="none"/>
          <w:lang w:val="en-US" w:eastAsia="zh-CN"/>
        </w:rPr>
        <w:t>要求</w:t>
      </w:r>
      <w:r>
        <w:rPr>
          <w:rFonts w:hint="eastAsia" w:ascii="宋体" w:hAnsi="宋体" w:eastAsia="宋体" w:cs="宋体"/>
          <w:snapToGrid w:val="0"/>
          <w:color w:val="auto"/>
          <w:kern w:val="0"/>
          <w:sz w:val="24"/>
          <w:highlight w:val="none"/>
          <w:lang w:val="en-US" w:eastAsia="zh-CN"/>
        </w:rPr>
        <w:t>的书面方式进行</w:t>
      </w:r>
      <w:r>
        <w:rPr>
          <w:rFonts w:hint="eastAsia" w:ascii="宋体" w:hAnsi="宋体" w:cs="宋体"/>
          <w:color w:val="auto"/>
          <w:sz w:val="24"/>
          <w:highlight w:val="none"/>
        </w:rPr>
        <w:t>。</w:t>
      </w:r>
    </w:p>
    <w:p w14:paraId="7E6469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w:t>
      </w:r>
      <w:r>
        <w:rPr>
          <w:rFonts w:ascii="宋体" w:hAnsi="宋体" w:cs="宋体"/>
          <w:color w:val="auto"/>
          <w:sz w:val="24"/>
          <w:highlight w:val="none"/>
        </w:rPr>
        <w:t>.2.2</w:t>
      </w:r>
      <w:r>
        <w:rPr>
          <w:rFonts w:hint="eastAsia" w:ascii="宋体" w:hAnsi="宋体" w:cs="宋体"/>
          <w:color w:val="auto"/>
          <w:sz w:val="24"/>
          <w:highlight w:val="none"/>
        </w:rPr>
        <w:t>投诉处理</w:t>
      </w:r>
    </w:p>
    <w:p w14:paraId="22B9EE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行政监督部门按照</w:t>
      </w:r>
      <w:r>
        <w:rPr>
          <w:rFonts w:hint="eastAsia" w:ascii="宋体" w:hAnsi="宋体" w:cs="宋体"/>
          <w:color w:val="auto"/>
          <w:sz w:val="24"/>
          <w:highlight w:val="none"/>
          <w:u w:val="single"/>
        </w:rPr>
        <w:t>《工程建设项目招标投标活动投诉处理办法》（</w:t>
      </w:r>
      <w:r>
        <w:rPr>
          <w:rFonts w:ascii="宋体" w:hAnsi="宋体" w:cs="宋体"/>
          <w:color w:val="auto"/>
          <w:sz w:val="24"/>
          <w:highlight w:val="none"/>
          <w:u w:val="single"/>
        </w:rPr>
        <w:t>2013年3月11日国家发展改革委等九部委令第23号修改）、《四川省公路工程建设项目招标投标管理实施细则》（川交发〔2019〕32号）</w:t>
      </w:r>
      <w:r>
        <w:rPr>
          <w:rFonts w:hint="eastAsia" w:ascii="宋体" w:hAnsi="宋体" w:cs="宋体"/>
          <w:color w:val="auto"/>
          <w:sz w:val="24"/>
          <w:highlight w:val="none"/>
        </w:rPr>
        <w:t>的规定接受投诉。投诉材料要求、投诉受理条件及查处按照上述规定执行。超出投诉时效的，则不予受理。</w:t>
      </w:r>
    </w:p>
    <w:p w14:paraId="7CF0509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8.3 </w:t>
      </w:r>
      <w:r>
        <w:rPr>
          <w:rFonts w:hint="eastAsia" w:ascii="宋体" w:hAnsi="宋体" w:cs="宋体"/>
          <w:color w:val="auto"/>
          <w:sz w:val="24"/>
          <w:highlight w:val="none"/>
        </w:rPr>
        <w:t>行政监督部门</w:t>
      </w:r>
    </w:p>
    <w:p w14:paraId="5FDFB354">
      <w:pPr>
        <w:pStyle w:val="276"/>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行政监督部门：</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0BD7E726">
      <w:pPr>
        <w:pStyle w:val="276"/>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52171A57">
      <w:pPr>
        <w:pStyle w:val="276"/>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电</w:t>
      </w:r>
      <w:r>
        <w:rPr>
          <w:rFonts w:ascii="宋体" w:hAnsi="宋体" w:cs="宋体"/>
          <w:color w:val="auto"/>
          <w:sz w:val="24"/>
          <w:highlight w:val="none"/>
        </w:rPr>
        <w:t xml:space="preserve">    </w:t>
      </w:r>
      <w:r>
        <w:rPr>
          <w:rFonts w:hint="eastAsia" w:ascii="宋体" w:hAnsi="宋体" w:cs="宋体"/>
          <w:color w:val="auto"/>
          <w:sz w:val="24"/>
          <w:highlight w:val="none"/>
        </w:rPr>
        <w:t>话：</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36497379">
      <w:pPr>
        <w:pStyle w:val="276"/>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传</w:t>
      </w:r>
      <w:r>
        <w:rPr>
          <w:rFonts w:ascii="宋体" w:hAnsi="宋体" w:cs="宋体"/>
          <w:color w:val="auto"/>
          <w:sz w:val="24"/>
          <w:highlight w:val="none"/>
        </w:rPr>
        <w:t xml:space="preserve">    </w:t>
      </w:r>
      <w:r>
        <w:rPr>
          <w:rFonts w:hint="eastAsia" w:ascii="宋体" w:hAnsi="宋体" w:cs="宋体"/>
          <w:color w:val="auto"/>
          <w:sz w:val="24"/>
          <w:highlight w:val="none"/>
        </w:rPr>
        <w:t>真：</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2B3CB6E2">
      <w:pPr>
        <w:spacing w:line="360" w:lineRule="auto"/>
        <w:ind w:firstLine="600" w:firstLineChars="250"/>
        <w:rPr>
          <w:rFonts w:ascii="宋体" w:hAnsi="宋体" w:cs="宋体"/>
          <w:color w:val="auto"/>
          <w:sz w:val="24"/>
          <w:highlight w:val="none"/>
          <w:u w:val="single"/>
        </w:rPr>
      </w:pPr>
      <w:r>
        <w:rPr>
          <w:rFonts w:hint="eastAsia" w:ascii="宋体" w:hAnsi="宋体" w:cs="宋体"/>
          <w:color w:val="auto"/>
          <w:sz w:val="24"/>
          <w:highlight w:val="none"/>
        </w:rPr>
        <w:t>邮政编码：</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47C740F8">
      <w:pPr>
        <w:pStyle w:val="276"/>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行政监督部门：</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66E3DB81">
      <w:pPr>
        <w:pStyle w:val="276"/>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5A82C036">
      <w:pPr>
        <w:pStyle w:val="276"/>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电</w:t>
      </w:r>
      <w:r>
        <w:rPr>
          <w:rFonts w:ascii="宋体" w:hAnsi="宋体" w:cs="宋体"/>
          <w:color w:val="auto"/>
          <w:sz w:val="24"/>
          <w:highlight w:val="none"/>
        </w:rPr>
        <w:t xml:space="preserve">    </w:t>
      </w:r>
      <w:r>
        <w:rPr>
          <w:rFonts w:hint="eastAsia" w:ascii="宋体" w:hAnsi="宋体" w:cs="宋体"/>
          <w:color w:val="auto"/>
          <w:sz w:val="24"/>
          <w:highlight w:val="none"/>
        </w:rPr>
        <w:t>话：</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161E55FF">
      <w:pPr>
        <w:pStyle w:val="276"/>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传</w:t>
      </w:r>
      <w:r>
        <w:rPr>
          <w:rFonts w:ascii="宋体" w:hAnsi="宋体" w:cs="宋体"/>
          <w:color w:val="auto"/>
          <w:sz w:val="24"/>
          <w:highlight w:val="none"/>
        </w:rPr>
        <w:t xml:space="preserve">    </w:t>
      </w:r>
      <w:r>
        <w:rPr>
          <w:rFonts w:hint="eastAsia" w:ascii="宋体" w:hAnsi="宋体" w:cs="宋体"/>
          <w:color w:val="auto"/>
          <w:sz w:val="24"/>
          <w:highlight w:val="none"/>
        </w:rPr>
        <w:t>真：</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2DA3B8B0">
      <w:pPr>
        <w:spacing w:line="360" w:lineRule="auto"/>
        <w:ind w:firstLine="600" w:firstLineChars="250"/>
        <w:rPr>
          <w:rFonts w:ascii="宋体" w:hAnsi="宋体" w:cs="宋体"/>
          <w:color w:val="auto"/>
          <w:sz w:val="24"/>
          <w:highlight w:val="none"/>
          <w:u w:val="single"/>
        </w:rPr>
      </w:pPr>
      <w:r>
        <w:rPr>
          <w:rFonts w:hint="eastAsia" w:ascii="宋体" w:hAnsi="宋体" w:cs="宋体"/>
          <w:color w:val="auto"/>
          <w:sz w:val="24"/>
          <w:highlight w:val="none"/>
        </w:rPr>
        <w:t>邮政编码：</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2AEA6D49">
      <w:p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w:t>
      </w:r>
    </w:p>
    <w:p w14:paraId="66025859">
      <w:pPr>
        <w:pStyle w:val="5"/>
        <w:rPr>
          <w:rFonts w:hint="eastAsia" w:ascii="Arial" w:hAnsi="Arial"/>
          <w:sz w:val="28"/>
          <w:szCs w:val="32"/>
        </w:rPr>
      </w:pPr>
      <w:bookmarkStart w:id="49" w:name="_Toc74760808"/>
      <w:bookmarkStart w:id="50" w:name="_Toc523921585"/>
      <w:r>
        <w:rPr>
          <w:rFonts w:hint="eastAsia" w:ascii="Arial" w:hAnsi="Arial"/>
          <w:sz w:val="28"/>
          <w:szCs w:val="32"/>
        </w:rPr>
        <w:t>9</w:t>
      </w:r>
      <w:r>
        <w:rPr>
          <w:rFonts w:hint="eastAsia"/>
          <w:sz w:val="28"/>
          <w:szCs w:val="32"/>
          <w:lang w:val="en-US" w:eastAsia="zh-CN"/>
        </w:rPr>
        <w:t xml:space="preserve">. </w:t>
      </w:r>
      <w:r>
        <w:rPr>
          <w:rFonts w:hint="eastAsia" w:ascii="Arial" w:hAnsi="Arial"/>
          <w:sz w:val="28"/>
          <w:szCs w:val="32"/>
        </w:rPr>
        <w:t>联系方式</w:t>
      </w:r>
      <w:bookmarkEnd w:id="49"/>
      <w:bookmarkEnd w:id="50"/>
    </w:p>
    <w:p w14:paraId="068DE93E">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招</w:t>
      </w:r>
      <w:r>
        <w:rPr>
          <w:rFonts w:ascii="宋体" w:hAnsi="宋体" w:cs="宋体"/>
          <w:color w:val="auto"/>
          <w:sz w:val="24"/>
          <w:highlight w:val="none"/>
        </w:rPr>
        <w:t xml:space="preserve"> </w:t>
      </w:r>
      <w:r>
        <w:rPr>
          <w:rFonts w:hint="eastAsia" w:ascii="宋体" w:hAnsi="宋体" w:cs="宋体"/>
          <w:color w:val="auto"/>
          <w:sz w:val="24"/>
          <w:highlight w:val="none"/>
        </w:rPr>
        <w:t>标</w:t>
      </w:r>
      <w:r>
        <w:rPr>
          <w:rFonts w:ascii="宋体" w:hAnsi="宋体" w:cs="宋体"/>
          <w:color w:val="auto"/>
          <w:sz w:val="24"/>
          <w:highlight w:val="none"/>
        </w:rPr>
        <w:t xml:space="preserve"> </w:t>
      </w:r>
      <w:r>
        <w:rPr>
          <w:rFonts w:hint="eastAsia" w:ascii="宋体" w:hAnsi="宋体" w:cs="宋体"/>
          <w:color w:val="auto"/>
          <w:sz w:val="24"/>
          <w:highlight w:val="none"/>
        </w:rPr>
        <w:t>人：</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630D9947">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4BD526B0">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邮政编码：</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20F67B04">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联</w:t>
      </w:r>
      <w:r>
        <w:rPr>
          <w:rFonts w:ascii="宋体" w:hAnsi="宋体" w:cs="宋体"/>
          <w:color w:val="auto"/>
          <w:sz w:val="24"/>
          <w:highlight w:val="none"/>
        </w:rPr>
        <w:t xml:space="preserve"> </w:t>
      </w:r>
      <w:r>
        <w:rPr>
          <w:rFonts w:hint="eastAsia" w:ascii="宋体" w:hAnsi="宋体" w:cs="宋体"/>
          <w:color w:val="auto"/>
          <w:sz w:val="24"/>
          <w:highlight w:val="none"/>
        </w:rPr>
        <w:t>系</w:t>
      </w:r>
      <w:r>
        <w:rPr>
          <w:rFonts w:ascii="宋体" w:hAnsi="宋体" w:cs="宋体"/>
          <w:color w:val="auto"/>
          <w:sz w:val="24"/>
          <w:highlight w:val="none"/>
        </w:rPr>
        <w:t xml:space="preserve"> </w:t>
      </w:r>
      <w:r>
        <w:rPr>
          <w:rFonts w:hint="eastAsia" w:ascii="宋体" w:hAnsi="宋体" w:cs="宋体"/>
          <w:color w:val="auto"/>
          <w:sz w:val="24"/>
          <w:highlight w:val="none"/>
        </w:rPr>
        <w:t>人：</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6764CC83">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电</w:t>
      </w:r>
      <w:r>
        <w:rPr>
          <w:rFonts w:ascii="宋体" w:hAnsi="宋体" w:cs="宋体"/>
          <w:color w:val="auto"/>
          <w:sz w:val="24"/>
          <w:highlight w:val="none"/>
        </w:rPr>
        <w:t xml:space="preserve">    </w:t>
      </w:r>
      <w:r>
        <w:rPr>
          <w:rFonts w:hint="eastAsia" w:ascii="宋体" w:hAnsi="宋体" w:cs="宋体"/>
          <w:color w:val="auto"/>
          <w:sz w:val="24"/>
          <w:highlight w:val="none"/>
        </w:rPr>
        <w:t>话：</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1D346F27">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传</w:t>
      </w:r>
      <w:r>
        <w:rPr>
          <w:rFonts w:ascii="宋体" w:hAnsi="宋体" w:cs="宋体"/>
          <w:color w:val="auto"/>
          <w:sz w:val="24"/>
          <w:highlight w:val="none"/>
        </w:rPr>
        <w:t xml:space="preserve">    </w:t>
      </w:r>
      <w:r>
        <w:rPr>
          <w:rFonts w:hint="eastAsia" w:ascii="宋体" w:hAnsi="宋体" w:cs="宋体"/>
          <w:color w:val="auto"/>
          <w:sz w:val="24"/>
          <w:highlight w:val="none"/>
        </w:rPr>
        <w:t>真：</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0E21B242">
      <w:pPr>
        <w:spacing w:line="360" w:lineRule="auto"/>
        <w:ind w:firstLine="480" w:firstLineChars="200"/>
        <w:rPr>
          <w:rFonts w:ascii="宋体" w:hAnsi="宋体" w:cs="宋体"/>
          <w:color w:val="auto"/>
          <w:sz w:val="24"/>
          <w:highlight w:val="none"/>
        </w:rPr>
      </w:pPr>
    </w:p>
    <w:p w14:paraId="7C6AE740">
      <w:pPr>
        <w:spacing w:line="360" w:lineRule="auto"/>
        <w:ind w:firstLine="602" w:firstLineChars="250"/>
        <w:rPr>
          <w:rFonts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color w:val="auto"/>
          <w:sz w:val="24"/>
          <w:highlight w:val="none"/>
        </w:rPr>
        <w:t>招标代理机构：</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Style w:val="58"/>
          <w:rFonts w:ascii="宋体" w:hAnsi="宋体" w:cs="宋体"/>
          <w:color w:val="auto"/>
          <w:sz w:val="24"/>
          <w:highlight w:val="none"/>
        </w:rPr>
        <w:footnoteReference w:id="21"/>
      </w:r>
      <w:r>
        <w:rPr>
          <w:rFonts w:ascii="宋体" w:hAnsi="宋体" w:cs="宋体"/>
          <w:color w:val="auto"/>
          <w:sz w:val="24"/>
          <w:highlight w:val="none"/>
        </w:rPr>
        <w:t xml:space="preserve">  </w:t>
      </w:r>
    </w:p>
    <w:p w14:paraId="05425A50">
      <w:pPr>
        <w:spacing w:line="360" w:lineRule="auto"/>
        <w:ind w:firstLine="602" w:firstLineChars="250"/>
        <w:rPr>
          <w:rFonts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color w:val="auto"/>
          <w:sz w:val="24"/>
          <w:highlight w:val="none"/>
        </w:rPr>
        <w:t>地</w:t>
      </w:r>
      <w:r>
        <w:rPr>
          <w:rFonts w:ascii="宋体" w:hAnsi="宋体" w:cs="宋体"/>
          <w:color w:val="auto"/>
          <w:sz w:val="24"/>
          <w:highlight w:val="none"/>
        </w:rPr>
        <w:t xml:space="preserve">    </w:t>
      </w:r>
      <w:r>
        <w:rPr>
          <w:rFonts w:hint="eastAsia" w:ascii="宋体" w:hAnsi="宋体" w:cs="宋体"/>
          <w:color w:val="auto"/>
          <w:sz w:val="24"/>
          <w:highlight w:val="none"/>
        </w:rPr>
        <w:t>址：</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33104B79">
      <w:pPr>
        <w:spacing w:line="360" w:lineRule="auto"/>
        <w:ind w:firstLine="602" w:firstLineChars="250"/>
        <w:rPr>
          <w:rFonts w:ascii="宋体" w:hAnsi="宋体" w:cs="宋体"/>
          <w:color w:val="auto"/>
          <w:sz w:val="24"/>
          <w:highlight w:val="none"/>
        </w:rPr>
      </w:pPr>
      <w:r>
        <w:rPr>
          <w:rFonts w:hint="eastAsia" w:ascii="宋体" w:hAnsi="宋体" w:cs="宋体"/>
          <w:b/>
          <w:bCs/>
          <w:color w:val="auto"/>
          <w:sz w:val="24"/>
          <w:highlight w:val="none"/>
        </w:rPr>
        <w:sym w:font="Wingdings 2" w:char="00A3"/>
      </w:r>
      <w:r>
        <w:rPr>
          <w:rFonts w:hint="eastAsia" w:ascii="宋体" w:hAnsi="宋体" w:cs="宋体"/>
          <w:color w:val="auto"/>
          <w:sz w:val="24"/>
          <w:highlight w:val="none"/>
        </w:rPr>
        <w:t>邮政编码：</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5628D18D">
      <w:pPr>
        <w:spacing w:line="360" w:lineRule="auto"/>
        <w:ind w:firstLine="602" w:firstLineChars="250"/>
        <w:rPr>
          <w:rFonts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color w:val="auto"/>
          <w:sz w:val="24"/>
          <w:highlight w:val="none"/>
        </w:rPr>
        <w:t>联</w:t>
      </w:r>
      <w:r>
        <w:rPr>
          <w:rFonts w:ascii="宋体" w:hAnsi="宋体" w:cs="宋体"/>
          <w:color w:val="auto"/>
          <w:sz w:val="24"/>
          <w:highlight w:val="none"/>
        </w:rPr>
        <w:t xml:space="preserve"> </w:t>
      </w:r>
      <w:r>
        <w:rPr>
          <w:rFonts w:hint="eastAsia" w:ascii="宋体" w:hAnsi="宋体" w:cs="宋体"/>
          <w:color w:val="auto"/>
          <w:sz w:val="24"/>
          <w:highlight w:val="none"/>
        </w:rPr>
        <w:t>系</w:t>
      </w:r>
      <w:r>
        <w:rPr>
          <w:rFonts w:ascii="宋体" w:hAnsi="宋体" w:cs="宋体"/>
          <w:color w:val="auto"/>
          <w:sz w:val="24"/>
          <w:highlight w:val="none"/>
        </w:rPr>
        <w:t xml:space="preserve"> </w:t>
      </w:r>
      <w:r>
        <w:rPr>
          <w:rFonts w:hint="eastAsia" w:ascii="宋体" w:hAnsi="宋体" w:cs="宋体"/>
          <w:color w:val="auto"/>
          <w:sz w:val="24"/>
          <w:highlight w:val="none"/>
        </w:rPr>
        <w:t>人：</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1C01BC20">
      <w:pPr>
        <w:spacing w:line="360" w:lineRule="auto"/>
        <w:ind w:firstLine="602" w:firstLineChars="250"/>
        <w:rPr>
          <w:rFonts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color w:val="auto"/>
          <w:sz w:val="24"/>
          <w:highlight w:val="none"/>
        </w:rPr>
        <w:t>电</w:t>
      </w:r>
      <w:r>
        <w:rPr>
          <w:rFonts w:ascii="宋体" w:hAnsi="宋体" w:cs="宋体"/>
          <w:color w:val="auto"/>
          <w:sz w:val="24"/>
          <w:highlight w:val="none"/>
        </w:rPr>
        <w:t xml:space="preserve">    </w:t>
      </w:r>
      <w:r>
        <w:rPr>
          <w:rFonts w:hint="eastAsia" w:ascii="宋体" w:hAnsi="宋体" w:cs="宋体"/>
          <w:color w:val="auto"/>
          <w:sz w:val="24"/>
          <w:highlight w:val="none"/>
        </w:rPr>
        <w:t>话：</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6AF45D62">
      <w:pPr>
        <w:spacing w:line="360" w:lineRule="auto"/>
        <w:ind w:firstLine="602" w:firstLineChars="250"/>
        <w:rPr>
          <w:rFonts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color w:val="auto"/>
          <w:sz w:val="24"/>
          <w:highlight w:val="none"/>
        </w:rPr>
        <w:t>传</w:t>
      </w:r>
      <w:r>
        <w:rPr>
          <w:rFonts w:ascii="宋体" w:hAnsi="宋体" w:cs="宋体"/>
          <w:color w:val="auto"/>
          <w:sz w:val="24"/>
          <w:highlight w:val="none"/>
        </w:rPr>
        <w:t xml:space="preserve">    </w:t>
      </w:r>
      <w:r>
        <w:rPr>
          <w:rFonts w:hint="eastAsia" w:ascii="宋体" w:hAnsi="宋体" w:cs="宋体"/>
          <w:color w:val="auto"/>
          <w:sz w:val="24"/>
          <w:highlight w:val="none"/>
        </w:rPr>
        <w:t>真：</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6B4AD6C2">
      <w:pPr>
        <w:spacing w:line="360" w:lineRule="auto"/>
        <w:ind w:firstLine="480" w:firstLineChars="200"/>
        <w:rPr>
          <w:rFonts w:ascii="宋体" w:hAnsi="宋体" w:cs="宋体"/>
          <w:color w:val="auto"/>
          <w:sz w:val="24"/>
          <w:highlight w:val="none"/>
        </w:rPr>
      </w:pPr>
    </w:p>
    <w:p w14:paraId="2545A92F">
      <w:pPr>
        <w:widowControl/>
        <w:jc w:val="left"/>
        <w:rPr>
          <w:rFonts w:ascii="宋体" w:hAnsi="宋体" w:cs="宋体"/>
          <w:color w:val="auto"/>
          <w:highlight w:val="none"/>
        </w:rPr>
      </w:pP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ascii="宋体" w:hAnsi="宋体" w:cs="宋体"/>
          <w:color w:val="auto"/>
          <w:sz w:val="24"/>
          <w:highlight w:val="none"/>
        </w:rPr>
        <w:t xml:space="preserve"> 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14:paraId="1069B3A6">
      <w:pPr>
        <w:rPr>
          <w:rFonts w:hint="eastAsia" w:ascii="黑体" w:hAnsi="黑体" w:eastAsia="黑体" w:cs="宋体"/>
          <w:b w:val="0"/>
          <w:color w:val="auto"/>
          <w:sz w:val="24"/>
          <w:szCs w:val="24"/>
          <w:highlight w:val="none"/>
        </w:rPr>
      </w:pPr>
      <w:bookmarkStart w:id="51" w:name="_Toc74760809"/>
      <w:bookmarkStart w:id="52" w:name="_Toc28187708"/>
      <w:r>
        <w:rPr>
          <w:rFonts w:hint="eastAsia" w:ascii="黑体" w:hAnsi="黑体" w:eastAsia="黑体" w:cs="宋体"/>
          <w:b w:val="0"/>
          <w:color w:val="auto"/>
          <w:sz w:val="24"/>
          <w:szCs w:val="24"/>
          <w:highlight w:val="none"/>
        </w:rPr>
        <w:br w:type="page"/>
      </w:r>
    </w:p>
    <w:p w14:paraId="1C86CECC">
      <w:pPr>
        <w:rPr>
          <w:rFonts w:hint="eastAsia" w:ascii="黑体" w:hAnsi="黑体" w:eastAsia="黑体" w:cs="黑体"/>
          <w:b w:val="0"/>
          <w:sz w:val="28"/>
          <w:szCs w:val="32"/>
          <w:u w:val="single"/>
        </w:rPr>
      </w:pPr>
      <w:r>
        <w:rPr>
          <w:rFonts w:hint="eastAsia" w:ascii="黑体" w:hAnsi="黑体" w:eastAsia="黑体" w:cs="宋体"/>
          <w:b w:val="0"/>
          <w:color w:val="auto"/>
          <w:sz w:val="24"/>
          <w:szCs w:val="24"/>
          <w:highlight w:val="none"/>
        </w:rPr>
        <w:t>附表一</w:t>
      </w:r>
      <w:bookmarkEnd w:id="51"/>
      <w:r>
        <w:rPr>
          <w:rStyle w:val="58"/>
          <w:rFonts w:hint="eastAsia" w:ascii="黑体" w:hAnsi="黑体" w:eastAsia="黑体"/>
          <w:b w:val="0"/>
          <w:bCs w:val="0"/>
          <w:color w:val="auto"/>
          <w:sz w:val="24"/>
          <w:highlight w:val="none"/>
        </w:rPr>
        <w:footnoteReference w:id="22"/>
      </w:r>
      <w:r>
        <w:rPr>
          <w:rFonts w:ascii="黑体" w:hAnsi="黑体" w:eastAsia="黑体" w:cs="宋体"/>
          <w:b w:val="0"/>
          <w:color w:val="auto"/>
          <w:sz w:val="24"/>
          <w:szCs w:val="24"/>
          <w:highlight w:val="none"/>
        </w:rPr>
        <w:t xml:space="preserve"> </w:t>
      </w:r>
    </w:p>
    <w:bookmarkEnd w:id="52"/>
    <w:p w14:paraId="4B379522">
      <w:pPr>
        <w:spacing w:line="360" w:lineRule="auto"/>
        <w:ind w:firstLine="1960" w:firstLineChars="700"/>
        <w:rPr>
          <w:rFonts w:hint="eastAsia" w:ascii="黑体" w:hAnsi="黑体" w:eastAsia="黑体" w:cs="黑体"/>
          <w:sz w:val="28"/>
          <w:szCs w:val="32"/>
          <w:u w:val="none"/>
        </w:rPr>
      </w:pPr>
      <w:r>
        <w:rPr>
          <w:rFonts w:hint="eastAsia" w:ascii="黑体" w:hAnsi="黑体" w:eastAsia="黑体" w:cs="黑体"/>
          <w:sz w:val="28"/>
          <w:szCs w:val="32"/>
          <w:u w:val="single"/>
        </w:rPr>
        <w:t xml:space="preserve">              </w:t>
      </w:r>
      <w:r>
        <w:rPr>
          <w:rFonts w:hint="eastAsia" w:ascii="黑体" w:hAnsi="黑体" w:eastAsia="黑体" w:cs="黑体"/>
          <w:sz w:val="28"/>
          <w:szCs w:val="32"/>
          <w:u w:val="none"/>
        </w:rPr>
        <w:t>（招标项目名称）招标</w:t>
      </w:r>
      <w:bookmarkStart w:id="53" w:name="_Toc74760811"/>
    </w:p>
    <w:p w14:paraId="342BECA1">
      <w:pPr>
        <w:spacing w:line="360" w:lineRule="auto"/>
        <w:ind w:firstLine="1400" w:firstLineChars="500"/>
        <w:rPr>
          <w:rFonts w:hint="eastAsia" w:ascii="黑体" w:hAnsi="黑体" w:eastAsia="黑体" w:cs="黑体"/>
          <w:sz w:val="28"/>
          <w:szCs w:val="32"/>
          <w:u w:val="none"/>
        </w:rPr>
      </w:pPr>
      <w:r>
        <w:rPr>
          <w:rFonts w:hint="eastAsia" w:ascii="黑体" w:hAnsi="黑体" w:eastAsia="黑体" w:cs="黑体"/>
          <w:sz w:val="28"/>
          <w:szCs w:val="32"/>
          <w:u w:val="none"/>
        </w:rPr>
        <w:t>标段划分、</w:t>
      </w:r>
      <w:r>
        <w:rPr>
          <w:rFonts w:hint="eastAsia" w:ascii="黑体" w:hAnsi="黑体" w:eastAsia="黑体" w:cs="黑体"/>
          <w:sz w:val="28"/>
          <w:szCs w:val="32"/>
          <w:u w:val="none"/>
          <w:lang w:val="en-US" w:eastAsia="zh-CN"/>
        </w:rPr>
        <w:t>主要</w:t>
      </w:r>
      <w:r>
        <w:rPr>
          <w:rFonts w:hint="eastAsia" w:ascii="黑体" w:hAnsi="黑体" w:eastAsia="黑体" w:cs="黑体"/>
          <w:sz w:val="28"/>
          <w:szCs w:val="32"/>
          <w:u w:val="none"/>
        </w:rPr>
        <w:t>工程内容及</w:t>
      </w:r>
      <w:r>
        <w:rPr>
          <w:rFonts w:hint="eastAsia" w:ascii="黑体" w:hAnsi="黑体" w:eastAsia="黑体" w:cs="黑体"/>
          <w:sz w:val="28"/>
          <w:szCs w:val="32"/>
          <w:u w:val="none"/>
          <w:lang w:val="en-US" w:eastAsia="zh-CN"/>
        </w:rPr>
        <w:t>规模、</w:t>
      </w:r>
      <w:r>
        <w:rPr>
          <w:rFonts w:hint="eastAsia" w:ascii="黑体" w:hAnsi="黑体" w:eastAsia="黑体" w:cs="黑体"/>
          <w:sz w:val="28"/>
          <w:szCs w:val="32"/>
          <w:u w:val="none"/>
        </w:rPr>
        <w:t>施工标段工期表</w:t>
      </w:r>
      <w:bookmarkEnd w:id="53"/>
    </w:p>
    <w:p w14:paraId="09C7461A">
      <w:pPr>
        <w:pStyle w:val="276"/>
        <w:rPr>
          <w:rFonts w:ascii="宋体" w:hAnsi="宋体" w:cs="宋体"/>
          <w:color w:val="auto"/>
          <w:highlight w:val="none"/>
        </w:rPr>
      </w:pPr>
    </w:p>
    <w:p w14:paraId="3530912E">
      <w:pPr>
        <w:pStyle w:val="276"/>
        <w:rPr>
          <w:rFonts w:ascii="宋体" w:hAnsi="宋体" w:cs="宋体"/>
          <w:color w:val="auto"/>
          <w:highlight w:val="none"/>
        </w:rPr>
      </w:pPr>
    </w:p>
    <w:tbl>
      <w:tblPr>
        <w:tblStyle w:val="48"/>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134"/>
        <w:gridCol w:w="992"/>
        <w:gridCol w:w="1559"/>
        <w:gridCol w:w="2340"/>
        <w:gridCol w:w="1159"/>
      </w:tblGrid>
      <w:tr w14:paraId="43B4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shd w:val="clear" w:color="auto" w:fill="auto"/>
            <w:vAlign w:val="center"/>
          </w:tcPr>
          <w:p w14:paraId="45B93E6B">
            <w:pPr>
              <w:widowControl/>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监理试验室标段</w:t>
            </w:r>
          </w:p>
        </w:tc>
        <w:tc>
          <w:tcPr>
            <w:tcW w:w="1134" w:type="dxa"/>
            <w:shd w:val="clear" w:color="auto" w:fill="auto"/>
            <w:vAlign w:val="center"/>
          </w:tcPr>
          <w:p w14:paraId="6036BC50">
            <w:pPr>
              <w:widowControl/>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lang w:val="en-US" w:eastAsia="zh-CN"/>
              </w:rPr>
              <w:t>对应</w:t>
            </w:r>
            <w:r>
              <w:rPr>
                <w:rFonts w:hint="eastAsia" w:ascii="宋体" w:hAnsi="宋体" w:cs="宋体"/>
                <w:bCs/>
                <w:color w:val="auto"/>
                <w:szCs w:val="21"/>
                <w:highlight w:val="none"/>
              </w:rPr>
              <w:t>施工监理标段</w:t>
            </w:r>
          </w:p>
        </w:tc>
        <w:tc>
          <w:tcPr>
            <w:tcW w:w="992" w:type="dxa"/>
            <w:shd w:val="clear" w:color="auto" w:fill="auto"/>
            <w:vAlign w:val="center"/>
          </w:tcPr>
          <w:p w14:paraId="2F58AE25">
            <w:pPr>
              <w:widowControl/>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对应施工标段</w:t>
            </w:r>
          </w:p>
        </w:tc>
        <w:tc>
          <w:tcPr>
            <w:tcW w:w="1559" w:type="dxa"/>
            <w:shd w:val="clear" w:color="000000" w:fill="FFFFFF"/>
            <w:vAlign w:val="center"/>
          </w:tcPr>
          <w:p w14:paraId="7B3717F8">
            <w:pPr>
              <w:widowControl/>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lang w:val="en-US" w:eastAsia="zh-CN"/>
              </w:rPr>
              <w:t>起讫桩号</w:t>
            </w:r>
          </w:p>
        </w:tc>
        <w:tc>
          <w:tcPr>
            <w:tcW w:w="2340" w:type="dxa"/>
            <w:shd w:val="clear" w:color="000000" w:fill="FFFFFF"/>
            <w:vAlign w:val="center"/>
          </w:tcPr>
          <w:p w14:paraId="411C9C3D">
            <w:pPr>
              <w:widowControl/>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主要工程内容</w:t>
            </w:r>
            <w:r>
              <w:rPr>
                <w:rFonts w:hint="eastAsia" w:ascii="宋体" w:hAnsi="宋体" w:cs="宋体"/>
                <w:bCs/>
                <w:color w:val="auto"/>
                <w:szCs w:val="21"/>
                <w:highlight w:val="none"/>
                <w:lang w:val="en-US" w:eastAsia="zh-CN"/>
              </w:rPr>
              <w:t>及规模</w:t>
            </w:r>
          </w:p>
        </w:tc>
        <w:tc>
          <w:tcPr>
            <w:tcW w:w="1159" w:type="dxa"/>
            <w:shd w:val="clear" w:color="000000" w:fill="FFFFFF"/>
            <w:vAlign w:val="center"/>
          </w:tcPr>
          <w:p w14:paraId="2EFB983F">
            <w:pPr>
              <w:widowControl/>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施工标段</w:t>
            </w:r>
          </w:p>
          <w:p w14:paraId="69162344">
            <w:pPr>
              <w:widowControl/>
              <w:jc w:val="center"/>
              <w:rPr>
                <w:rFonts w:ascii="宋体" w:hAnsi="宋体" w:cs="宋体"/>
                <w:bCs/>
                <w:color w:val="auto"/>
                <w:szCs w:val="21"/>
                <w:highlight w:val="none"/>
              </w:rPr>
            </w:pPr>
            <w:r>
              <w:rPr>
                <w:rFonts w:hint="eastAsia" w:ascii="宋体" w:hAnsi="宋体" w:cs="宋体"/>
                <w:bCs/>
                <w:color w:val="auto"/>
                <w:szCs w:val="21"/>
                <w:highlight w:val="none"/>
              </w:rPr>
              <w:t>工期</w:t>
            </w:r>
          </w:p>
        </w:tc>
      </w:tr>
      <w:tr w14:paraId="6076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vMerge w:val="restart"/>
            <w:vAlign w:val="center"/>
          </w:tcPr>
          <w:p w14:paraId="449A3265">
            <w:pPr>
              <w:widowControl/>
              <w:spacing w:line="200" w:lineRule="exact"/>
              <w:rPr>
                <w:rFonts w:ascii="宋体" w:hAnsi="宋体" w:cs="宋体"/>
                <w:b/>
                <w:color w:val="auto"/>
                <w:szCs w:val="21"/>
                <w:highlight w:val="none"/>
              </w:rPr>
            </w:pPr>
          </w:p>
        </w:tc>
        <w:tc>
          <w:tcPr>
            <w:tcW w:w="1134" w:type="dxa"/>
            <w:vMerge w:val="restart"/>
            <w:vAlign w:val="center"/>
          </w:tcPr>
          <w:p w14:paraId="779468A3">
            <w:pPr>
              <w:widowControl/>
              <w:spacing w:line="200" w:lineRule="exact"/>
              <w:jc w:val="center"/>
              <w:rPr>
                <w:rFonts w:ascii="宋体" w:hAnsi="宋体" w:cs="宋体"/>
                <w:b/>
                <w:color w:val="auto"/>
                <w:szCs w:val="21"/>
                <w:highlight w:val="none"/>
              </w:rPr>
            </w:pPr>
          </w:p>
        </w:tc>
        <w:tc>
          <w:tcPr>
            <w:tcW w:w="992" w:type="dxa"/>
            <w:vAlign w:val="center"/>
          </w:tcPr>
          <w:p w14:paraId="7FA766A0">
            <w:pPr>
              <w:widowControl/>
              <w:spacing w:line="200" w:lineRule="exact"/>
              <w:jc w:val="center"/>
              <w:rPr>
                <w:rFonts w:ascii="宋体" w:hAnsi="宋体" w:cs="宋体"/>
                <w:b/>
                <w:color w:val="auto"/>
                <w:szCs w:val="21"/>
                <w:highlight w:val="none"/>
              </w:rPr>
            </w:pPr>
          </w:p>
        </w:tc>
        <w:tc>
          <w:tcPr>
            <w:tcW w:w="1559" w:type="dxa"/>
            <w:vAlign w:val="center"/>
          </w:tcPr>
          <w:p w14:paraId="1A914B3E">
            <w:pPr>
              <w:widowControl/>
              <w:spacing w:line="200" w:lineRule="exact"/>
              <w:jc w:val="center"/>
              <w:rPr>
                <w:rFonts w:ascii="宋体" w:hAnsi="宋体" w:cs="宋体"/>
                <w:color w:val="auto"/>
                <w:szCs w:val="21"/>
                <w:highlight w:val="none"/>
              </w:rPr>
            </w:pPr>
          </w:p>
        </w:tc>
        <w:tc>
          <w:tcPr>
            <w:tcW w:w="2340" w:type="dxa"/>
            <w:vMerge w:val="restart"/>
            <w:vAlign w:val="center"/>
          </w:tcPr>
          <w:p w14:paraId="0D307787">
            <w:pPr>
              <w:widowControl/>
              <w:spacing w:line="200" w:lineRule="exact"/>
              <w:jc w:val="center"/>
              <w:rPr>
                <w:rFonts w:ascii="宋体" w:hAnsi="宋体" w:cs="宋体"/>
                <w:color w:val="auto"/>
                <w:szCs w:val="21"/>
                <w:highlight w:val="none"/>
              </w:rPr>
            </w:pPr>
          </w:p>
        </w:tc>
        <w:tc>
          <w:tcPr>
            <w:tcW w:w="1159" w:type="dxa"/>
          </w:tcPr>
          <w:p w14:paraId="7073F9E6">
            <w:pPr>
              <w:widowControl/>
              <w:spacing w:line="200" w:lineRule="exact"/>
              <w:jc w:val="center"/>
              <w:rPr>
                <w:rFonts w:ascii="宋体" w:hAnsi="宋体" w:cs="宋体"/>
                <w:color w:val="auto"/>
                <w:szCs w:val="21"/>
                <w:highlight w:val="none"/>
              </w:rPr>
            </w:pPr>
          </w:p>
        </w:tc>
      </w:tr>
      <w:tr w14:paraId="48B5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vMerge w:val="continue"/>
          </w:tcPr>
          <w:p w14:paraId="40F94751">
            <w:pPr>
              <w:widowControl/>
              <w:spacing w:line="200" w:lineRule="exact"/>
              <w:jc w:val="center"/>
              <w:rPr>
                <w:rFonts w:ascii="宋体" w:hAnsi="宋体" w:cs="宋体"/>
                <w:b/>
                <w:color w:val="auto"/>
                <w:szCs w:val="21"/>
                <w:highlight w:val="none"/>
              </w:rPr>
            </w:pPr>
          </w:p>
        </w:tc>
        <w:tc>
          <w:tcPr>
            <w:tcW w:w="1134" w:type="dxa"/>
            <w:vMerge w:val="continue"/>
            <w:vAlign w:val="center"/>
          </w:tcPr>
          <w:p w14:paraId="2E3AC9FA">
            <w:pPr>
              <w:widowControl/>
              <w:spacing w:line="200" w:lineRule="exact"/>
              <w:jc w:val="center"/>
              <w:rPr>
                <w:rFonts w:ascii="宋体" w:hAnsi="宋体" w:cs="宋体"/>
                <w:b/>
                <w:color w:val="auto"/>
                <w:szCs w:val="21"/>
                <w:highlight w:val="none"/>
              </w:rPr>
            </w:pPr>
          </w:p>
        </w:tc>
        <w:tc>
          <w:tcPr>
            <w:tcW w:w="992" w:type="dxa"/>
            <w:vAlign w:val="center"/>
          </w:tcPr>
          <w:p w14:paraId="1A6EF10C">
            <w:pPr>
              <w:widowControl/>
              <w:spacing w:line="200" w:lineRule="exact"/>
              <w:jc w:val="center"/>
              <w:rPr>
                <w:rFonts w:ascii="宋体" w:hAnsi="宋体" w:cs="宋体"/>
                <w:b/>
                <w:color w:val="auto"/>
                <w:szCs w:val="21"/>
                <w:highlight w:val="none"/>
              </w:rPr>
            </w:pPr>
          </w:p>
        </w:tc>
        <w:tc>
          <w:tcPr>
            <w:tcW w:w="1559" w:type="dxa"/>
            <w:vAlign w:val="center"/>
          </w:tcPr>
          <w:p w14:paraId="015E59DA">
            <w:pPr>
              <w:widowControl/>
              <w:spacing w:line="200" w:lineRule="exact"/>
              <w:jc w:val="center"/>
              <w:rPr>
                <w:rFonts w:ascii="宋体" w:hAnsi="宋体" w:cs="宋体"/>
                <w:color w:val="auto"/>
                <w:szCs w:val="21"/>
                <w:highlight w:val="none"/>
              </w:rPr>
            </w:pPr>
          </w:p>
        </w:tc>
        <w:tc>
          <w:tcPr>
            <w:tcW w:w="2340" w:type="dxa"/>
            <w:vMerge w:val="continue"/>
            <w:vAlign w:val="center"/>
          </w:tcPr>
          <w:p w14:paraId="151456EB">
            <w:pPr>
              <w:widowControl/>
              <w:spacing w:line="200" w:lineRule="exact"/>
              <w:jc w:val="center"/>
              <w:rPr>
                <w:rFonts w:ascii="宋体" w:hAnsi="宋体" w:cs="宋体"/>
                <w:color w:val="auto"/>
                <w:szCs w:val="21"/>
                <w:highlight w:val="none"/>
              </w:rPr>
            </w:pPr>
          </w:p>
        </w:tc>
        <w:tc>
          <w:tcPr>
            <w:tcW w:w="1159" w:type="dxa"/>
          </w:tcPr>
          <w:p w14:paraId="61FFEB5D">
            <w:pPr>
              <w:widowControl/>
              <w:spacing w:line="200" w:lineRule="exact"/>
              <w:jc w:val="center"/>
              <w:rPr>
                <w:rFonts w:ascii="宋体" w:hAnsi="宋体" w:cs="宋体"/>
                <w:color w:val="auto"/>
                <w:szCs w:val="21"/>
                <w:highlight w:val="none"/>
              </w:rPr>
            </w:pPr>
          </w:p>
        </w:tc>
      </w:tr>
      <w:tr w14:paraId="52B4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vMerge w:val="continue"/>
          </w:tcPr>
          <w:p w14:paraId="06B0DF21">
            <w:pPr>
              <w:widowControl/>
              <w:spacing w:line="200" w:lineRule="exact"/>
              <w:jc w:val="center"/>
              <w:rPr>
                <w:rFonts w:ascii="宋体" w:hAnsi="宋体" w:cs="宋体"/>
                <w:b/>
                <w:color w:val="auto"/>
                <w:szCs w:val="21"/>
                <w:highlight w:val="none"/>
              </w:rPr>
            </w:pPr>
          </w:p>
        </w:tc>
        <w:tc>
          <w:tcPr>
            <w:tcW w:w="1134" w:type="dxa"/>
            <w:vMerge w:val="continue"/>
            <w:vAlign w:val="center"/>
          </w:tcPr>
          <w:p w14:paraId="258A8B6B">
            <w:pPr>
              <w:widowControl/>
              <w:spacing w:line="200" w:lineRule="exact"/>
              <w:jc w:val="center"/>
              <w:rPr>
                <w:rFonts w:ascii="宋体" w:hAnsi="宋体" w:cs="宋体"/>
                <w:b/>
                <w:color w:val="auto"/>
                <w:szCs w:val="21"/>
                <w:highlight w:val="none"/>
              </w:rPr>
            </w:pPr>
          </w:p>
        </w:tc>
        <w:tc>
          <w:tcPr>
            <w:tcW w:w="992" w:type="dxa"/>
            <w:vAlign w:val="center"/>
          </w:tcPr>
          <w:p w14:paraId="62188BD2">
            <w:pPr>
              <w:widowControl/>
              <w:spacing w:line="200" w:lineRule="exact"/>
              <w:jc w:val="center"/>
              <w:rPr>
                <w:rFonts w:ascii="宋体" w:hAnsi="宋体" w:cs="宋体"/>
                <w:b/>
                <w:color w:val="auto"/>
                <w:szCs w:val="21"/>
                <w:highlight w:val="none"/>
              </w:rPr>
            </w:pPr>
          </w:p>
        </w:tc>
        <w:tc>
          <w:tcPr>
            <w:tcW w:w="1559" w:type="dxa"/>
            <w:vAlign w:val="center"/>
          </w:tcPr>
          <w:p w14:paraId="103265DB">
            <w:pPr>
              <w:widowControl/>
              <w:spacing w:line="200" w:lineRule="exact"/>
              <w:jc w:val="center"/>
              <w:rPr>
                <w:rFonts w:ascii="宋体" w:hAnsi="宋体" w:cs="宋体"/>
                <w:color w:val="auto"/>
                <w:szCs w:val="21"/>
                <w:highlight w:val="none"/>
              </w:rPr>
            </w:pPr>
          </w:p>
        </w:tc>
        <w:tc>
          <w:tcPr>
            <w:tcW w:w="2340" w:type="dxa"/>
            <w:vMerge w:val="continue"/>
            <w:vAlign w:val="center"/>
          </w:tcPr>
          <w:p w14:paraId="6C4F4221">
            <w:pPr>
              <w:widowControl/>
              <w:spacing w:line="200" w:lineRule="exact"/>
              <w:jc w:val="center"/>
              <w:rPr>
                <w:rFonts w:ascii="宋体" w:hAnsi="宋体" w:cs="宋体"/>
                <w:color w:val="auto"/>
                <w:szCs w:val="21"/>
                <w:highlight w:val="none"/>
              </w:rPr>
            </w:pPr>
          </w:p>
        </w:tc>
        <w:tc>
          <w:tcPr>
            <w:tcW w:w="1159" w:type="dxa"/>
          </w:tcPr>
          <w:p w14:paraId="6EF7DD99">
            <w:pPr>
              <w:widowControl/>
              <w:spacing w:line="200" w:lineRule="exact"/>
              <w:jc w:val="center"/>
              <w:rPr>
                <w:rFonts w:ascii="宋体" w:hAnsi="宋体" w:cs="宋体"/>
                <w:color w:val="auto"/>
                <w:szCs w:val="21"/>
                <w:highlight w:val="none"/>
              </w:rPr>
            </w:pPr>
          </w:p>
        </w:tc>
      </w:tr>
      <w:tr w14:paraId="1C2C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vMerge w:val="continue"/>
          </w:tcPr>
          <w:p w14:paraId="2ACC2A85">
            <w:pPr>
              <w:widowControl/>
              <w:spacing w:line="200" w:lineRule="exact"/>
              <w:jc w:val="center"/>
              <w:rPr>
                <w:rFonts w:ascii="宋体" w:hAnsi="宋体" w:cs="宋体"/>
                <w:b/>
                <w:color w:val="auto"/>
                <w:szCs w:val="21"/>
                <w:highlight w:val="none"/>
              </w:rPr>
            </w:pPr>
          </w:p>
        </w:tc>
        <w:tc>
          <w:tcPr>
            <w:tcW w:w="1134" w:type="dxa"/>
            <w:vMerge w:val="continue"/>
            <w:vAlign w:val="center"/>
          </w:tcPr>
          <w:p w14:paraId="1A1A3F37">
            <w:pPr>
              <w:widowControl/>
              <w:spacing w:line="200" w:lineRule="exact"/>
              <w:jc w:val="center"/>
              <w:rPr>
                <w:rFonts w:ascii="宋体" w:hAnsi="宋体" w:cs="宋体"/>
                <w:b/>
                <w:color w:val="auto"/>
                <w:szCs w:val="21"/>
                <w:highlight w:val="none"/>
              </w:rPr>
            </w:pPr>
          </w:p>
        </w:tc>
        <w:tc>
          <w:tcPr>
            <w:tcW w:w="992" w:type="dxa"/>
            <w:vAlign w:val="center"/>
          </w:tcPr>
          <w:p w14:paraId="0CAC0D3E">
            <w:pPr>
              <w:widowControl/>
              <w:spacing w:line="200" w:lineRule="exact"/>
              <w:jc w:val="center"/>
              <w:rPr>
                <w:rFonts w:ascii="宋体" w:hAnsi="宋体" w:cs="宋体"/>
                <w:b/>
                <w:color w:val="auto"/>
                <w:szCs w:val="21"/>
                <w:highlight w:val="none"/>
              </w:rPr>
            </w:pPr>
          </w:p>
        </w:tc>
        <w:tc>
          <w:tcPr>
            <w:tcW w:w="1559" w:type="dxa"/>
            <w:vAlign w:val="center"/>
          </w:tcPr>
          <w:p w14:paraId="08F03F0D">
            <w:pPr>
              <w:widowControl/>
              <w:spacing w:line="200" w:lineRule="exact"/>
              <w:jc w:val="center"/>
              <w:rPr>
                <w:rFonts w:ascii="宋体" w:hAnsi="宋体" w:cs="宋体"/>
                <w:color w:val="auto"/>
                <w:szCs w:val="21"/>
                <w:highlight w:val="none"/>
              </w:rPr>
            </w:pPr>
          </w:p>
        </w:tc>
        <w:tc>
          <w:tcPr>
            <w:tcW w:w="2340" w:type="dxa"/>
            <w:vMerge w:val="continue"/>
            <w:vAlign w:val="center"/>
          </w:tcPr>
          <w:p w14:paraId="0EAE7A59">
            <w:pPr>
              <w:widowControl/>
              <w:spacing w:line="200" w:lineRule="exact"/>
              <w:jc w:val="center"/>
              <w:rPr>
                <w:rFonts w:ascii="宋体" w:hAnsi="宋体" w:cs="宋体"/>
                <w:color w:val="auto"/>
                <w:szCs w:val="21"/>
                <w:highlight w:val="none"/>
              </w:rPr>
            </w:pPr>
          </w:p>
        </w:tc>
        <w:tc>
          <w:tcPr>
            <w:tcW w:w="1159" w:type="dxa"/>
          </w:tcPr>
          <w:p w14:paraId="2059FA50">
            <w:pPr>
              <w:widowControl/>
              <w:spacing w:line="200" w:lineRule="exact"/>
              <w:jc w:val="center"/>
              <w:rPr>
                <w:rFonts w:ascii="宋体" w:hAnsi="宋体" w:cs="宋体"/>
                <w:color w:val="auto"/>
                <w:szCs w:val="21"/>
                <w:highlight w:val="none"/>
              </w:rPr>
            </w:pPr>
          </w:p>
        </w:tc>
      </w:tr>
      <w:tr w14:paraId="13E8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vMerge w:val="continue"/>
          </w:tcPr>
          <w:p w14:paraId="761CA43A">
            <w:pPr>
              <w:widowControl/>
              <w:spacing w:line="200" w:lineRule="exact"/>
              <w:jc w:val="center"/>
              <w:rPr>
                <w:rFonts w:ascii="宋体" w:hAnsi="宋体" w:cs="宋体"/>
                <w:b/>
                <w:color w:val="auto"/>
                <w:szCs w:val="21"/>
                <w:highlight w:val="none"/>
              </w:rPr>
            </w:pPr>
          </w:p>
        </w:tc>
        <w:tc>
          <w:tcPr>
            <w:tcW w:w="1134" w:type="dxa"/>
            <w:vMerge w:val="continue"/>
            <w:vAlign w:val="center"/>
          </w:tcPr>
          <w:p w14:paraId="6E0EEFD9">
            <w:pPr>
              <w:widowControl/>
              <w:spacing w:line="200" w:lineRule="exact"/>
              <w:jc w:val="center"/>
              <w:rPr>
                <w:rFonts w:ascii="宋体" w:hAnsi="宋体" w:cs="宋体"/>
                <w:b/>
                <w:color w:val="auto"/>
                <w:szCs w:val="21"/>
                <w:highlight w:val="none"/>
              </w:rPr>
            </w:pPr>
          </w:p>
        </w:tc>
        <w:tc>
          <w:tcPr>
            <w:tcW w:w="992" w:type="dxa"/>
            <w:vAlign w:val="center"/>
          </w:tcPr>
          <w:p w14:paraId="2F54E9CE">
            <w:pPr>
              <w:widowControl/>
              <w:spacing w:line="200" w:lineRule="exact"/>
              <w:jc w:val="center"/>
              <w:rPr>
                <w:rFonts w:ascii="宋体" w:hAnsi="宋体" w:cs="宋体"/>
                <w:b/>
                <w:color w:val="auto"/>
                <w:szCs w:val="21"/>
                <w:highlight w:val="none"/>
              </w:rPr>
            </w:pPr>
          </w:p>
        </w:tc>
        <w:tc>
          <w:tcPr>
            <w:tcW w:w="1559" w:type="dxa"/>
            <w:vAlign w:val="center"/>
          </w:tcPr>
          <w:p w14:paraId="6DFCB985">
            <w:pPr>
              <w:widowControl/>
              <w:spacing w:line="200" w:lineRule="exact"/>
              <w:jc w:val="center"/>
              <w:rPr>
                <w:rFonts w:ascii="宋体" w:hAnsi="宋体" w:cs="宋体"/>
                <w:color w:val="auto"/>
                <w:szCs w:val="21"/>
                <w:highlight w:val="none"/>
              </w:rPr>
            </w:pPr>
          </w:p>
        </w:tc>
        <w:tc>
          <w:tcPr>
            <w:tcW w:w="2340" w:type="dxa"/>
            <w:vMerge w:val="continue"/>
            <w:vAlign w:val="center"/>
          </w:tcPr>
          <w:p w14:paraId="5D4BD3E4">
            <w:pPr>
              <w:widowControl/>
              <w:spacing w:line="200" w:lineRule="exact"/>
              <w:jc w:val="center"/>
              <w:rPr>
                <w:rFonts w:ascii="宋体" w:hAnsi="宋体" w:cs="宋体"/>
                <w:color w:val="auto"/>
                <w:szCs w:val="21"/>
                <w:highlight w:val="none"/>
              </w:rPr>
            </w:pPr>
          </w:p>
        </w:tc>
        <w:tc>
          <w:tcPr>
            <w:tcW w:w="1159" w:type="dxa"/>
          </w:tcPr>
          <w:p w14:paraId="7CF6D9E4">
            <w:pPr>
              <w:widowControl/>
              <w:spacing w:line="200" w:lineRule="exact"/>
              <w:jc w:val="center"/>
              <w:rPr>
                <w:rFonts w:ascii="宋体" w:hAnsi="宋体" w:cs="宋体"/>
                <w:color w:val="auto"/>
                <w:szCs w:val="21"/>
                <w:highlight w:val="none"/>
              </w:rPr>
            </w:pPr>
          </w:p>
        </w:tc>
      </w:tr>
      <w:tr w14:paraId="112C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vMerge w:val="restart"/>
            <w:vAlign w:val="center"/>
          </w:tcPr>
          <w:p w14:paraId="583A6BF9">
            <w:pPr>
              <w:widowControl/>
              <w:spacing w:line="200" w:lineRule="exact"/>
              <w:rPr>
                <w:rFonts w:ascii="宋体" w:hAnsi="宋体" w:cs="宋体"/>
                <w:b/>
                <w:color w:val="auto"/>
                <w:szCs w:val="21"/>
                <w:highlight w:val="none"/>
              </w:rPr>
            </w:pPr>
          </w:p>
        </w:tc>
        <w:tc>
          <w:tcPr>
            <w:tcW w:w="1134" w:type="dxa"/>
            <w:vMerge w:val="restart"/>
            <w:vAlign w:val="center"/>
          </w:tcPr>
          <w:p w14:paraId="0D1CB7B2">
            <w:pPr>
              <w:widowControl/>
              <w:spacing w:line="200" w:lineRule="exact"/>
              <w:jc w:val="center"/>
              <w:rPr>
                <w:rFonts w:ascii="宋体" w:hAnsi="宋体" w:cs="宋体"/>
                <w:b/>
                <w:color w:val="auto"/>
                <w:szCs w:val="21"/>
                <w:highlight w:val="none"/>
              </w:rPr>
            </w:pPr>
          </w:p>
        </w:tc>
        <w:tc>
          <w:tcPr>
            <w:tcW w:w="992" w:type="dxa"/>
            <w:vAlign w:val="center"/>
          </w:tcPr>
          <w:p w14:paraId="47A24DCF">
            <w:pPr>
              <w:widowControl/>
              <w:spacing w:line="200" w:lineRule="exact"/>
              <w:jc w:val="center"/>
              <w:rPr>
                <w:rFonts w:ascii="宋体" w:hAnsi="宋体" w:cs="宋体"/>
                <w:b/>
                <w:color w:val="auto"/>
                <w:szCs w:val="21"/>
                <w:highlight w:val="none"/>
              </w:rPr>
            </w:pPr>
          </w:p>
        </w:tc>
        <w:tc>
          <w:tcPr>
            <w:tcW w:w="1559" w:type="dxa"/>
            <w:vAlign w:val="center"/>
          </w:tcPr>
          <w:p w14:paraId="05D47CEA">
            <w:pPr>
              <w:widowControl/>
              <w:spacing w:line="200" w:lineRule="exact"/>
              <w:jc w:val="center"/>
              <w:rPr>
                <w:rFonts w:ascii="宋体" w:hAnsi="宋体" w:cs="宋体"/>
                <w:color w:val="auto"/>
                <w:szCs w:val="21"/>
                <w:highlight w:val="none"/>
              </w:rPr>
            </w:pPr>
          </w:p>
        </w:tc>
        <w:tc>
          <w:tcPr>
            <w:tcW w:w="2340" w:type="dxa"/>
            <w:vMerge w:val="restart"/>
            <w:vAlign w:val="center"/>
          </w:tcPr>
          <w:p w14:paraId="2D53989F">
            <w:pPr>
              <w:widowControl/>
              <w:spacing w:line="200" w:lineRule="exact"/>
              <w:jc w:val="center"/>
              <w:rPr>
                <w:rFonts w:ascii="宋体" w:hAnsi="宋体" w:cs="宋体"/>
                <w:color w:val="auto"/>
                <w:szCs w:val="21"/>
                <w:highlight w:val="none"/>
              </w:rPr>
            </w:pPr>
          </w:p>
        </w:tc>
        <w:tc>
          <w:tcPr>
            <w:tcW w:w="1159" w:type="dxa"/>
          </w:tcPr>
          <w:p w14:paraId="295B1889">
            <w:pPr>
              <w:widowControl/>
              <w:spacing w:line="200" w:lineRule="exact"/>
              <w:jc w:val="center"/>
              <w:rPr>
                <w:rFonts w:ascii="宋体" w:hAnsi="宋体" w:cs="宋体"/>
                <w:color w:val="auto"/>
                <w:szCs w:val="21"/>
                <w:highlight w:val="none"/>
              </w:rPr>
            </w:pPr>
          </w:p>
        </w:tc>
      </w:tr>
      <w:tr w14:paraId="4A67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vMerge w:val="continue"/>
          </w:tcPr>
          <w:p w14:paraId="5B50D3E0">
            <w:pPr>
              <w:widowControl/>
              <w:spacing w:line="200" w:lineRule="exact"/>
              <w:jc w:val="center"/>
              <w:rPr>
                <w:rFonts w:ascii="宋体" w:hAnsi="宋体" w:cs="宋体"/>
                <w:b/>
                <w:color w:val="auto"/>
                <w:szCs w:val="21"/>
                <w:highlight w:val="none"/>
              </w:rPr>
            </w:pPr>
          </w:p>
        </w:tc>
        <w:tc>
          <w:tcPr>
            <w:tcW w:w="1134" w:type="dxa"/>
            <w:vMerge w:val="continue"/>
            <w:vAlign w:val="center"/>
          </w:tcPr>
          <w:p w14:paraId="1D5B33EE">
            <w:pPr>
              <w:widowControl/>
              <w:spacing w:line="200" w:lineRule="exact"/>
              <w:jc w:val="center"/>
              <w:rPr>
                <w:rFonts w:ascii="宋体" w:hAnsi="宋体" w:cs="宋体"/>
                <w:b/>
                <w:color w:val="auto"/>
                <w:szCs w:val="21"/>
                <w:highlight w:val="none"/>
              </w:rPr>
            </w:pPr>
          </w:p>
        </w:tc>
        <w:tc>
          <w:tcPr>
            <w:tcW w:w="992" w:type="dxa"/>
            <w:vAlign w:val="center"/>
          </w:tcPr>
          <w:p w14:paraId="20214ADF">
            <w:pPr>
              <w:widowControl/>
              <w:spacing w:line="200" w:lineRule="exact"/>
              <w:jc w:val="center"/>
              <w:rPr>
                <w:rFonts w:ascii="宋体" w:hAnsi="宋体" w:cs="宋体"/>
                <w:b/>
                <w:color w:val="auto"/>
                <w:szCs w:val="21"/>
                <w:highlight w:val="none"/>
              </w:rPr>
            </w:pPr>
          </w:p>
        </w:tc>
        <w:tc>
          <w:tcPr>
            <w:tcW w:w="1559" w:type="dxa"/>
            <w:vAlign w:val="center"/>
          </w:tcPr>
          <w:p w14:paraId="7865CFE4">
            <w:pPr>
              <w:widowControl/>
              <w:spacing w:line="200" w:lineRule="exact"/>
              <w:jc w:val="center"/>
              <w:rPr>
                <w:rFonts w:ascii="宋体" w:hAnsi="宋体" w:cs="宋体"/>
                <w:color w:val="auto"/>
                <w:szCs w:val="21"/>
                <w:highlight w:val="none"/>
              </w:rPr>
            </w:pPr>
          </w:p>
        </w:tc>
        <w:tc>
          <w:tcPr>
            <w:tcW w:w="2340" w:type="dxa"/>
            <w:vMerge w:val="continue"/>
            <w:vAlign w:val="center"/>
          </w:tcPr>
          <w:p w14:paraId="4E71262E">
            <w:pPr>
              <w:widowControl/>
              <w:spacing w:line="200" w:lineRule="exact"/>
              <w:jc w:val="center"/>
              <w:rPr>
                <w:rFonts w:ascii="宋体" w:hAnsi="宋体" w:cs="宋体"/>
                <w:color w:val="auto"/>
                <w:szCs w:val="21"/>
                <w:highlight w:val="none"/>
              </w:rPr>
            </w:pPr>
          </w:p>
        </w:tc>
        <w:tc>
          <w:tcPr>
            <w:tcW w:w="1159" w:type="dxa"/>
          </w:tcPr>
          <w:p w14:paraId="44A22E83">
            <w:pPr>
              <w:widowControl/>
              <w:spacing w:line="200" w:lineRule="exact"/>
              <w:jc w:val="center"/>
              <w:rPr>
                <w:rFonts w:ascii="宋体" w:hAnsi="宋体" w:cs="宋体"/>
                <w:color w:val="auto"/>
                <w:szCs w:val="21"/>
                <w:highlight w:val="none"/>
              </w:rPr>
            </w:pPr>
          </w:p>
        </w:tc>
      </w:tr>
      <w:tr w14:paraId="0280A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vMerge w:val="continue"/>
          </w:tcPr>
          <w:p w14:paraId="0EDA0088">
            <w:pPr>
              <w:widowControl/>
              <w:spacing w:line="200" w:lineRule="exact"/>
              <w:jc w:val="center"/>
              <w:rPr>
                <w:rFonts w:ascii="宋体" w:hAnsi="宋体" w:cs="宋体"/>
                <w:b/>
                <w:color w:val="auto"/>
                <w:szCs w:val="21"/>
                <w:highlight w:val="none"/>
              </w:rPr>
            </w:pPr>
          </w:p>
        </w:tc>
        <w:tc>
          <w:tcPr>
            <w:tcW w:w="1134" w:type="dxa"/>
            <w:vMerge w:val="continue"/>
            <w:vAlign w:val="center"/>
          </w:tcPr>
          <w:p w14:paraId="3C416974">
            <w:pPr>
              <w:widowControl/>
              <w:spacing w:line="200" w:lineRule="exact"/>
              <w:jc w:val="center"/>
              <w:rPr>
                <w:rFonts w:ascii="宋体" w:hAnsi="宋体" w:cs="宋体"/>
                <w:b/>
                <w:color w:val="auto"/>
                <w:szCs w:val="21"/>
                <w:highlight w:val="none"/>
              </w:rPr>
            </w:pPr>
          </w:p>
        </w:tc>
        <w:tc>
          <w:tcPr>
            <w:tcW w:w="992" w:type="dxa"/>
            <w:vAlign w:val="center"/>
          </w:tcPr>
          <w:p w14:paraId="2A87AA46">
            <w:pPr>
              <w:widowControl/>
              <w:spacing w:line="200" w:lineRule="exact"/>
              <w:jc w:val="center"/>
              <w:rPr>
                <w:rFonts w:ascii="宋体" w:hAnsi="宋体" w:cs="宋体"/>
                <w:b/>
                <w:color w:val="auto"/>
                <w:szCs w:val="21"/>
                <w:highlight w:val="none"/>
              </w:rPr>
            </w:pPr>
          </w:p>
        </w:tc>
        <w:tc>
          <w:tcPr>
            <w:tcW w:w="1559" w:type="dxa"/>
            <w:vAlign w:val="center"/>
          </w:tcPr>
          <w:p w14:paraId="06869E8A">
            <w:pPr>
              <w:widowControl/>
              <w:spacing w:line="200" w:lineRule="exact"/>
              <w:jc w:val="center"/>
              <w:rPr>
                <w:rFonts w:ascii="宋体" w:hAnsi="宋体" w:cs="宋体"/>
                <w:color w:val="auto"/>
                <w:szCs w:val="21"/>
                <w:highlight w:val="none"/>
              </w:rPr>
            </w:pPr>
          </w:p>
        </w:tc>
        <w:tc>
          <w:tcPr>
            <w:tcW w:w="2340" w:type="dxa"/>
            <w:vMerge w:val="continue"/>
            <w:vAlign w:val="center"/>
          </w:tcPr>
          <w:p w14:paraId="3328DBF9">
            <w:pPr>
              <w:widowControl/>
              <w:spacing w:line="200" w:lineRule="exact"/>
              <w:jc w:val="center"/>
              <w:rPr>
                <w:rFonts w:ascii="宋体" w:hAnsi="宋体" w:cs="宋体"/>
                <w:color w:val="auto"/>
                <w:szCs w:val="21"/>
                <w:highlight w:val="none"/>
              </w:rPr>
            </w:pPr>
          </w:p>
        </w:tc>
        <w:tc>
          <w:tcPr>
            <w:tcW w:w="1159" w:type="dxa"/>
          </w:tcPr>
          <w:p w14:paraId="1C79D3B5">
            <w:pPr>
              <w:widowControl/>
              <w:spacing w:line="200" w:lineRule="exact"/>
              <w:jc w:val="center"/>
              <w:rPr>
                <w:rFonts w:ascii="宋体" w:hAnsi="宋体" w:cs="宋体"/>
                <w:color w:val="auto"/>
                <w:szCs w:val="21"/>
                <w:highlight w:val="none"/>
              </w:rPr>
            </w:pPr>
          </w:p>
        </w:tc>
      </w:tr>
      <w:tr w14:paraId="2715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vMerge w:val="continue"/>
          </w:tcPr>
          <w:p w14:paraId="67288763">
            <w:pPr>
              <w:widowControl/>
              <w:spacing w:line="200" w:lineRule="exact"/>
              <w:jc w:val="center"/>
              <w:rPr>
                <w:rFonts w:ascii="宋体" w:hAnsi="宋体" w:cs="宋体"/>
                <w:b/>
                <w:color w:val="auto"/>
                <w:szCs w:val="21"/>
                <w:highlight w:val="none"/>
              </w:rPr>
            </w:pPr>
          </w:p>
        </w:tc>
        <w:tc>
          <w:tcPr>
            <w:tcW w:w="1134" w:type="dxa"/>
            <w:vMerge w:val="continue"/>
            <w:vAlign w:val="center"/>
          </w:tcPr>
          <w:p w14:paraId="2C36F159">
            <w:pPr>
              <w:widowControl/>
              <w:spacing w:line="200" w:lineRule="exact"/>
              <w:jc w:val="center"/>
              <w:rPr>
                <w:rFonts w:ascii="宋体" w:hAnsi="宋体" w:cs="宋体"/>
                <w:b/>
                <w:color w:val="auto"/>
                <w:szCs w:val="21"/>
                <w:highlight w:val="none"/>
              </w:rPr>
            </w:pPr>
          </w:p>
        </w:tc>
        <w:tc>
          <w:tcPr>
            <w:tcW w:w="992" w:type="dxa"/>
            <w:vAlign w:val="center"/>
          </w:tcPr>
          <w:p w14:paraId="73DC0285">
            <w:pPr>
              <w:widowControl/>
              <w:spacing w:line="200" w:lineRule="exact"/>
              <w:jc w:val="center"/>
              <w:rPr>
                <w:rFonts w:ascii="宋体" w:hAnsi="宋体" w:cs="宋体"/>
                <w:b/>
                <w:color w:val="auto"/>
                <w:szCs w:val="21"/>
                <w:highlight w:val="none"/>
              </w:rPr>
            </w:pPr>
          </w:p>
        </w:tc>
        <w:tc>
          <w:tcPr>
            <w:tcW w:w="1559" w:type="dxa"/>
            <w:vAlign w:val="center"/>
          </w:tcPr>
          <w:p w14:paraId="37B286D6">
            <w:pPr>
              <w:widowControl/>
              <w:spacing w:line="200" w:lineRule="exact"/>
              <w:jc w:val="center"/>
              <w:rPr>
                <w:rFonts w:ascii="宋体" w:hAnsi="宋体" w:cs="宋体"/>
                <w:color w:val="auto"/>
                <w:szCs w:val="21"/>
                <w:highlight w:val="none"/>
              </w:rPr>
            </w:pPr>
          </w:p>
        </w:tc>
        <w:tc>
          <w:tcPr>
            <w:tcW w:w="2340" w:type="dxa"/>
            <w:vMerge w:val="continue"/>
            <w:vAlign w:val="center"/>
          </w:tcPr>
          <w:p w14:paraId="4707DEC1">
            <w:pPr>
              <w:widowControl/>
              <w:spacing w:line="200" w:lineRule="exact"/>
              <w:jc w:val="center"/>
              <w:rPr>
                <w:rFonts w:ascii="宋体" w:hAnsi="宋体" w:cs="宋体"/>
                <w:color w:val="auto"/>
                <w:szCs w:val="21"/>
                <w:highlight w:val="none"/>
              </w:rPr>
            </w:pPr>
          </w:p>
        </w:tc>
        <w:tc>
          <w:tcPr>
            <w:tcW w:w="1159" w:type="dxa"/>
          </w:tcPr>
          <w:p w14:paraId="2D979EFD">
            <w:pPr>
              <w:widowControl/>
              <w:spacing w:line="200" w:lineRule="exact"/>
              <w:jc w:val="center"/>
              <w:rPr>
                <w:rFonts w:ascii="宋体" w:hAnsi="宋体" w:cs="宋体"/>
                <w:color w:val="auto"/>
                <w:szCs w:val="21"/>
                <w:highlight w:val="none"/>
              </w:rPr>
            </w:pPr>
          </w:p>
        </w:tc>
      </w:tr>
      <w:tr w14:paraId="22D66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vMerge w:val="continue"/>
          </w:tcPr>
          <w:p w14:paraId="686323A1">
            <w:pPr>
              <w:widowControl/>
              <w:spacing w:line="200" w:lineRule="exact"/>
              <w:jc w:val="center"/>
              <w:rPr>
                <w:rFonts w:ascii="宋体" w:hAnsi="宋体" w:cs="宋体"/>
                <w:b/>
                <w:color w:val="auto"/>
                <w:szCs w:val="21"/>
                <w:highlight w:val="none"/>
              </w:rPr>
            </w:pPr>
          </w:p>
        </w:tc>
        <w:tc>
          <w:tcPr>
            <w:tcW w:w="1134" w:type="dxa"/>
            <w:vMerge w:val="continue"/>
            <w:vAlign w:val="center"/>
          </w:tcPr>
          <w:p w14:paraId="4FD633B9">
            <w:pPr>
              <w:widowControl/>
              <w:spacing w:line="200" w:lineRule="exact"/>
              <w:jc w:val="center"/>
              <w:rPr>
                <w:rFonts w:ascii="宋体" w:hAnsi="宋体" w:cs="宋体"/>
                <w:b/>
                <w:color w:val="auto"/>
                <w:szCs w:val="21"/>
                <w:highlight w:val="none"/>
              </w:rPr>
            </w:pPr>
          </w:p>
        </w:tc>
        <w:tc>
          <w:tcPr>
            <w:tcW w:w="992" w:type="dxa"/>
            <w:vAlign w:val="center"/>
          </w:tcPr>
          <w:p w14:paraId="219332E3">
            <w:pPr>
              <w:widowControl/>
              <w:spacing w:line="200" w:lineRule="exact"/>
              <w:jc w:val="center"/>
              <w:rPr>
                <w:rFonts w:ascii="宋体" w:hAnsi="宋体" w:cs="宋体"/>
                <w:b/>
                <w:color w:val="auto"/>
                <w:szCs w:val="21"/>
                <w:highlight w:val="none"/>
              </w:rPr>
            </w:pPr>
          </w:p>
        </w:tc>
        <w:tc>
          <w:tcPr>
            <w:tcW w:w="1559" w:type="dxa"/>
            <w:vAlign w:val="center"/>
          </w:tcPr>
          <w:p w14:paraId="229C4D38">
            <w:pPr>
              <w:widowControl/>
              <w:spacing w:line="200" w:lineRule="exact"/>
              <w:jc w:val="center"/>
              <w:rPr>
                <w:rFonts w:ascii="宋体" w:hAnsi="宋体" w:cs="宋体"/>
                <w:color w:val="auto"/>
                <w:szCs w:val="21"/>
                <w:highlight w:val="none"/>
              </w:rPr>
            </w:pPr>
          </w:p>
        </w:tc>
        <w:tc>
          <w:tcPr>
            <w:tcW w:w="2340" w:type="dxa"/>
            <w:vMerge w:val="continue"/>
            <w:vAlign w:val="center"/>
          </w:tcPr>
          <w:p w14:paraId="509C5E3B">
            <w:pPr>
              <w:widowControl/>
              <w:spacing w:line="200" w:lineRule="exact"/>
              <w:jc w:val="center"/>
              <w:rPr>
                <w:rFonts w:ascii="宋体" w:hAnsi="宋体" w:cs="宋体"/>
                <w:color w:val="auto"/>
                <w:szCs w:val="21"/>
                <w:highlight w:val="none"/>
              </w:rPr>
            </w:pPr>
          </w:p>
        </w:tc>
        <w:tc>
          <w:tcPr>
            <w:tcW w:w="1159" w:type="dxa"/>
          </w:tcPr>
          <w:p w14:paraId="4DDB751E">
            <w:pPr>
              <w:widowControl/>
              <w:spacing w:line="200" w:lineRule="exact"/>
              <w:jc w:val="center"/>
              <w:rPr>
                <w:rFonts w:ascii="宋体" w:hAnsi="宋体" w:cs="宋体"/>
                <w:color w:val="auto"/>
                <w:szCs w:val="21"/>
                <w:highlight w:val="none"/>
              </w:rPr>
            </w:pPr>
          </w:p>
        </w:tc>
      </w:tr>
      <w:tr w14:paraId="207E8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vAlign w:val="center"/>
          </w:tcPr>
          <w:p w14:paraId="485FC2A4">
            <w:pPr>
              <w:widowControl/>
              <w:spacing w:line="200" w:lineRule="exact"/>
              <w:jc w:val="center"/>
              <w:rPr>
                <w:rFonts w:ascii="宋体" w:hAnsi="宋体" w:cs="宋体"/>
                <w:b w:val="0"/>
                <w:bCs/>
                <w:color w:val="auto"/>
                <w:szCs w:val="21"/>
                <w:highlight w:val="none"/>
              </w:rPr>
            </w:pPr>
            <w:r>
              <w:rPr>
                <w:rFonts w:hint="eastAsia" w:ascii="宋体" w:hAnsi="宋体" w:cs="宋体"/>
                <w:b w:val="0"/>
                <w:bCs/>
                <w:color w:val="auto"/>
                <w:szCs w:val="21"/>
                <w:highlight w:val="none"/>
              </w:rPr>
              <w:t>……</w:t>
            </w:r>
          </w:p>
        </w:tc>
        <w:tc>
          <w:tcPr>
            <w:tcW w:w="1134" w:type="dxa"/>
            <w:vAlign w:val="center"/>
          </w:tcPr>
          <w:p w14:paraId="33E7E6AB">
            <w:pPr>
              <w:widowControl/>
              <w:spacing w:line="200" w:lineRule="exact"/>
              <w:jc w:val="center"/>
              <w:rPr>
                <w:rFonts w:ascii="宋体" w:hAnsi="宋体" w:cs="宋体"/>
                <w:b w:val="0"/>
                <w:bCs/>
                <w:color w:val="auto"/>
                <w:szCs w:val="21"/>
                <w:highlight w:val="none"/>
              </w:rPr>
            </w:pPr>
            <w:r>
              <w:rPr>
                <w:rFonts w:hint="eastAsia" w:ascii="宋体" w:hAnsi="宋体" w:cs="宋体"/>
                <w:b w:val="0"/>
                <w:bCs/>
                <w:color w:val="auto"/>
                <w:szCs w:val="21"/>
                <w:highlight w:val="none"/>
              </w:rPr>
              <w:t>……</w:t>
            </w:r>
          </w:p>
        </w:tc>
        <w:tc>
          <w:tcPr>
            <w:tcW w:w="992" w:type="dxa"/>
            <w:vAlign w:val="center"/>
          </w:tcPr>
          <w:p w14:paraId="1FDEF51F">
            <w:pPr>
              <w:widowControl/>
              <w:spacing w:line="200" w:lineRule="exact"/>
              <w:jc w:val="center"/>
              <w:rPr>
                <w:rFonts w:ascii="宋体" w:hAnsi="宋体" w:cs="宋体"/>
                <w:b w:val="0"/>
                <w:bCs/>
                <w:color w:val="auto"/>
                <w:szCs w:val="21"/>
                <w:highlight w:val="none"/>
              </w:rPr>
            </w:pPr>
            <w:r>
              <w:rPr>
                <w:rFonts w:hint="eastAsia" w:ascii="宋体" w:hAnsi="宋体" w:cs="宋体"/>
                <w:b w:val="0"/>
                <w:bCs/>
                <w:color w:val="auto"/>
                <w:szCs w:val="21"/>
                <w:highlight w:val="none"/>
              </w:rPr>
              <w:t>……</w:t>
            </w:r>
          </w:p>
        </w:tc>
        <w:tc>
          <w:tcPr>
            <w:tcW w:w="1559" w:type="dxa"/>
            <w:vAlign w:val="center"/>
          </w:tcPr>
          <w:p w14:paraId="5163BF45">
            <w:pPr>
              <w:widowControl/>
              <w:spacing w:line="200" w:lineRule="exact"/>
              <w:jc w:val="center"/>
              <w:rPr>
                <w:rFonts w:ascii="宋体" w:hAnsi="宋体" w:cs="宋体"/>
                <w:bCs/>
                <w:color w:val="auto"/>
                <w:szCs w:val="21"/>
                <w:highlight w:val="none"/>
              </w:rPr>
            </w:pPr>
            <w:r>
              <w:rPr>
                <w:rFonts w:hint="eastAsia" w:ascii="宋体" w:hAnsi="宋体" w:cs="宋体"/>
                <w:b w:val="0"/>
                <w:bCs/>
                <w:color w:val="auto"/>
                <w:szCs w:val="21"/>
                <w:highlight w:val="none"/>
              </w:rPr>
              <w:t>……</w:t>
            </w:r>
          </w:p>
        </w:tc>
        <w:tc>
          <w:tcPr>
            <w:tcW w:w="2340" w:type="dxa"/>
            <w:vAlign w:val="center"/>
          </w:tcPr>
          <w:p w14:paraId="14A19DDA">
            <w:pPr>
              <w:widowControl/>
              <w:spacing w:line="200" w:lineRule="exact"/>
              <w:jc w:val="center"/>
              <w:rPr>
                <w:rFonts w:ascii="宋体" w:hAnsi="宋体" w:cs="宋体"/>
                <w:bCs/>
                <w:color w:val="auto"/>
                <w:szCs w:val="21"/>
                <w:highlight w:val="none"/>
              </w:rPr>
            </w:pPr>
            <w:r>
              <w:rPr>
                <w:rFonts w:hint="eastAsia" w:ascii="宋体" w:hAnsi="宋体" w:cs="宋体"/>
                <w:b w:val="0"/>
                <w:bCs/>
                <w:color w:val="auto"/>
                <w:szCs w:val="21"/>
                <w:highlight w:val="none"/>
              </w:rPr>
              <w:t>……</w:t>
            </w:r>
          </w:p>
        </w:tc>
        <w:tc>
          <w:tcPr>
            <w:tcW w:w="1159" w:type="dxa"/>
            <w:vAlign w:val="center"/>
          </w:tcPr>
          <w:p w14:paraId="17813392">
            <w:pPr>
              <w:widowControl/>
              <w:spacing w:line="200" w:lineRule="exact"/>
              <w:jc w:val="center"/>
              <w:rPr>
                <w:rFonts w:ascii="宋体" w:hAnsi="宋体" w:cs="宋体"/>
                <w:bCs/>
                <w:color w:val="auto"/>
                <w:szCs w:val="21"/>
                <w:highlight w:val="none"/>
              </w:rPr>
            </w:pPr>
            <w:r>
              <w:rPr>
                <w:rFonts w:hint="eastAsia" w:ascii="宋体" w:hAnsi="宋体" w:cs="宋体"/>
                <w:b w:val="0"/>
                <w:bCs/>
                <w:color w:val="auto"/>
                <w:szCs w:val="21"/>
                <w:highlight w:val="none"/>
              </w:rPr>
              <w:t>……</w:t>
            </w:r>
          </w:p>
        </w:tc>
      </w:tr>
    </w:tbl>
    <w:p w14:paraId="7B633CF3">
      <w:pPr>
        <w:pStyle w:val="276"/>
        <w:rPr>
          <w:rFonts w:ascii="宋体" w:hAnsi="宋体" w:cs="宋体"/>
          <w:color w:val="auto"/>
          <w:highlight w:val="none"/>
        </w:rPr>
      </w:pPr>
    </w:p>
    <w:p w14:paraId="5D0A04A6">
      <w:pPr>
        <w:pStyle w:val="276"/>
        <w:rPr>
          <w:rFonts w:ascii="宋体" w:hAnsi="宋体" w:cs="宋体"/>
          <w:color w:val="auto"/>
          <w:highlight w:val="none"/>
        </w:rPr>
      </w:pPr>
    </w:p>
    <w:p w14:paraId="5188FD25">
      <w:pPr>
        <w:adjustRightInd w:val="0"/>
        <w:snapToGrid w:val="0"/>
        <w:spacing w:line="360" w:lineRule="auto"/>
        <w:rPr>
          <w:rFonts w:ascii="宋体" w:hAnsi="宋体" w:cs="宋体"/>
          <w:color w:val="auto"/>
          <w:highlight w:val="none"/>
        </w:rPr>
      </w:pPr>
      <w:r>
        <w:rPr>
          <w:rFonts w:hint="eastAsia" w:ascii="宋体" w:hAnsi="宋体" w:cs="宋体"/>
          <w:color w:val="auto"/>
          <w:highlight w:val="none"/>
        </w:rPr>
        <w:t>注：</w:t>
      </w:r>
      <w:r>
        <w:rPr>
          <w:rFonts w:hint="eastAsia" w:ascii="宋体" w:hAnsi="宋体" w:cs="宋体"/>
          <w:color w:val="auto"/>
          <w:highlight w:val="none"/>
          <w:lang w:val="en-US" w:eastAsia="zh-CN"/>
        </w:rPr>
        <w:t>1.</w:t>
      </w:r>
      <w:r>
        <w:rPr>
          <w:rFonts w:hint="eastAsia" w:ascii="宋体" w:hAnsi="宋体" w:cs="宋体"/>
          <w:color w:val="auto"/>
          <w:highlight w:val="none"/>
        </w:rPr>
        <w:t>各标段的起讫桩号根据批复施工图可能会发生调整，具体桩号以批复的施工图为准。</w:t>
      </w:r>
    </w:p>
    <w:p w14:paraId="3CEF2425">
      <w:pPr>
        <w:pStyle w:val="276"/>
        <w:numPr>
          <w:ilvl w:val="0"/>
          <w:numId w:val="1"/>
        </w:numPr>
        <w:ind w:left="420"/>
        <w:rPr>
          <w:rFonts w:ascii="宋体" w:hAnsi="宋体" w:cs="宋体"/>
          <w:color w:val="auto"/>
          <w:sz w:val="18"/>
          <w:szCs w:val="18"/>
          <w:highlight w:val="none"/>
        </w:rPr>
      </w:pP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lang w:val="en-US" w:eastAsia="zh-CN"/>
        </w:rPr>
        <w:t>。</w:t>
      </w:r>
      <w:bookmarkStart w:id="54" w:name="_Toc519601437"/>
    </w:p>
    <w:p w14:paraId="16207FF0">
      <w:pPr>
        <w:pStyle w:val="276"/>
        <w:rPr>
          <w:rFonts w:ascii="宋体" w:hAnsi="宋体" w:cs="宋体"/>
          <w:color w:val="auto"/>
          <w:sz w:val="18"/>
          <w:szCs w:val="18"/>
          <w:highlight w:val="none"/>
        </w:rPr>
      </w:pPr>
    </w:p>
    <w:p w14:paraId="67A3ED0F">
      <w:pPr>
        <w:pStyle w:val="276"/>
        <w:rPr>
          <w:rFonts w:ascii="宋体" w:hAnsi="宋体" w:cs="宋体"/>
          <w:color w:val="auto"/>
          <w:highlight w:val="none"/>
        </w:rPr>
      </w:pPr>
    </w:p>
    <w:p w14:paraId="3A242F2F">
      <w:pPr>
        <w:pStyle w:val="276"/>
        <w:rPr>
          <w:rFonts w:ascii="宋体" w:hAnsi="宋体" w:cs="宋体"/>
          <w:color w:val="auto"/>
          <w:highlight w:val="none"/>
        </w:rPr>
      </w:pPr>
    </w:p>
    <w:p w14:paraId="1BB7584C">
      <w:pPr>
        <w:pStyle w:val="276"/>
        <w:rPr>
          <w:rFonts w:ascii="宋体" w:hAnsi="宋体" w:cs="宋体"/>
          <w:color w:val="auto"/>
          <w:highlight w:val="none"/>
        </w:rPr>
      </w:pPr>
    </w:p>
    <w:p w14:paraId="0DB08754">
      <w:pPr>
        <w:pStyle w:val="276"/>
        <w:rPr>
          <w:rFonts w:ascii="宋体" w:hAnsi="宋体" w:cs="宋体"/>
          <w:color w:val="auto"/>
          <w:highlight w:val="none"/>
        </w:rPr>
      </w:pPr>
    </w:p>
    <w:p w14:paraId="402C91B5">
      <w:pPr>
        <w:pStyle w:val="276"/>
        <w:rPr>
          <w:rFonts w:ascii="宋体" w:hAnsi="宋体" w:cs="宋体"/>
          <w:color w:val="auto"/>
          <w:highlight w:val="none"/>
        </w:rPr>
      </w:pPr>
    </w:p>
    <w:p w14:paraId="6A9D24BC">
      <w:pPr>
        <w:pStyle w:val="276"/>
        <w:rPr>
          <w:rFonts w:ascii="宋体" w:hAnsi="宋体" w:cs="宋体"/>
          <w:color w:val="auto"/>
          <w:highlight w:val="none"/>
        </w:rPr>
      </w:pPr>
    </w:p>
    <w:p w14:paraId="4E332972">
      <w:pPr>
        <w:pStyle w:val="276"/>
        <w:rPr>
          <w:rFonts w:ascii="宋体" w:hAnsi="宋体" w:cs="宋体"/>
          <w:color w:val="auto"/>
          <w:highlight w:val="none"/>
        </w:rPr>
      </w:pPr>
    </w:p>
    <w:p w14:paraId="05D0F651">
      <w:pPr>
        <w:pStyle w:val="276"/>
        <w:rPr>
          <w:rFonts w:ascii="宋体" w:hAnsi="宋体" w:cs="宋体"/>
          <w:color w:val="auto"/>
          <w:highlight w:val="none"/>
        </w:rPr>
      </w:pPr>
    </w:p>
    <w:p w14:paraId="3ED62EF2">
      <w:pPr>
        <w:pStyle w:val="276"/>
        <w:rPr>
          <w:rFonts w:ascii="宋体" w:hAnsi="宋体" w:cs="宋体"/>
          <w:color w:val="auto"/>
          <w:highlight w:val="none"/>
        </w:rPr>
      </w:pPr>
    </w:p>
    <w:p w14:paraId="7985F31C">
      <w:pPr>
        <w:pStyle w:val="276"/>
        <w:rPr>
          <w:rFonts w:ascii="宋体" w:hAnsi="宋体" w:cs="宋体"/>
          <w:color w:val="auto"/>
          <w:highlight w:val="none"/>
        </w:rPr>
      </w:pPr>
    </w:p>
    <w:p w14:paraId="0E570E7E">
      <w:pPr>
        <w:pStyle w:val="276"/>
        <w:rPr>
          <w:rFonts w:ascii="宋体" w:hAnsi="宋体" w:cs="宋体"/>
          <w:color w:val="auto"/>
          <w:highlight w:val="none"/>
        </w:rPr>
      </w:pPr>
    </w:p>
    <w:p w14:paraId="72BA4BC2">
      <w:pPr>
        <w:pStyle w:val="276"/>
        <w:rPr>
          <w:rFonts w:ascii="宋体" w:hAnsi="宋体" w:cs="宋体"/>
          <w:color w:val="auto"/>
          <w:highlight w:val="none"/>
        </w:rPr>
      </w:pPr>
    </w:p>
    <w:p w14:paraId="03708D45">
      <w:pPr>
        <w:pStyle w:val="20"/>
        <w:jc w:val="center"/>
        <w:rPr>
          <w:rFonts w:hint="default" w:ascii="Calibri" w:hAnsi="Calibri" w:eastAsia="黑体" w:cs="Times New Roman"/>
          <w:sz w:val="52"/>
          <w:szCs w:val="44"/>
        </w:rPr>
      </w:pPr>
      <w:bookmarkStart w:id="55" w:name="_Toc519777853"/>
      <w:bookmarkStart w:id="56" w:name="_Toc519777905"/>
      <w:bookmarkStart w:id="57" w:name="_Toc74760812"/>
      <w:bookmarkStart w:id="58" w:name="_Toc519777801"/>
      <w:bookmarkStart w:id="59" w:name="_Toc519778465"/>
      <w:bookmarkStart w:id="60" w:name="_Toc519777793"/>
    </w:p>
    <w:p w14:paraId="7E389A58">
      <w:pPr>
        <w:pStyle w:val="20"/>
        <w:jc w:val="center"/>
        <w:rPr>
          <w:rFonts w:hint="default" w:ascii="Calibri" w:hAnsi="Calibri" w:eastAsia="黑体" w:cs="Times New Roman"/>
          <w:sz w:val="52"/>
          <w:szCs w:val="44"/>
        </w:rPr>
      </w:pPr>
    </w:p>
    <w:p w14:paraId="7B4533D1">
      <w:pPr>
        <w:pStyle w:val="20"/>
        <w:jc w:val="center"/>
        <w:rPr>
          <w:rFonts w:hint="default" w:ascii="Calibri" w:hAnsi="Calibri" w:eastAsia="黑体" w:cs="Times New Roman"/>
          <w:sz w:val="52"/>
          <w:szCs w:val="44"/>
        </w:rPr>
      </w:pPr>
    </w:p>
    <w:p w14:paraId="5ECA4B35">
      <w:pPr>
        <w:pStyle w:val="20"/>
        <w:jc w:val="center"/>
        <w:rPr>
          <w:rFonts w:hint="default" w:ascii="Calibri" w:hAnsi="Calibri" w:eastAsia="黑体" w:cs="Times New Roman"/>
          <w:sz w:val="52"/>
          <w:szCs w:val="44"/>
        </w:rPr>
      </w:pPr>
    </w:p>
    <w:p w14:paraId="0E1F6C31">
      <w:pPr>
        <w:pStyle w:val="20"/>
        <w:jc w:val="center"/>
        <w:rPr>
          <w:rFonts w:hint="default" w:ascii="Calibri" w:hAnsi="Calibri" w:eastAsia="黑体" w:cs="Times New Roman"/>
          <w:sz w:val="52"/>
          <w:szCs w:val="44"/>
        </w:rPr>
      </w:pPr>
    </w:p>
    <w:p w14:paraId="22D9C996">
      <w:pPr>
        <w:pStyle w:val="20"/>
        <w:jc w:val="center"/>
        <w:rPr>
          <w:rFonts w:hint="default" w:ascii="Calibri" w:hAnsi="Calibri" w:eastAsia="黑体" w:cs="Times New Roman"/>
          <w:sz w:val="52"/>
          <w:szCs w:val="44"/>
        </w:rPr>
      </w:pPr>
    </w:p>
    <w:p w14:paraId="6E6E45B3">
      <w:pPr>
        <w:pStyle w:val="20"/>
        <w:jc w:val="center"/>
        <w:rPr>
          <w:rFonts w:hint="default" w:ascii="Calibri" w:hAnsi="Calibri" w:eastAsia="黑体" w:cs="Times New Roman"/>
          <w:sz w:val="52"/>
          <w:szCs w:val="44"/>
        </w:rPr>
      </w:pPr>
    </w:p>
    <w:p w14:paraId="10656814">
      <w:pPr>
        <w:pStyle w:val="20"/>
        <w:jc w:val="center"/>
        <w:rPr>
          <w:rFonts w:ascii="Calibri" w:hAnsi="Calibri" w:eastAsia="黑体" w:cs="Times New Roman"/>
          <w:sz w:val="52"/>
          <w:szCs w:val="44"/>
        </w:rPr>
      </w:pPr>
      <w:r>
        <w:rPr>
          <w:rFonts w:hint="default" w:ascii="Calibri" w:hAnsi="Calibri" w:eastAsia="黑体" w:cs="Times New Roman"/>
          <w:sz w:val="52"/>
          <w:szCs w:val="44"/>
        </w:rPr>
        <w:t>第二章</w:t>
      </w:r>
      <w:r>
        <w:rPr>
          <w:rFonts w:ascii="Calibri" w:hAnsi="Calibri" w:eastAsia="黑体" w:cs="Times New Roman"/>
          <w:sz w:val="52"/>
          <w:szCs w:val="44"/>
        </w:rPr>
        <w:t xml:space="preserve">   </w:t>
      </w:r>
      <w:r>
        <w:rPr>
          <w:rFonts w:hint="default" w:ascii="Calibri" w:hAnsi="Calibri" w:eastAsia="黑体" w:cs="Times New Roman"/>
          <w:sz w:val="52"/>
          <w:szCs w:val="44"/>
        </w:rPr>
        <w:t>投标人须知</w:t>
      </w:r>
      <w:bookmarkEnd w:id="54"/>
      <w:bookmarkEnd w:id="55"/>
      <w:bookmarkEnd w:id="56"/>
      <w:bookmarkEnd w:id="57"/>
      <w:bookmarkEnd w:id="58"/>
      <w:bookmarkEnd w:id="59"/>
      <w:bookmarkEnd w:id="60"/>
    </w:p>
    <w:p w14:paraId="1E7048C3">
      <w:pPr>
        <w:rPr>
          <w:rFonts w:hint="eastAsia"/>
        </w:rPr>
      </w:pPr>
      <w:bookmarkStart w:id="61" w:name="_Toc74760813"/>
      <w:bookmarkStart w:id="62" w:name="_Toc519778466"/>
      <w:bookmarkStart w:id="63" w:name="_Toc523921587"/>
      <w:bookmarkStart w:id="64" w:name="_Toc28187710"/>
      <w:r>
        <w:rPr>
          <w:rFonts w:hint="eastAsia"/>
        </w:rPr>
        <w:br w:type="page"/>
      </w:r>
    </w:p>
    <w:p w14:paraId="74A67FCC">
      <w:pPr>
        <w:pStyle w:val="4"/>
        <w:rPr>
          <w:rFonts w:ascii="宋体" w:hAnsi="宋体" w:eastAsia="宋体" w:cs="宋体"/>
          <w:color w:val="auto"/>
          <w:szCs w:val="30"/>
          <w:highlight w:val="none"/>
        </w:rPr>
      </w:pPr>
      <w:r>
        <w:rPr>
          <w:rFonts w:hint="eastAsia"/>
          <w:b w:val="0"/>
          <w:bCs w:val="0"/>
        </w:rPr>
        <w:t>第二章</w:t>
      </w:r>
      <w:r>
        <w:rPr>
          <w:b w:val="0"/>
          <w:bCs w:val="0"/>
        </w:rPr>
        <w:t xml:space="preserve">  </w:t>
      </w:r>
      <w:r>
        <w:rPr>
          <w:rFonts w:hint="eastAsia"/>
          <w:b w:val="0"/>
          <w:bCs w:val="0"/>
        </w:rPr>
        <w:t>投标人须知</w:t>
      </w:r>
    </w:p>
    <w:p w14:paraId="17330726">
      <w:pPr>
        <w:pStyle w:val="5"/>
        <w:rPr>
          <w:rFonts w:ascii="宋体" w:hAnsi="宋体" w:eastAsia="宋体" w:cs="宋体"/>
          <w:color w:val="auto"/>
          <w:sz w:val="30"/>
          <w:szCs w:val="30"/>
          <w:highlight w:val="none"/>
        </w:rPr>
      </w:pPr>
      <w:r>
        <w:rPr>
          <w:rStyle w:val="146"/>
          <w:rFonts w:hint="eastAsia" w:ascii="黑体" w:hAnsi="黑体" w:eastAsia="黑体" w:cs="黑体"/>
          <w:b/>
          <w:bCs/>
          <w:color w:val="auto"/>
          <w:sz w:val="30"/>
          <w:szCs w:val="30"/>
          <w:highlight w:val="none"/>
        </w:rPr>
        <w:t>投标人须知前附表</w:t>
      </w:r>
      <w:bookmarkEnd w:id="61"/>
      <w:bookmarkEnd w:id="62"/>
      <w:bookmarkEnd w:id="63"/>
      <w:bookmarkEnd w:id="64"/>
    </w:p>
    <w:p w14:paraId="5C0671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“投标人须知前附表”是用于进一步明确正文中的未尽事宜，由招标人根据本项目具体特点和实际需要编写和填写，与正文无抵触且与招标文件其他章节相衔接。</w:t>
      </w:r>
      <w:r>
        <w:rPr>
          <w:rFonts w:hint="eastAsia" w:ascii="宋体" w:hAnsi="宋体"/>
          <w:color w:val="auto"/>
          <w:sz w:val="24"/>
          <w:highlight w:val="none"/>
        </w:rPr>
        <w:t>“投标人须知前附表”</w:t>
      </w:r>
      <w:r>
        <w:rPr>
          <w:rFonts w:hint="eastAsia" w:ascii="宋体" w:hAnsi="宋体" w:cs="宋体"/>
          <w:color w:val="auto"/>
          <w:sz w:val="24"/>
          <w:highlight w:val="none"/>
        </w:rPr>
        <w:t>内容与本须知正文不一致的，以</w:t>
      </w:r>
      <w:r>
        <w:rPr>
          <w:rFonts w:hint="eastAsia" w:ascii="宋体" w:hAnsi="宋体"/>
          <w:color w:val="auto"/>
          <w:sz w:val="24"/>
          <w:highlight w:val="none"/>
        </w:rPr>
        <w:t>“投标人须知前附表”</w:t>
      </w:r>
      <w:r>
        <w:rPr>
          <w:rFonts w:hint="eastAsia" w:ascii="宋体" w:hAnsi="宋体" w:cs="宋体"/>
          <w:color w:val="auto"/>
          <w:sz w:val="24"/>
          <w:highlight w:val="none"/>
        </w:rPr>
        <w:t>内容为准。“投标人须知前附表”中的附录表格同属“投标人须知前附表”内容，具有同等效力。</w:t>
      </w:r>
    </w:p>
    <w:tbl>
      <w:tblPr>
        <w:tblStyle w:val="48"/>
        <w:tblW w:w="8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2126"/>
        <w:gridCol w:w="5847"/>
      </w:tblGrid>
      <w:tr w14:paraId="1E62B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024" w:type="dxa"/>
            <w:vAlign w:val="center"/>
          </w:tcPr>
          <w:p w14:paraId="0A47A0F6">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条款号</w:t>
            </w:r>
          </w:p>
        </w:tc>
        <w:tc>
          <w:tcPr>
            <w:tcW w:w="2126" w:type="dxa"/>
            <w:vAlign w:val="center"/>
          </w:tcPr>
          <w:p w14:paraId="5D255C1E">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条款名称</w:t>
            </w:r>
          </w:p>
        </w:tc>
        <w:tc>
          <w:tcPr>
            <w:tcW w:w="5847" w:type="dxa"/>
            <w:vAlign w:val="center"/>
          </w:tcPr>
          <w:p w14:paraId="4E750C49">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编列内容</w:t>
            </w:r>
          </w:p>
        </w:tc>
      </w:tr>
      <w:tr w14:paraId="48BF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9C63045">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1.1.2</w:t>
            </w:r>
          </w:p>
        </w:tc>
        <w:tc>
          <w:tcPr>
            <w:tcW w:w="2126" w:type="dxa"/>
            <w:vAlign w:val="center"/>
          </w:tcPr>
          <w:p w14:paraId="785E9A64">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招标人</w:t>
            </w:r>
          </w:p>
        </w:tc>
        <w:tc>
          <w:tcPr>
            <w:tcW w:w="5847" w:type="dxa"/>
            <w:vAlign w:val="center"/>
          </w:tcPr>
          <w:p w14:paraId="7BA41F2B">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名称、地址、联系人、电话：见招标公告</w:t>
            </w:r>
          </w:p>
        </w:tc>
      </w:tr>
      <w:tr w14:paraId="1EDC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5FE7514">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1.1.3</w:t>
            </w:r>
          </w:p>
        </w:tc>
        <w:tc>
          <w:tcPr>
            <w:tcW w:w="2126" w:type="dxa"/>
            <w:vAlign w:val="center"/>
          </w:tcPr>
          <w:p w14:paraId="384465A8">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招标代理机构</w:t>
            </w:r>
          </w:p>
        </w:tc>
        <w:tc>
          <w:tcPr>
            <w:tcW w:w="5847" w:type="dxa"/>
            <w:vAlign w:val="center"/>
          </w:tcPr>
          <w:p w14:paraId="189D44A4">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名称、地址、联系人、电话：见招标公告</w:t>
            </w:r>
          </w:p>
        </w:tc>
      </w:tr>
      <w:tr w14:paraId="2089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6CB07273">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1.1.4</w:t>
            </w:r>
          </w:p>
        </w:tc>
        <w:tc>
          <w:tcPr>
            <w:tcW w:w="2126" w:type="dxa"/>
            <w:vAlign w:val="center"/>
          </w:tcPr>
          <w:p w14:paraId="7E1D5220">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招标项目名称</w:t>
            </w:r>
          </w:p>
        </w:tc>
        <w:tc>
          <w:tcPr>
            <w:tcW w:w="5847" w:type="dxa"/>
            <w:vAlign w:val="center"/>
          </w:tcPr>
          <w:p w14:paraId="0B1678B3">
            <w:pPr>
              <w:pStyle w:val="276"/>
              <w:spacing w:line="400" w:lineRule="exact"/>
              <w:rPr>
                <w:rFonts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（项目名称）</w:t>
            </w:r>
            <w:r>
              <w:rPr>
                <w:rFonts w:ascii="宋体" w:hAnsi="宋体" w:cs="宋体"/>
                <w:bCs/>
                <w:color w:val="auto"/>
                <w:szCs w:val="21"/>
                <w:highlight w:val="none"/>
                <w:u w:val="single"/>
              </w:rPr>
              <w:t xml:space="preserve">     </w:t>
            </w:r>
            <w:r>
              <w:rPr>
                <w:rFonts w:hint="eastAsia" w:ascii="宋体" w:hAnsi="宋体" w:cs="宋体"/>
                <w:bCs/>
                <w:color w:val="auto"/>
                <w:szCs w:val="21"/>
                <w:highlight w:val="none"/>
              </w:rPr>
              <w:t>（招标类别）</w:t>
            </w:r>
            <w:r>
              <w:rPr>
                <w:rFonts w:ascii="宋体" w:hAnsi="宋体" w:cs="宋体"/>
                <w:bCs/>
                <w:color w:val="auto"/>
                <w:szCs w:val="21"/>
                <w:highlight w:val="none"/>
                <w:u w:val="single"/>
              </w:rPr>
              <w:t xml:space="preserve">  </w:t>
            </w:r>
            <w:r>
              <w:rPr>
                <w:rFonts w:ascii="宋体" w:hAnsi="宋体" w:cs="宋体"/>
                <w:b/>
                <w:bCs/>
                <w:color w:val="auto"/>
                <w:szCs w:val="21"/>
                <w:highlight w:val="none"/>
                <w:u w:val="single"/>
              </w:rPr>
              <w:t xml:space="preserve">   </w:t>
            </w:r>
            <w:r>
              <w:rPr>
                <w:rFonts w:hint="eastAsia" w:ascii="宋体" w:hAnsi="宋体" w:cs="宋体"/>
                <w:bCs/>
                <w:color w:val="auto"/>
                <w:szCs w:val="21"/>
                <w:highlight w:val="none"/>
              </w:rPr>
              <w:t>标段</w:t>
            </w:r>
          </w:p>
        </w:tc>
      </w:tr>
      <w:tr w14:paraId="0BCD9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D8941CB">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1.1.5</w:t>
            </w:r>
          </w:p>
        </w:tc>
        <w:tc>
          <w:tcPr>
            <w:tcW w:w="2126" w:type="dxa"/>
            <w:vAlign w:val="center"/>
          </w:tcPr>
          <w:p w14:paraId="78FD93A8">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建设地点</w:t>
            </w:r>
          </w:p>
        </w:tc>
        <w:tc>
          <w:tcPr>
            <w:tcW w:w="5847" w:type="dxa"/>
            <w:vAlign w:val="center"/>
          </w:tcPr>
          <w:p w14:paraId="1D1C952A">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见招标公告</w:t>
            </w:r>
          </w:p>
        </w:tc>
      </w:tr>
      <w:tr w14:paraId="19E03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4" w:type="dxa"/>
            <w:vAlign w:val="center"/>
          </w:tcPr>
          <w:p w14:paraId="65BD6374">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1.1.6</w:t>
            </w:r>
          </w:p>
        </w:tc>
        <w:tc>
          <w:tcPr>
            <w:tcW w:w="2126" w:type="dxa"/>
            <w:vAlign w:val="center"/>
          </w:tcPr>
          <w:p w14:paraId="12177797">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建设规模</w:t>
            </w:r>
          </w:p>
        </w:tc>
        <w:tc>
          <w:tcPr>
            <w:tcW w:w="5847" w:type="dxa"/>
            <w:vAlign w:val="center"/>
          </w:tcPr>
          <w:p w14:paraId="26668176">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见招标公告</w:t>
            </w:r>
          </w:p>
        </w:tc>
      </w:tr>
      <w:tr w14:paraId="1537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65D2443">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1.1.7</w:t>
            </w:r>
          </w:p>
        </w:tc>
        <w:tc>
          <w:tcPr>
            <w:tcW w:w="2126" w:type="dxa"/>
            <w:vAlign w:val="center"/>
          </w:tcPr>
          <w:p w14:paraId="240E2506">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招标项目施工预计开工日期和建设周期</w:t>
            </w:r>
          </w:p>
        </w:tc>
        <w:tc>
          <w:tcPr>
            <w:tcW w:w="5847" w:type="dxa"/>
            <w:vAlign w:val="center"/>
          </w:tcPr>
          <w:p w14:paraId="4F645BE8">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p>
        </w:tc>
      </w:tr>
      <w:tr w14:paraId="7619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8326852">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1.1.8</w:t>
            </w:r>
          </w:p>
        </w:tc>
        <w:tc>
          <w:tcPr>
            <w:tcW w:w="2126" w:type="dxa"/>
            <w:vAlign w:val="center"/>
          </w:tcPr>
          <w:p w14:paraId="31A33CE0">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建筑安装工程费</w:t>
            </w:r>
            <w:r>
              <w:rPr>
                <w:rFonts w:ascii="宋体" w:hAnsi="宋体" w:cs="宋体"/>
                <w:color w:val="auto"/>
                <w:szCs w:val="21"/>
                <w:highlight w:val="none"/>
              </w:rPr>
              <w:t>/工程概（预）算投资额</w:t>
            </w:r>
          </w:p>
        </w:tc>
        <w:tc>
          <w:tcPr>
            <w:tcW w:w="5847" w:type="dxa"/>
            <w:vAlign w:val="center"/>
          </w:tcPr>
          <w:p w14:paraId="6B463425">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p>
        </w:tc>
      </w:tr>
      <w:tr w14:paraId="656B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60BFFC33">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1.2.1</w:t>
            </w:r>
          </w:p>
        </w:tc>
        <w:tc>
          <w:tcPr>
            <w:tcW w:w="2126" w:type="dxa"/>
            <w:vAlign w:val="center"/>
          </w:tcPr>
          <w:p w14:paraId="13798668">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资金来源及比例</w:t>
            </w:r>
          </w:p>
        </w:tc>
        <w:tc>
          <w:tcPr>
            <w:tcW w:w="5847" w:type="dxa"/>
            <w:vAlign w:val="center"/>
          </w:tcPr>
          <w:p w14:paraId="7A33BB13">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见招标公告</w:t>
            </w:r>
          </w:p>
        </w:tc>
      </w:tr>
      <w:tr w14:paraId="0290F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68BF520">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1.2.2</w:t>
            </w:r>
          </w:p>
        </w:tc>
        <w:tc>
          <w:tcPr>
            <w:tcW w:w="2126" w:type="dxa"/>
            <w:vAlign w:val="center"/>
          </w:tcPr>
          <w:p w14:paraId="412BB3EA">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资金落实情况</w:t>
            </w:r>
          </w:p>
        </w:tc>
        <w:tc>
          <w:tcPr>
            <w:tcW w:w="5847" w:type="dxa"/>
            <w:vAlign w:val="center"/>
          </w:tcPr>
          <w:p w14:paraId="7C59FA45">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见招标公告</w:t>
            </w:r>
          </w:p>
        </w:tc>
      </w:tr>
      <w:tr w14:paraId="10563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7F108DF3">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1.3.1</w:t>
            </w:r>
          </w:p>
        </w:tc>
        <w:tc>
          <w:tcPr>
            <w:tcW w:w="2126" w:type="dxa"/>
            <w:vAlign w:val="center"/>
          </w:tcPr>
          <w:p w14:paraId="0EF78608">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招标范围</w:t>
            </w:r>
          </w:p>
        </w:tc>
        <w:tc>
          <w:tcPr>
            <w:tcW w:w="5847" w:type="dxa"/>
            <w:vAlign w:val="center"/>
          </w:tcPr>
          <w:p w14:paraId="26B85CE3">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见招标公告</w:t>
            </w:r>
          </w:p>
        </w:tc>
      </w:tr>
      <w:tr w14:paraId="07D8A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73E59B1">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1.3.2</w:t>
            </w:r>
          </w:p>
        </w:tc>
        <w:tc>
          <w:tcPr>
            <w:tcW w:w="2126" w:type="dxa"/>
            <w:vAlign w:val="center"/>
          </w:tcPr>
          <w:p w14:paraId="11B65CF5">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监理试验室服务期限</w:t>
            </w:r>
          </w:p>
        </w:tc>
        <w:tc>
          <w:tcPr>
            <w:tcW w:w="5847" w:type="dxa"/>
            <w:vAlign w:val="center"/>
          </w:tcPr>
          <w:p w14:paraId="433DB81A">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见招标公告</w:t>
            </w:r>
          </w:p>
        </w:tc>
      </w:tr>
      <w:tr w14:paraId="75A9F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024" w:type="dxa"/>
            <w:vAlign w:val="center"/>
          </w:tcPr>
          <w:p w14:paraId="4924F056">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1.3.3</w:t>
            </w:r>
          </w:p>
        </w:tc>
        <w:tc>
          <w:tcPr>
            <w:tcW w:w="2126" w:type="dxa"/>
            <w:vAlign w:val="center"/>
          </w:tcPr>
          <w:p w14:paraId="604B3C47">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质量要求</w:t>
            </w:r>
            <w:r>
              <w:rPr>
                <w:rFonts w:ascii="宋体" w:hAnsi="宋体" w:cs="宋体"/>
                <w:color w:val="auto"/>
                <w:szCs w:val="21"/>
                <w:highlight w:val="none"/>
                <w:vertAlign w:val="superscript"/>
              </w:rPr>
              <w:footnoteReference w:id="23"/>
            </w:r>
          </w:p>
        </w:tc>
        <w:tc>
          <w:tcPr>
            <w:tcW w:w="5847" w:type="dxa"/>
            <w:vAlign w:val="center"/>
          </w:tcPr>
          <w:p w14:paraId="522115A0">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标段工程交工验收的质量评定：合格 </w:t>
            </w:r>
          </w:p>
          <w:p w14:paraId="02863617">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标段工程竣工验收的质量评定：□优良  □合格</w:t>
            </w:r>
          </w:p>
          <w:p w14:paraId="533CA29B">
            <w:pPr>
              <w:pStyle w:val="276"/>
              <w:adjustRightInd w:val="0"/>
              <w:snapToGrid w:val="0"/>
              <w:spacing w:line="400" w:lineRule="exact"/>
              <w:ind w:left="316" w:hanging="316" w:hangingChars="150"/>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color w:val="auto"/>
                <w:szCs w:val="21"/>
                <w:highlight w:val="none"/>
              </w:rPr>
              <w:t>房建工程交（竣）工验收的质量评定</w:t>
            </w:r>
            <w:r>
              <w:rPr>
                <w:rStyle w:val="58"/>
                <w:rFonts w:ascii="宋体" w:hAnsi="宋体" w:cs="宋体"/>
                <w:color w:val="auto"/>
                <w:szCs w:val="21"/>
                <w:highlight w:val="none"/>
              </w:rPr>
              <w:footnoteReference w:id="24"/>
            </w:r>
            <w:r>
              <w:rPr>
                <w:rFonts w:hint="eastAsia" w:ascii="宋体" w:hAnsi="宋体" w:cs="宋体"/>
                <w:color w:val="auto"/>
                <w:szCs w:val="21"/>
                <w:highlight w:val="none"/>
              </w:rPr>
              <w:t>：合格</w:t>
            </w:r>
          </w:p>
          <w:p w14:paraId="6D8EC1F4">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其他</w:t>
            </w:r>
            <w:r>
              <w:rPr>
                <w:rStyle w:val="58"/>
                <w:rFonts w:ascii="宋体" w:hAnsi="宋体" w:cs="宋体"/>
                <w:color w:val="auto"/>
                <w:szCs w:val="21"/>
                <w:highlight w:val="none"/>
              </w:rPr>
              <w:footnoteReference w:id="25"/>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tc>
      </w:tr>
      <w:tr w14:paraId="51987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4" w:type="dxa"/>
            <w:vAlign w:val="center"/>
          </w:tcPr>
          <w:p w14:paraId="2D0D74B1">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1.3.4</w:t>
            </w:r>
          </w:p>
        </w:tc>
        <w:tc>
          <w:tcPr>
            <w:tcW w:w="2126" w:type="dxa"/>
            <w:vAlign w:val="center"/>
          </w:tcPr>
          <w:p w14:paraId="246386B2">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安全目标</w:t>
            </w:r>
            <w:r>
              <w:rPr>
                <w:rStyle w:val="58"/>
                <w:rFonts w:ascii="宋体" w:hAnsi="宋体" w:cs="宋体"/>
                <w:color w:val="auto"/>
                <w:szCs w:val="21"/>
                <w:highlight w:val="none"/>
              </w:rPr>
              <w:footnoteReference w:id="26"/>
            </w:r>
          </w:p>
        </w:tc>
        <w:tc>
          <w:tcPr>
            <w:tcW w:w="5847" w:type="dxa"/>
            <w:vAlign w:val="center"/>
          </w:tcPr>
          <w:p w14:paraId="2CEE517D">
            <w:pPr>
              <w:pStyle w:val="276"/>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p>
        </w:tc>
      </w:tr>
      <w:tr w14:paraId="6D5B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E39430F">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1.4.1</w:t>
            </w:r>
          </w:p>
        </w:tc>
        <w:tc>
          <w:tcPr>
            <w:tcW w:w="2126" w:type="dxa"/>
            <w:vAlign w:val="center"/>
          </w:tcPr>
          <w:p w14:paraId="4A07CABA">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投标人资质条件、能力和信誉</w:t>
            </w:r>
          </w:p>
        </w:tc>
        <w:tc>
          <w:tcPr>
            <w:tcW w:w="5847" w:type="dxa"/>
            <w:vAlign w:val="center"/>
          </w:tcPr>
          <w:p w14:paraId="03402988">
            <w:pPr>
              <w:pStyle w:val="276"/>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资质最低要求：见</w:t>
            </w:r>
            <w:r>
              <w:rPr>
                <w:rFonts w:hint="eastAsia" w:ascii="宋体" w:hAnsi="宋体" w:eastAsia="宋体" w:cs="宋体"/>
                <w:color w:val="auto"/>
                <w:szCs w:val="21"/>
                <w:highlight w:val="none"/>
              </w:rPr>
              <w:t>附录1</w:t>
            </w:r>
          </w:p>
          <w:p w14:paraId="3D8A5F1C">
            <w:pPr>
              <w:pStyle w:val="276"/>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业绩最低要求：见</w:t>
            </w:r>
            <w:r>
              <w:rPr>
                <w:rFonts w:hint="eastAsia" w:ascii="宋体" w:hAnsi="宋体" w:eastAsia="宋体" w:cs="宋体"/>
                <w:color w:val="auto"/>
                <w:szCs w:val="21"/>
                <w:highlight w:val="none"/>
              </w:rPr>
              <w:t>附录2</w:t>
            </w:r>
          </w:p>
          <w:p w14:paraId="0D7AE484">
            <w:pPr>
              <w:pStyle w:val="276"/>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信誉最低要求：见</w:t>
            </w:r>
            <w:r>
              <w:rPr>
                <w:rFonts w:hint="eastAsia" w:ascii="宋体" w:hAnsi="宋体" w:eastAsia="宋体" w:cs="宋体"/>
                <w:color w:val="auto"/>
                <w:szCs w:val="21"/>
                <w:highlight w:val="none"/>
              </w:rPr>
              <w:t>附录3</w:t>
            </w:r>
          </w:p>
          <w:p w14:paraId="37989BC7">
            <w:pPr>
              <w:pStyle w:val="276"/>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主要人员最低要求</w:t>
            </w:r>
            <w:r>
              <w:rPr>
                <w:rFonts w:hint="eastAsia" w:ascii="宋体" w:hAnsi="宋体" w:cs="宋体"/>
                <w:color w:val="auto"/>
                <w:szCs w:val="21"/>
                <w:highlight w:val="none"/>
                <w:lang w:eastAsia="zh-CN"/>
              </w:rPr>
              <w:t>：</w:t>
            </w:r>
            <w:r>
              <w:rPr>
                <w:rFonts w:hint="eastAsia" w:ascii="宋体" w:hAnsi="宋体" w:cs="宋体"/>
                <w:color w:val="auto"/>
                <w:szCs w:val="21"/>
                <w:highlight w:val="none"/>
              </w:rPr>
              <w:t>见</w:t>
            </w:r>
            <w:r>
              <w:rPr>
                <w:rFonts w:hint="eastAsia" w:ascii="宋体" w:hAnsi="宋体" w:eastAsia="宋体" w:cs="宋体"/>
                <w:color w:val="auto"/>
                <w:szCs w:val="21"/>
                <w:highlight w:val="none"/>
              </w:rPr>
              <w:t>附录4</w:t>
            </w:r>
          </w:p>
          <w:p w14:paraId="7DD5ACBF">
            <w:pPr>
              <w:pStyle w:val="276"/>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其他要求</w:t>
            </w:r>
            <w:r>
              <w:rPr>
                <w:rFonts w:hint="eastAsia" w:ascii="宋体" w:hAnsi="宋体" w:eastAsia="宋体" w:cs="宋体"/>
                <w:color w:val="auto"/>
                <w:szCs w:val="21"/>
                <w:highlight w:val="none"/>
                <w:vertAlign w:val="superscript"/>
              </w:rPr>
              <w:footnoteReference w:id="27"/>
            </w:r>
            <w:r>
              <w:rPr>
                <w:rFonts w:hint="eastAsia" w:ascii="宋体" w:hAnsi="宋体" w:cs="宋体"/>
                <w:color w:val="auto"/>
                <w:szCs w:val="21"/>
                <w:highlight w:val="none"/>
              </w:rPr>
              <w:t>：</w:t>
            </w:r>
            <w:r>
              <w:rPr>
                <w:rFonts w:hint="eastAsia" w:ascii="宋体" w:hAnsi="宋体" w:cs="宋体"/>
                <w:b/>
                <w:color w:val="auto"/>
                <w:szCs w:val="21"/>
                <w:highlight w:val="none"/>
              </w:rPr>
              <w:t xml:space="preserve">□ </w:t>
            </w:r>
            <w:r>
              <w:rPr>
                <w:rFonts w:hint="eastAsia" w:ascii="宋体" w:hAnsi="宋体" w:cs="宋体"/>
                <w:color w:val="auto"/>
                <w:szCs w:val="21"/>
                <w:highlight w:val="none"/>
              </w:rPr>
              <w:t>见</w:t>
            </w:r>
            <w:r>
              <w:rPr>
                <w:rFonts w:hint="eastAsia" w:ascii="宋体" w:hAnsi="宋体" w:eastAsia="宋体" w:cs="宋体"/>
                <w:color w:val="auto"/>
                <w:szCs w:val="21"/>
                <w:highlight w:val="none"/>
              </w:rPr>
              <w:t>附录5</w:t>
            </w:r>
            <w:r>
              <w:rPr>
                <w:rFonts w:hint="eastAsia" w:ascii="宋体" w:hAnsi="宋体" w:cs="宋体"/>
                <w:color w:val="auto"/>
                <w:szCs w:val="21"/>
                <w:highlight w:val="none"/>
              </w:rPr>
              <w:t xml:space="preserve"> </w:t>
            </w:r>
          </w:p>
          <w:p w14:paraId="7D361458">
            <w:pPr>
              <w:pStyle w:val="276"/>
              <w:adjustRightInd w:val="0"/>
              <w:snapToGrid w:val="0"/>
              <w:spacing w:line="400" w:lineRule="exact"/>
              <w:ind w:firstLine="1160" w:firstLineChars="550"/>
              <w:rPr>
                <w:rFonts w:hint="eastAsia" w:ascii="宋体" w:hAnsi="宋体" w:cs="宋体"/>
                <w:color w:val="auto"/>
                <w:szCs w:val="21"/>
                <w:highlight w:val="none"/>
              </w:rPr>
            </w:pPr>
            <w:r>
              <w:rPr>
                <w:rFonts w:hint="eastAsia" w:ascii="宋体" w:hAnsi="宋体" w:cs="宋体"/>
                <w:b/>
                <w:color w:val="auto"/>
                <w:szCs w:val="21"/>
                <w:highlight w:val="none"/>
              </w:rPr>
              <w:t xml:space="preserve">□ </w:t>
            </w:r>
            <w:r>
              <w:rPr>
                <w:rFonts w:hint="eastAsia" w:ascii="宋体" w:hAnsi="宋体" w:cs="宋体"/>
                <w:color w:val="auto"/>
                <w:szCs w:val="21"/>
                <w:highlight w:val="none"/>
              </w:rPr>
              <w:t>无</w:t>
            </w:r>
          </w:p>
          <w:p w14:paraId="3BC901B9">
            <w:pPr>
              <w:pStyle w:val="276"/>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注：上述要求应附相关证明材料，证明材料以第七章“投标文件格式”中要求为准</w:t>
            </w:r>
          </w:p>
        </w:tc>
      </w:tr>
      <w:tr w14:paraId="1451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19968C1">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1.4.2</w:t>
            </w:r>
          </w:p>
        </w:tc>
        <w:tc>
          <w:tcPr>
            <w:tcW w:w="2126" w:type="dxa"/>
            <w:vAlign w:val="center"/>
          </w:tcPr>
          <w:p w14:paraId="2F949F0B">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是否接受</w:t>
            </w:r>
          </w:p>
          <w:p w14:paraId="0B384FE3">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联合体投标</w:t>
            </w:r>
          </w:p>
        </w:tc>
        <w:tc>
          <w:tcPr>
            <w:tcW w:w="5847" w:type="dxa"/>
            <w:vAlign w:val="center"/>
          </w:tcPr>
          <w:p w14:paraId="4DB0D9DE">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标段，不接受</w:t>
            </w:r>
          </w:p>
          <w:p w14:paraId="5F077691">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标段，接受，应满足下列要求</w:t>
            </w:r>
            <w:r>
              <w:rPr>
                <w:rStyle w:val="58"/>
                <w:rFonts w:hint="eastAsia" w:asciiTheme="minorEastAsia" w:hAnsiTheme="minorEastAsia" w:eastAsiaTheme="minorEastAsia"/>
                <w:szCs w:val="21"/>
              </w:rPr>
              <w:footnoteReference w:id="28"/>
            </w:r>
            <w:r>
              <w:rPr>
                <w:rFonts w:ascii="宋体" w:hAnsi="宋体" w:cs="宋体"/>
                <w:color w:val="auto"/>
                <w:szCs w:val="21"/>
                <w:highlight w:val="none"/>
              </w:rPr>
              <w:t>：</w:t>
            </w:r>
          </w:p>
          <w:p w14:paraId="3D1BD495">
            <w:pPr>
              <w:pStyle w:val="276"/>
              <w:adjustRightInd w:val="0"/>
              <w:snapToGrid w:val="0"/>
              <w:spacing w:line="400" w:lineRule="exact"/>
              <w:jc w:val="left"/>
              <w:rPr>
                <w:rFonts w:ascii="宋体" w:hAnsi="宋体" w:cs="宋体"/>
                <w:color w:val="auto"/>
                <w:szCs w:val="21"/>
                <w:highlight w:val="none"/>
                <w:u w:val="single"/>
              </w:rPr>
            </w:pPr>
            <w:r>
              <w:rPr>
                <w:rFonts w:hint="eastAsia" w:ascii="宋体" w:hAnsi="宋体" w:cs="宋体"/>
                <w:color w:val="auto"/>
                <w:szCs w:val="21"/>
                <w:highlight w:val="none"/>
              </w:rPr>
              <w:t>（</w:t>
            </w:r>
            <w:r>
              <w:rPr>
                <w:rFonts w:ascii="宋体" w:hAnsi="宋体" w:cs="宋体"/>
                <w:color w:val="auto"/>
                <w:szCs w:val="21"/>
                <w:highlight w:val="none"/>
              </w:rPr>
              <w:t>1）联合体所有成员数量不得超过</w:t>
            </w:r>
            <w:r>
              <w:rPr>
                <w:rFonts w:ascii="宋体" w:hAnsi="宋体" w:cs="宋体"/>
                <w:color w:val="auto"/>
                <w:szCs w:val="21"/>
                <w:highlight w:val="none"/>
                <w:u w:val="single"/>
              </w:rPr>
              <w:t xml:space="preserve">       </w:t>
            </w:r>
            <w:r>
              <w:rPr>
                <w:rFonts w:hint="eastAsia" w:ascii="宋体" w:hAnsi="宋体" w:cs="宋体"/>
                <w:color w:val="auto"/>
                <w:szCs w:val="21"/>
                <w:highlight w:val="none"/>
              </w:rPr>
              <w:t>家；</w:t>
            </w:r>
          </w:p>
          <w:p w14:paraId="251F1F64">
            <w:pPr>
              <w:pStyle w:val="276"/>
              <w:adjustRightInd w:val="0"/>
              <w:snapToGrid w:val="0"/>
              <w:spacing w:line="4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2）联合体应具有的资格条件要求：</w:t>
            </w:r>
            <w:r>
              <w:rPr>
                <w:rFonts w:hint="eastAsia" w:ascii="宋体" w:hAnsi="宋体" w:cs="宋体"/>
                <w:color w:val="auto"/>
                <w:szCs w:val="21"/>
                <w:highlight w:val="none"/>
                <w:u w:val="single"/>
              </w:rPr>
              <w:t>见投标人须知前附表附录资格审查条件</w:t>
            </w:r>
            <w:r>
              <w:rPr>
                <w:rFonts w:hint="eastAsia" w:ascii="宋体" w:hAnsi="宋体" w:cs="宋体"/>
                <w:color w:val="auto"/>
                <w:szCs w:val="21"/>
                <w:highlight w:val="none"/>
                <w:lang w:eastAsia="zh-CN"/>
              </w:rPr>
              <w:t>；</w:t>
            </w:r>
          </w:p>
          <w:p w14:paraId="46380BFB">
            <w:pPr>
              <w:pStyle w:val="267"/>
              <w:tabs>
                <w:tab w:val="left" w:pos="477"/>
              </w:tabs>
              <w:spacing w:line="400" w:lineRule="exact"/>
              <w:rPr>
                <w:rFonts w:ascii="宋体" w:hAnsi="宋体" w:cs="宋体"/>
                <w:color w:val="auto"/>
                <w:szCs w:val="21"/>
                <w:highlight w:val="none"/>
              </w:rPr>
            </w:pPr>
            <w:r>
              <w:rPr>
                <w:rFonts w:hint="eastAsia" w:asciiTheme="minorEastAsia" w:hAnsiTheme="minorEastAsia" w:eastAsiaTheme="minorEastAsia"/>
                <w:color w:val="auto"/>
                <w:szCs w:val="21"/>
                <w:highlight w:val="none"/>
              </w:rPr>
              <w:t>（3）</w:t>
            </w:r>
            <w:r>
              <w:rPr>
                <w:rFonts w:hint="eastAsia" w:ascii="宋体" w:hAnsi="宋体" w:eastAsia="宋体" w:cs="宋体"/>
                <w:color w:val="auto"/>
                <w:szCs w:val="21"/>
                <w:highlight w:val="none"/>
                <w:u w:val="single"/>
              </w:rPr>
              <w:t>……</w:t>
            </w:r>
          </w:p>
          <w:p w14:paraId="047C2026">
            <w:pPr>
              <w:pStyle w:val="276"/>
              <w:adjustRightInd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注：本次招标未列入接受联合体投标的标段均视为不接受联合体</w:t>
            </w:r>
          </w:p>
        </w:tc>
      </w:tr>
      <w:tr w14:paraId="2B4A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7F2BF78">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1.4.3</w:t>
            </w:r>
          </w:p>
        </w:tc>
        <w:tc>
          <w:tcPr>
            <w:tcW w:w="2126" w:type="dxa"/>
            <w:vAlign w:val="center"/>
          </w:tcPr>
          <w:p w14:paraId="20652788">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投标人不得存在的其他关联情形</w:t>
            </w:r>
          </w:p>
        </w:tc>
        <w:tc>
          <w:tcPr>
            <w:tcW w:w="5847" w:type="dxa"/>
            <w:vAlign w:val="center"/>
          </w:tcPr>
          <w:p w14:paraId="39350CA8">
            <w:pPr>
              <w:pStyle w:val="276"/>
              <w:adjustRightInd w:val="0"/>
              <w:snapToGrid w:val="0"/>
              <w:spacing w:line="400" w:lineRule="exact"/>
              <w:rPr>
                <w:rFonts w:hint="eastAsia" w:ascii="宋体" w:hAnsi="宋体" w:eastAsia="宋体" w:cs="宋体"/>
                <w:color w:val="auto"/>
                <w:szCs w:val="21"/>
                <w:highlight w:val="none"/>
                <w:lang w:eastAsia="zh-CN"/>
              </w:rPr>
            </w:pPr>
            <w:r>
              <w:rPr>
                <w:rFonts w:ascii="宋体" w:hAnsi="宋体" w:cs="宋体"/>
                <w:color w:val="auto"/>
                <w:szCs w:val="21"/>
                <w:highlight w:val="none"/>
              </w:rPr>
              <w:t>1.</w:t>
            </w:r>
            <w:r>
              <w:rPr>
                <w:rFonts w:hint="eastAsia" w:ascii="宋体" w:hAnsi="宋体" w:cs="宋体"/>
                <w:color w:val="auto"/>
                <w:szCs w:val="21"/>
                <w:highlight w:val="none"/>
              </w:rPr>
              <w:t>第（</w:t>
            </w:r>
            <w:r>
              <w:rPr>
                <w:rFonts w:ascii="宋体" w:hAnsi="宋体" w:cs="宋体"/>
                <w:color w:val="auto"/>
                <w:szCs w:val="21"/>
                <w:highlight w:val="none"/>
              </w:rPr>
              <w:t>3）目补充：单位负责人，是指单位法定代表人或者法律、行政法规规定代表单位行使职权的主要负责人</w:t>
            </w:r>
            <w:r>
              <w:rPr>
                <w:rFonts w:hint="eastAsia" w:ascii="宋体" w:hAnsi="宋体" w:cs="宋体"/>
                <w:color w:val="auto"/>
                <w:szCs w:val="21"/>
                <w:highlight w:val="none"/>
                <w:lang w:eastAsia="zh-CN"/>
              </w:rPr>
              <w:t>；</w:t>
            </w:r>
          </w:p>
          <w:p w14:paraId="19F32507">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 xml:space="preserve">2.第（4）目补充：   </w:t>
            </w:r>
          </w:p>
          <w:p w14:paraId="09378612">
            <w:pPr>
              <w:pStyle w:val="276"/>
              <w:adjustRightInd w:val="0"/>
              <w:snapToGrid w:val="0"/>
              <w:spacing w:line="400" w:lineRule="exact"/>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控股关系，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w:t>
            </w:r>
            <w:r>
              <w:rPr>
                <w:rFonts w:hint="eastAsia" w:asciiTheme="minorEastAsia" w:hAnsiTheme="minorEastAsia" w:eastAsiaTheme="minorEastAsia"/>
                <w:color w:val="auto"/>
                <w:szCs w:val="21"/>
                <w:highlight w:val="none"/>
                <w:lang w:val="en-US" w:eastAsia="zh-CN"/>
              </w:rPr>
              <w:t>股东</w:t>
            </w:r>
            <w:r>
              <w:rPr>
                <w:rFonts w:hint="eastAsia" w:ascii="宋体" w:hAnsi="宋体" w:cs="宋体"/>
                <w:color w:val="auto"/>
                <w:szCs w:val="21"/>
                <w:highlight w:val="none"/>
              </w:rPr>
              <w:t>。</w:t>
            </w:r>
          </w:p>
          <w:p w14:paraId="409B987A">
            <w:pPr>
              <w:pStyle w:val="276"/>
              <w:adjustRightInd w:val="0"/>
              <w:snapToGrid w:val="0"/>
              <w:spacing w:line="400" w:lineRule="exact"/>
              <w:ind w:firstLine="210" w:firstLineChars="100"/>
              <w:rPr>
                <w:rFonts w:hint="eastAsia" w:ascii="宋体" w:hAnsi="宋体" w:eastAsia="宋体" w:cs="宋体"/>
                <w:color w:val="auto"/>
                <w:szCs w:val="21"/>
                <w:highlight w:val="none"/>
                <w:lang w:eastAsia="zh-CN"/>
              </w:rPr>
            </w:pPr>
            <w:r>
              <w:rPr>
                <w:rFonts w:ascii="宋体" w:hAnsi="宋体" w:cs="宋体"/>
                <w:color w:val="auto"/>
                <w:szCs w:val="21"/>
                <w:highlight w:val="none"/>
              </w:rPr>
              <w:t>管理关系，是指不具有出资持股关系的其他单位之间存在的管理与被管理关系</w:t>
            </w:r>
            <w:r>
              <w:rPr>
                <w:rFonts w:hint="eastAsia" w:ascii="宋体" w:hAnsi="宋体" w:cs="宋体"/>
                <w:color w:val="auto"/>
                <w:szCs w:val="21"/>
                <w:highlight w:val="none"/>
                <w:lang w:eastAsia="zh-CN"/>
              </w:rPr>
              <w:t>。</w:t>
            </w:r>
          </w:p>
          <w:p w14:paraId="57D8035D">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3.第（1</w:t>
            </w:r>
            <w:r>
              <w:rPr>
                <w:rFonts w:hint="eastAsia" w:ascii="宋体" w:hAnsi="宋体" w:cs="宋体"/>
                <w:color w:val="auto"/>
                <w:szCs w:val="21"/>
                <w:highlight w:val="none"/>
                <w:lang w:val="en-US" w:eastAsia="zh-CN"/>
              </w:rPr>
              <w:t>1</w:t>
            </w:r>
            <w:r>
              <w:rPr>
                <w:rFonts w:ascii="宋体" w:hAnsi="宋体" w:cs="宋体"/>
                <w:color w:val="auto"/>
                <w:szCs w:val="21"/>
                <w:highlight w:val="none"/>
              </w:rPr>
              <w:t>）目其他关联</w:t>
            </w:r>
            <w:r>
              <w:rPr>
                <w:rFonts w:hint="eastAsia" w:ascii="宋体" w:hAnsi="宋体" w:cs="宋体"/>
                <w:color w:val="auto"/>
                <w:szCs w:val="21"/>
                <w:highlight w:val="none"/>
                <w:lang w:val="en-US" w:eastAsia="zh-CN"/>
              </w:rPr>
              <w:t>情形</w:t>
            </w:r>
            <w:r>
              <w:rPr>
                <w:rFonts w:ascii="宋体" w:hAnsi="宋体" w:cs="宋体"/>
                <w:color w:val="auto"/>
                <w:szCs w:val="21"/>
                <w:highlight w:val="none"/>
              </w:rPr>
              <w:t>：</w:t>
            </w:r>
            <w:r>
              <w:rPr>
                <w:rFonts w:ascii="宋体" w:hAnsi="宋体" w:cs="宋体"/>
                <w:color w:val="auto"/>
                <w:szCs w:val="21"/>
                <w:highlight w:val="none"/>
                <w:u w:val="single"/>
              </w:rPr>
              <w:t xml:space="preserve">            </w:t>
            </w:r>
          </w:p>
        </w:tc>
      </w:tr>
      <w:tr w14:paraId="536B0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7E8CA620">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1.4.4</w:t>
            </w:r>
          </w:p>
        </w:tc>
        <w:tc>
          <w:tcPr>
            <w:tcW w:w="2126" w:type="dxa"/>
            <w:vAlign w:val="center"/>
          </w:tcPr>
          <w:p w14:paraId="44E15D5B">
            <w:pPr>
              <w:pStyle w:val="276"/>
              <w:adjustRightInd w:val="0"/>
              <w:snapToGrid w:val="0"/>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投标人不得存在的其他不良状况或不良信用记录</w:t>
            </w:r>
          </w:p>
        </w:tc>
        <w:tc>
          <w:tcPr>
            <w:tcW w:w="5847" w:type="dxa"/>
            <w:vAlign w:val="center"/>
          </w:tcPr>
          <w:p w14:paraId="17E822C4">
            <w:pPr>
              <w:pStyle w:val="276"/>
              <w:adjustRightInd w:val="0"/>
              <w:snapToGrid w:val="0"/>
              <w:spacing w:line="400" w:lineRule="exact"/>
              <w:rPr>
                <w:rFonts w:hint="eastAsia" w:ascii="宋体" w:hAnsi="宋体" w:eastAsia="宋体" w:cs="宋体"/>
                <w:color w:val="auto"/>
                <w:szCs w:val="21"/>
                <w:highlight w:val="none"/>
                <w:lang w:eastAsia="zh-CN"/>
              </w:rPr>
            </w:pPr>
            <w:r>
              <w:rPr>
                <w:rFonts w:ascii="宋体" w:hAnsi="宋体" w:cs="宋体"/>
                <w:color w:val="auto"/>
                <w:szCs w:val="21"/>
                <w:highlight w:val="none"/>
              </w:rPr>
              <w:t>1.本项第（4）、（5）、（6）目要求见本须知</w:t>
            </w:r>
            <w:r>
              <w:rPr>
                <w:rFonts w:hint="eastAsia" w:ascii="宋体" w:hAnsi="宋体" w:cs="宋体"/>
                <w:color w:val="auto"/>
                <w:szCs w:val="21"/>
                <w:highlight w:val="none"/>
              </w:rPr>
              <w:t>前附表</w:t>
            </w:r>
            <w:r>
              <w:rPr>
                <w:rFonts w:ascii="宋体" w:hAnsi="宋体" w:cs="宋体"/>
                <w:color w:val="auto"/>
                <w:szCs w:val="21"/>
                <w:highlight w:val="none"/>
              </w:rPr>
              <w:t>第1.4.1</w:t>
            </w:r>
            <w:r>
              <w:rPr>
                <w:rFonts w:hint="eastAsia" w:ascii="宋体" w:hAnsi="宋体" w:cs="宋体"/>
                <w:color w:val="auto"/>
                <w:szCs w:val="21"/>
                <w:highlight w:val="none"/>
                <w:lang w:val="en-US" w:eastAsia="zh-CN"/>
              </w:rPr>
              <w:t>项中“</w:t>
            </w:r>
            <w:r>
              <w:rPr>
                <w:rFonts w:ascii="宋体" w:hAnsi="宋体" w:cs="宋体"/>
                <w:color w:val="auto"/>
                <w:szCs w:val="21"/>
                <w:highlight w:val="none"/>
              </w:rPr>
              <w:t>信誉最低要求</w:t>
            </w:r>
            <w:r>
              <w:rPr>
                <w:rFonts w:hint="eastAsia" w:ascii="宋体" w:hAnsi="宋体" w:cs="宋体"/>
                <w:color w:val="auto"/>
                <w:szCs w:val="21"/>
                <w:highlight w:val="none"/>
                <w:lang w:val="en-US" w:eastAsia="zh-CN"/>
              </w:rPr>
              <w:t>”</w:t>
            </w:r>
            <w:r>
              <w:rPr>
                <w:rFonts w:hint="eastAsia" w:ascii="宋体" w:hAnsi="宋体" w:cs="宋体"/>
                <w:color w:val="auto"/>
                <w:szCs w:val="21"/>
                <w:highlight w:val="none"/>
                <w:lang w:eastAsia="zh-CN"/>
              </w:rPr>
              <w:t>；</w:t>
            </w:r>
          </w:p>
          <w:p w14:paraId="0BADC031">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2.第（7）目其他不良状况或不良信</w:t>
            </w:r>
            <w:r>
              <w:rPr>
                <w:rFonts w:hint="eastAsia" w:ascii="宋体" w:hAnsi="宋体" w:cs="宋体"/>
                <w:color w:val="auto"/>
                <w:szCs w:val="21"/>
                <w:highlight w:val="none"/>
                <w:lang w:val="en-US" w:eastAsia="zh-CN"/>
              </w:rPr>
              <w:t>用</w:t>
            </w:r>
            <w:r>
              <w:rPr>
                <w:rFonts w:ascii="宋体" w:hAnsi="宋体" w:cs="宋体"/>
                <w:color w:val="auto"/>
                <w:szCs w:val="21"/>
                <w:highlight w:val="none"/>
              </w:rPr>
              <w:t>记录：</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tc>
      </w:tr>
      <w:tr w14:paraId="386C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4" w:type="dxa"/>
            <w:vAlign w:val="center"/>
          </w:tcPr>
          <w:p w14:paraId="3C5E4E76">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1.10.2</w:t>
            </w:r>
          </w:p>
        </w:tc>
        <w:tc>
          <w:tcPr>
            <w:tcW w:w="2126" w:type="dxa"/>
            <w:vAlign w:val="center"/>
          </w:tcPr>
          <w:p w14:paraId="29E06D24">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投标人在投标预备会前提出问题</w:t>
            </w:r>
          </w:p>
        </w:tc>
        <w:tc>
          <w:tcPr>
            <w:tcW w:w="5847" w:type="dxa"/>
            <w:vAlign w:val="center"/>
          </w:tcPr>
          <w:p w14:paraId="19F492FD">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时间：在召开预备会时间之前（如有）</w:t>
            </w:r>
          </w:p>
          <w:p w14:paraId="3D91E1A0">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形式：以匿名方式在“</w:t>
            </w:r>
            <w:r>
              <w:rPr>
                <w:rFonts w:hint="eastAsia" w:ascii="宋体" w:hAnsi="宋体" w:cs="宋体"/>
                <w:color w:val="auto"/>
                <w:szCs w:val="21"/>
                <w:highlight w:val="none"/>
                <w:lang w:eastAsia="zh-CN"/>
              </w:rPr>
              <w:t>电子交易系统</w:t>
            </w: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澄清与异议</w:t>
            </w:r>
            <w:r>
              <w:rPr>
                <w:rFonts w:hint="eastAsia" w:ascii="宋体" w:hAnsi="宋体" w:cs="宋体"/>
                <w:color w:val="auto"/>
                <w:szCs w:val="21"/>
                <w:highlight w:val="none"/>
              </w:rPr>
              <w:t>”菜单</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提出问题</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也可采用</w:t>
            </w:r>
            <w:r>
              <w:rPr>
                <w:rFonts w:hint="eastAsia" w:ascii="宋体" w:hAnsi="宋体" w:eastAsia="宋体" w:cs="宋体"/>
                <w:snapToGrid w:val="0"/>
                <w:color w:val="auto"/>
                <w:kern w:val="0"/>
                <w:highlight w:val="none"/>
                <w:lang w:val="en-US" w:eastAsia="zh-CN"/>
              </w:rPr>
              <w:t>匿名书面方式进行</w:t>
            </w:r>
            <w:r>
              <w:rPr>
                <w:rFonts w:ascii="宋体" w:hAnsi="宋体" w:cs="宋体"/>
                <w:color w:val="auto"/>
                <w:szCs w:val="21"/>
                <w:highlight w:val="none"/>
              </w:rPr>
              <w:t xml:space="preserve">               </w:t>
            </w:r>
          </w:p>
        </w:tc>
      </w:tr>
      <w:tr w14:paraId="724C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4" w:type="dxa"/>
            <w:vAlign w:val="center"/>
          </w:tcPr>
          <w:p w14:paraId="48C6E6F8">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1.12.3</w:t>
            </w:r>
          </w:p>
        </w:tc>
        <w:tc>
          <w:tcPr>
            <w:tcW w:w="2126" w:type="dxa"/>
            <w:vAlign w:val="center"/>
          </w:tcPr>
          <w:p w14:paraId="0E4A7F9A">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细微偏差</w:t>
            </w:r>
          </w:p>
        </w:tc>
        <w:tc>
          <w:tcPr>
            <w:tcW w:w="5847" w:type="dxa"/>
            <w:vAlign w:val="center"/>
          </w:tcPr>
          <w:p w14:paraId="4930D97D">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本项细化为：</w:t>
            </w:r>
          </w:p>
          <w:p w14:paraId="48C687B2">
            <w:pPr>
              <w:adjustRightInd w:val="0"/>
              <w:snapToGrid w:val="0"/>
              <w:spacing w:line="400" w:lineRule="exact"/>
              <w:ind w:firstLine="210" w:firstLineChars="100"/>
              <w:rPr>
                <w:rFonts w:hint="eastAsia" w:cs="Times New Roman" w:asciiTheme="minorEastAsia" w:hAnsiTheme="minorEastAsia" w:eastAsiaTheme="minorEastAsia"/>
                <w:color w:val="auto"/>
                <w:kern w:val="2"/>
                <w:sz w:val="21"/>
                <w:szCs w:val="21"/>
                <w:highlight w:val="none"/>
                <w:u w:val="single"/>
                <w:lang w:val="en-US" w:eastAsia="zh-CN" w:bidi="ar-SA"/>
              </w:rPr>
            </w:pPr>
            <w:r>
              <w:rPr>
                <w:rFonts w:hint="eastAsia" w:asciiTheme="minorEastAsia" w:hAnsiTheme="minorEastAsia" w:eastAsiaTheme="minorEastAsia"/>
                <w:color w:val="auto"/>
                <w:szCs w:val="21"/>
                <w:highlight w:val="none"/>
              </w:rPr>
              <w:t>投标文件存在第三章“评标办法”中所列任一否决投标情形以外的情况均视为细微偏差</w:t>
            </w:r>
          </w:p>
        </w:tc>
      </w:tr>
      <w:tr w14:paraId="39D43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4" w:type="dxa"/>
            <w:vAlign w:val="center"/>
          </w:tcPr>
          <w:p w14:paraId="20BDA302">
            <w:pPr>
              <w:adjustRightInd w:val="0"/>
              <w:snapToGrid w:val="0"/>
              <w:spacing w:line="400" w:lineRule="exact"/>
              <w:jc w:val="center"/>
              <w:rPr>
                <w:rFonts w:cs="Times New Roman" w:asciiTheme="minorEastAsia" w:hAnsiTheme="minorEastAsia" w:eastAsiaTheme="minorEastAsia"/>
                <w:color w:val="auto"/>
                <w:kern w:val="2"/>
                <w:sz w:val="21"/>
                <w:szCs w:val="21"/>
                <w:highlight w:val="none"/>
                <w:lang w:val="en-US" w:eastAsia="zh-CN" w:bidi="ar-SA"/>
              </w:rPr>
            </w:pPr>
            <w:r>
              <w:rPr>
                <w:rFonts w:asciiTheme="minorEastAsia" w:hAnsiTheme="minorEastAsia" w:eastAsiaTheme="minorEastAsia"/>
                <w:color w:val="auto"/>
                <w:szCs w:val="21"/>
                <w:highlight w:val="none"/>
              </w:rPr>
              <w:t>1.12.4</w:t>
            </w:r>
          </w:p>
        </w:tc>
        <w:tc>
          <w:tcPr>
            <w:tcW w:w="2126" w:type="dxa"/>
            <w:vAlign w:val="center"/>
          </w:tcPr>
          <w:p w14:paraId="745924B3">
            <w:pPr>
              <w:adjustRightInd w:val="0"/>
              <w:snapToGrid w:val="0"/>
              <w:spacing w:line="400" w:lineRule="exact"/>
              <w:jc w:val="center"/>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细微偏差的处理</w:t>
            </w:r>
          </w:p>
        </w:tc>
        <w:tc>
          <w:tcPr>
            <w:tcW w:w="5847" w:type="dxa"/>
            <w:vAlign w:val="center"/>
          </w:tcPr>
          <w:p w14:paraId="69CC665A">
            <w:pPr>
              <w:adjustRightInd w:val="0"/>
              <w:snapToGrid w:val="0"/>
              <w:spacing w:line="400" w:lineRule="exact"/>
              <w:rPr>
                <w:rFonts w:hint="eastAsia" w:cs="Times New Roman" w:asciiTheme="minorEastAsia" w:hAnsiTheme="minorEastAsia" w:eastAsiaTheme="minorEastAsia"/>
                <w:color w:val="auto"/>
                <w:kern w:val="2"/>
                <w:sz w:val="21"/>
                <w:szCs w:val="21"/>
                <w:highlight w:val="none"/>
                <w:lang w:val="en-US" w:eastAsia="zh-CN" w:bidi="ar-SA"/>
              </w:rPr>
            </w:pPr>
            <w:r>
              <w:rPr>
                <w:rFonts w:hint="eastAsia" w:asciiTheme="minorEastAsia" w:hAnsiTheme="minorEastAsia" w:eastAsiaTheme="minorEastAsia"/>
                <w:color w:val="auto"/>
                <w:szCs w:val="21"/>
                <w:highlight w:val="none"/>
              </w:rPr>
              <w:t>见第三章“评标办法”</w:t>
            </w:r>
          </w:p>
        </w:tc>
      </w:tr>
      <w:tr w14:paraId="41C6B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622C92E8">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2.1</w:t>
            </w:r>
          </w:p>
        </w:tc>
        <w:tc>
          <w:tcPr>
            <w:tcW w:w="2126" w:type="dxa"/>
            <w:vAlign w:val="center"/>
          </w:tcPr>
          <w:p w14:paraId="2082348B">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构成招标文件</w:t>
            </w:r>
          </w:p>
          <w:p w14:paraId="4FFCF550">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其他资料</w:t>
            </w:r>
            <w:r>
              <w:rPr>
                <w:rStyle w:val="58"/>
                <w:rFonts w:ascii="宋体" w:hAnsi="宋体" w:cs="宋体"/>
                <w:color w:val="auto"/>
                <w:szCs w:val="21"/>
                <w:highlight w:val="none"/>
              </w:rPr>
              <w:footnoteReference w:id="29"/>
            </w:r>
          </w:p>
        </w:tc>
        <w:tc>
          <w:tcPr>
            <w:tcW w:w="5847" w:type="dxa"/>
            <w:vAlign w:val="center"/>
          </w:tcPr>
          <w:p w14:paraId="5C63FD09">
            <w:pPr>
              <w:pStyle w:val="276"/>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p>
        </w:tc>
      </w:tr>
      <w:tr w14:paraId="7E4C4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969B417">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2.2.1</w:t>
            </w:r>
          </w:p>
        </w:tc>
        <w:tc>
          <w:tcPr>
            <w:tcW w:w="2126" w:type="dxa"/>
            <w:vAlign w:val="center"/>
          </w:tcPr>
          <w:p w14:paraId="712445C1">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投标人要求澄清招标文件</w:t>
            </w:r>
          </w:p>
        </w:tc>
        <w:tc>
          <w:tcPr>
            <w:tcW w:w="5847" w:type="dxa"/>
            <w:vAlign w:val="center"/>
          </w:tcPr>
          <w:p w14:paraId="01A9B118">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时间：递交投标文件截止</w:t>
            </w:r>
            <w:r>
              <w:rPr>
                <w:rFonts w:hint="eastAsia" w:ascii="宋体" w:hAnsi="宋体" w:cs="宋体"/>
                <w:color w:val="auto"/>
                <w:szCs w:val="21"/>
                <w:highlight w:val="none"/>
                <w:lang w:val="en-US" w:eastAsia="zh-CN"/>
              </w:rPr>
              <w:t>时间</w:t>
            </w:r>
            <w:r>
              <w:rPr>
                <w:rFonts w:ascii="宋体" w:hAnsi="宋体" w:cs="宋体"/>
                <w:color w:val="auto"/>
                <w:szCs w:val="21"/>
                <w:highlight w:val="none"/>
                <w:u w:val="single"/>
              </w:rPr>
              <w:t xml:space="preserve">    </w:t>
            </w:r>
            <w:r>
              <w:rPr>
                <w:rFonts w:hint="eastAsia" w:ascii="宋体" w:hAnsi="宋体" w:cs="宋体"/>
                <w:color w:val="auto"/>
                <w:szCs w:val="21"/>
                <w:highlight w:val="none"/>
              </w:rPr>
              <w:t>日前</w:t>
            </w:r>
          </w:p>
          <w:p w14:paraId="593BB3C6">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形式：以匿名方式在“</w:t>
            </w:r>
            <w:r>
              <w:rPr>
                <w:rFonts w:hint="eastAsia" w:ascii="宋体" w:hAnsi="宋体" w:cs="宋体"/>
                <w:color w:val="auto"/>
                <w:szCs w:val="21"/>
                <w:highlight w:val="none"/>
                <w:lang w:eastAsia="zh-CN"/>
              </w:rPr>
              <w:t>电子交易系统</w:t>
            </w: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澄清与异议</w:t>
            </w:r>
            <w:r>
              <w:rPr>
                <w:rFonts w:hint="eastAsia" w:ascii="宋体" w:hAnsi="宋体" w:cs="宋体"/>
                <w:color w:val="auto"/>
                <w:szCs w:val="21"/>
                <w:highlight w:val="none"/>
              </w:rPr>
              <w:t>”菜单中提出</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也可采用</w:t>
            </w:r>
            <w:r>
              <w:rPr>
                <w:rFonts w:hint="eastAsia" w:ascii="宋体" w:hAnsi="宋体" w:eastAsia="宋体" w:cs="宋体"/>
                <w:snapToGrid w:val="0"/>
                <w:color w:val="auto"/>
                <w:kern w:val="0"/>
                <w:highlight w:val="none"/>
                <w:lang w:val="en-US" w:eastAsia="zh-CN"/>
              </w:rPr>
              <w:t>匿名书面方式进行</w:t>
            </w:r>
            <w:r>
              <w:rPr>
                <w:rFonts w:ascii="宋体" w:hAnsi="宋体" w:cs="宋体"/>
                <w:color w:val="auto"/>
                <w:szCs w:val="21"/>
                <w:highlight w:val="none"/>
              </w:rPr>
              <w:t xml:space="preserve">  </w:t>
            </w:r>
          </w:p>
        </w:tc>
      </w:tr>
      <w:tr w14:paraId="689D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75FC7CE">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2.2.2</w:t>
            </w:r>
          </w:p>
        </w:tc>
        <w:tc>
          <w:tcPr>
            <w:tcW w:w="2126" w:type="dxa"/>
            <w:vAlign w:val="center"/>
          </w:tcPr>
          <w:p w14:paraId="672AC857">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招标文件澄清</w:t>
            </w:r>
          </w:p>
          <w:p w14:paraId="6334A3DE">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发出的形式</w:t>
            </w:r>
          </w:p>
        </w:tc>
        <w:tc>
          <w:tcPr>
            <w:tcW w:w="5847" w:type="dxa"/>
            <w:vAlign w:val="center"/>
          </w:tcPr>
          <w:p w14:paraId="51FC430F">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招标人将以补遗书形式在全国公共资源交易平台（四川省）（</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hint="eastAsia" w:ascii="宋体" w:hAnsi="宋体" w:cs="宋体"/>
                <w:color w:val="auto"/>
                <w:szCs w:val="21"/>
                <w:highlight w:val="none"/>
                <w:lang w:eastAsia="zh-CN"/>
              </w:rPr>
              <w:t>https</w:t>
            </w:r>
            <w:r>
              <w:rPr>
                <w:rFonts w:ascii="宋体" w:hAnsi="宋体" w:cs="宋体"/>
                <w:color w:val="auto"/>
                <w:szCs w:val="21"/>
                <w:highlight w:val="none"/>
              </w:rPr>
              <w:t>://ggzyjy.sc.gov.cn/）</w:t>
            </w:r>
            <w:r>
              <w:rPr>
                <w:rFonts w:ascii="宋体" w:hAnsi="宋体" w:cs="宋体"/>
                <w:color w:val="auto"/>
                <w:szCs w:val="21"/>
                <w:highlight w:val="none"/>
              </w:rPr>
              <w:fldChar w:fldCharType="end"/>
            </w:r>
            <w:r>
              <w:rPr>
                <w:rFonts w:hint="eastAsia" w:ascii="宋体" w:hAnsi="宋体"/>
                <w:color w:val="auto"/>
                <w:szCs w:val="21"/>
                <w:highlight w:val="none"/>
              </w:rPr>
              <w:t>以及</w:t>
            </w:r>
            <w:r>
              <w:rPr>
                <w:rFonts w:ascii="宋体" w:hAnsi="宋体" w:cs="宋体"/>
                <w:color w:val="auto"/>
                <w:szCs w:val="21"/>
                <w:highlight w:val="none"/>
                <w:u w:val="single"/>
              </w:rPr>
              <w:t xml:space="preserve">          </w:t>
            </w:r>
            <w:r>
              <w:rPr>
                <w:rFonts w:hint="eastAsia" w:ascii="宋体" w:hAnsi="宋体"/>
                <w:color w:val="auto"/>
                <w:szCs w:val="21"/>
                <w:highlight w:val="none"/>
              </w:rPr>
              <w:t>（发布公告的媒介名称）</w:t>
            </w:r>
            <w:r>
              <w:rPr>
                <w:rFonts w:hint="eastAsia" w:ascii="宋体" w:hAnsi="宋体" w:cs="宋体"/>
                <w:color w:val="auto"/>
                <w:szCs w:val="21"/>
                <w:highlight w:val="none"/>
              </w:rPr>
              <w:t>发出招标文件澄清</w:t>
            </w:r>
          </w:p>
        </w:tc>
      </w:tr>
      <w:tr w14:paraId="666B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F5B07F4">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2.2.3</w:t>
            </w:r>
          </w:p>
        </w:tc>
        <w:tc>
          <w:tcPr>
            <w:tcW w:w="2126" w:type="dxa"/>
            <w:vAlign w:val="center"/>
          </w:tcPr>
          <w:p w14:paraId="460289FD">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投标人确认收到招标文件澄清</w:t>
            </w:r>
          </w:p>
        </w:tc>
        <w:tc>
          <w:tcPr>
            <w:tcW w:w="5847" w:type="dxa"/>
            <w:vAlign w:val="center"/>
          </w:tcPr>
          <w:p w14:paraId="2267B1CE">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无须确认。投标人应实时关注补遗书发布媒介，并及时下载澄清内容。因投标人自身原因未及时获知澄清内容而导致的任何后果将由投标人自行承担</w:t>
            </w:r>
          </w:p>
        </w:tc>
      </w:tr>
      <w:tr w14:paraId="13FF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7B805DDE">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2.3.1</w:t>
            </w:r>
          </w:p>
        </w:tc>
        <w:tc>
          <w:tcPr>
            <w:tcW w:w="2126" w:type="dxa"/>
            <w:vAlign w:val="center"/>
          </w:tcPr>
          <w:p w14:paraId="3E0FB6A1">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招标文件修改发出的形式</w:t>
            </w:r>
          </w:p>
        </w:tc>
        <w:tc>
          <w:tcPr>
            <w:tcW w:w="5847" w:type="dxa"/>
            <w:vAlign w:val="center"/>
          </w:tcPr>
          <w:p w14:paraId="51CA7637">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招标人将以补遗书形式发出招标文件的修改，发出媒介见本须知前附表</w:t>
            </w:r>
            <w:r>
              <w:rPr>
                <w:rFonts w:hint="eastAsia" w:ascii="宋体" w:hAnsi="宋体" w:cs="宋体"/>
                <w:color w:val="auto"/>
                <w:szCs w:val="21"/>
                <w:highlight w:val="none"/>
                <w:u w:val="none"/>
              </w:rPr>
              <w:t>第</w:t>
            </w:r>
            <w:r>
              <w:rPr>
                <w:rFonts w:ascii="宋体" w:hAnsi="宋体" w:cs="宋体"/>
                <w:color w:val="auto"/>
                <w:szCs w:val="21"/>
                <w:highlight w:val="none"/>
                <w:u w:val="none"/>
              </w:rPr>
              <w:t>2.2.2项</w:t>
            </w:r>
          </w:p>
        </w:tc>
      </w:tr>
      <w:tr w14:paraId="2BA0B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02E8C0C">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2.3.2</w:t>
            </w:r>
          </w:p>
        </w:tc>
        <w:tc>
          <w:tcPr>
            <w:tcW w:w="2126" w:type="dxa"/>
            <w:vAlign w:val="center"/>
          </w:tcPr>
          <w:p w14:paraId="692B7878">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投标人确认收到招标文件修改</w:t>
            </w:r>
          </w:p>
        </w:tc>
        <w:tc>
          <w:tcPr>
            <w:tcW w:w="5847" w:type="dxa"/>
            <w:vAlign w:val="center"/>
          </w:tcPr>
          <w:p w14:paraId="05412639">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无须确认。投标人应实时关注补遗书发布媒介，并及时下载修改内容。因投标人自身原因未及时获知</w:t>
            </w:r>
            <w:r>
              <w:rPr>
                <w:rFonts w:hint="eastAsia" w:ascii="宋体" w:hAnsi="宋体" w:cs="宋体"/>
                <w:color w:val="auto"/>
                <w:szCs w:val="21"/>
                <w:highlight w:val="none"/>
                <w:lang w:val="en-US" w:eastAsia="zh-CN"/>
              </w:rPr>
              <w:t>招标文件修改</w:t>
            </w:r>
            <w:r>
              <w:rPr>
                <w:rFonts w:hint="eastAsia" w:ascii="宋体" w:hAnsi="宋体" w:cs="宋体"/>
                <w:color w:val="auto"/>
                <w:szCs w:val="21"/>
                <w:highlight w:val="none"/>
              </w:rPr>
              <w:t>内容而导致的任何后果将由投标人自行承担</w:t>
            </w:r>
            <w:r>
              <w:rPr>
                <w:rFonts w:ascii="宋体" w:hAnsi="宋体" w:cs="宋体"/>
                <w:color w:val="auto"/>
                <w:szCs w:val="21"/>
                <w:highlight w:val="none"/>
              </w:rPr>
              <w:t xml:space="preserve"> </w:t>
            </w:r>
          </w:p>
        </w:tc>
      </w:tr>
      <w:tr w14:paraId="3613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71CBEFD3">
            <w:pPr>
              <w:adjustRightInd w:val="0"/>
              <w:snapToGrid w:val="0"/>
              <w:spacing w:line="400" w:lineRule="exact"/>
              <w:jc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2.4</w:t>
            </w:r>
          </w:p>
        </w:tc>
        <w:tc>
          <w:tcPr>
            <w:tcW w:w="2126" w:type="dxa"/>
            <w:vAlign w:val="center"/>
          </w:tcPr>
          <w:p w14:paraId="421BBFD2">
            <w:pPr>
              <w:adjustRightInd w:val="0"/>
              <w:snapToGrid w:val="0"/>
              <w:spacing w:line="400" w:lineRule="exact"/>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招标文件的异议</w:t>
            </w:r>
          </w:p>
        </w:tc>
        <w:tc>
          <w:tcPr>
            <w:tcW w:w="5847" w:type="dxa"/>
            <w:vAlign w:val="center"/>
          </w:tcPr>
          <w:p w14:paraId="3B458055">
            <w:pPr>
              <w:adjustRightInd w:val="0"/>
              <w:snapToGrid w:val="0"/>
              <w:spacing w:line="400" w:lineRule="exact"/>
              <w:rPr>
                <w:rFonts w:asciiTheme="minorEastAsia" w:hAnsiTheme="minorEastAsia" w:eastAsiaTheme="minorEastAsia"/>
                <w:szCs w:val="21"/>
              </w:rPr>
            </w:pPr>
            <w:r>
              <w:rPr>
                <w:rFonts w:hint="eastAsia" w:asciiTheme="minorEastAsia" w:hAnsiTheme="minorEastAsia" w:eastAsiaTheme="minorEastAsia"/>
                <w:szCs w:val="21"/>
              </w:rPr>
              <w:t>本款补充：</w:t>
            </w:r>
          </w:p>
          <w:p w14:paraId="1B11E2AB">
            <w:pPr>
              <w:adjustRightInd w:val="0"/>
              <w:snapToGrid w:val="0"/>
              <w:spacing w:line="400" w:lineRule="exact"/>
              <w:ind w:firstLine="210" w:firstLineChars="100"/>
              <w:rPr>
                <w:rFonts w:hint="eastAsia" w:ascii="宋体" w:hAnsi="宋体" w:eastAsia="宋体" w:cs="宋体"/>
                <w:kern w:val="2"/>
                <w:sz w:val="21"/>
                <w:szCs w:val="21"/>
                <w:u w:val="single"/>
                <w:lang w:val="en-US" w:eastAsia="zh-CN" w:bidi="ar-SA"/>
              </w:rPr>
            </w:pPr>
            <w:r>
              <w:rPr>
                <w:rFonts w:hint="eastAsia" w:asciiTheme="minorEastAsia" w:hAnsiTheme="minorEastAsia" w:eastAsiaTheme="minorEastAsia"/>
                <w:szCs w:val="21"/>
              </w:rPr>
              <w:t>投标人提出异议可通过“电子交易系统”在“澄清与异议”菜单中进行</w:t>
            </w:r>
            <w:r>
              <w:rPr>
                <w:rFonts w:hint="eastAsia" w:ascii="宋体" w:hAnsi="宋体" w:cs="宋体"/>
                <w:snapToGrid w:val="0"/>
                <w:kern w:val="0"/>
              </w:rPr>
              <w:t xml:space="preserve">，也可采用符合本须知前附表第8.5.2项要求的书面方式进行  </w:t>
            </w:r>
          </w:p>
        </w:tc>
      </w:tr>
      <w:tr w14:paraId="4E6A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24" w:type="dxa"/>
            <w:vAlign w:val="center"/>
          </w:tcPr>
          <w:p w14:paraId="74DA58EE">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3.1.1</w:t>
            </w:r>
          </w:p>
        </w:tc>
        <w:tc>
          <w:tcPr>
            <w:tcW w:w="2126" w:type="dxa"/>
            <w:vAlign w:val="center"/>
          </w:tcPr>
          <w:p w14:paraId="5EF3B704">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投标文件的组成</w:t>
            </w:r>
            <w:r>
              <w:rPr>
                <w:rStyle w:val="58"/>
                <w:rFonts w:ascii="宋体" w:hAnsi="宋体" w:cs="宋体"/>
                <w:color w:val="auto"/>
                <w:szCs w:val="21"/>
                <w:highlight w:val="none"/>
              </w:rPr>
              <w:footnoteReference w:id="30"/>
            </w:r>
          </w:p>
        </w:tc>
        <w:tc>
          <w:tcPr>
            <w:tcW w:w="5847" w:type="dxa"/>
            <w:vAlign w:val="center"/>
          </w:tcPr>
          <w:p w14:paraId="6A3B3996">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见第</w:t>
            </w:r>
            <w:r>
              <w:rPr>
                <w:rFonts w:hint="eastAsia" w:ascii="宋体" w:hAnsi="宋体" w:cs="宋体"/>
                <w:color w:val="auto"/>
                <w:szCs w:val="21"/>
                <w:highlight w:val="none"/>
                <w:u w:val="single"/>
              </w:rPr>
              <w:t>七</w:t>
            </w:r>
            <w:r>
              <w:rPr>
                <w:rFonts w:ascii="宋体" w:hAnsi="宋体" w:cs="宋体"/>
                <w:color w:val="auto"/>
                <w:szCs w:val="21"/>
                <w:highlight w:val="none"/>
                <w:u w:val="single"/>
              </w:rPr>
              <w:t>章</w:t>
            </w:r>
            <w:r>
              <w:rPr>
                <w:rFonts w:hint="eastAsia" w:ascii="宋体" w:hAnsi="宋体" w:cs="宋体"/>
                <w:color w:val="auto"/>
                <w:szCs w:val="21"/>
                <w:highlight w:val="none"/>
                <w:u w:val="single"/>
              </w:rPr>
              <w:t>“投标文件格式”</w:t>
            </w:r>
          </w:p>
        </w:tc>
      </w:tr>
      <w:tr w14:paraId="57A9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4" w:type="dxa"/>
            <w:vAlign w:val="center"/>
          </w:tcPr>
          <w:p w14:paraId="7ADCEF01">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3.2.1</w:t>
            </w:r>
          </w:p>
        </w:tc>
        <w:tc>
          <w:tcPr>
            <w:tcW w:w="2126" w:type="dxa"/>
            <w:vAlign w:val="center"/>
          </w:tcPr>
          <w:p w14:paraId="08D5DA52">
            <w:pPr>
              <w:pStyle w:val="276"/>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增值税税金的计算</w:t>
            </w:r>
          </w:p>
          <w:p w14:paraId="4C975B64">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方法</w:t>
            </w:r>
          </w:p>
        </w:tc>
        <w:tc>
          <w:tcPr>
            <w:tcW w:w="5847" w:type="dxa"/>
            <w:vAlign w:val="center"/>
          </w:tcPr>
          <w:p w14:paraId="4FB752C4">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一般计税法</w:t>
            </w:r>
          </w:p>
          <w:p w14:paraId="30FD0014">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其他：</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tc>
      </w:tr>
      <w:tr w14:paraId="423E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B0522E8">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3.2.3</w:t>
            </w:r>
          </w:p>
        </w:tc>
        <w:tc>
          <w:tcPr>
            <w:tcW w:w="2126" w:type="dxa"/>
            <w:vAlign w:val="center"/>
          </w:tcPr>
          <w:p w14:paraId="78872D04">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报价方式</w:t>
            </w:r>
            <w:r>
              <w:rPr>
                <w:rStyle w:val="58"/>
                <w:rFonts w:hint="eastAsia" w:asciiTheme="minorEastAsia" w:hAnsiTheme="minorEastAsia" w:eastAsiaTheme="minorEastAsia"/>
                <w:szCs w:val="21"/>
              </w:rPr>
              <w:footnoteReference w:id="31"/>
            </w:r>
          </w:p>
        </w:tc>
        <w:tc>
          <w:tcPr>
            <w:tcW w:w="5847" w:type="dxa"/>
            <w:vAlign w:val="center"/>
          </w:tcPr>
          <w:p w14:paraId="39667CD6">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单价</w:t>
            </w:r>
          </w:p>
          <w:p w14:paraId="0768726B">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总价</w:t>
            </w:r>
          </w:p>
          <w:p w14:paraId="3E993EDF">
            <w:pPr>
              <w:pStyle w:val="276"/>
              <w:adjustRightInd w:val="0"/>
              <w:snapToGrid w:val="0"/>
              <w:spacing w:line="400" w:lineRule="exact"/>
              <w:rPr>
                <w:rFonts w:ascii="宋体" w:hAnsi="宋体" w:cs="宋体"/>
                <w:color w:val="auto"/>
                <w:szCs w:val="21"/>
                <w:highlight w:val="none"/>
              </w:rPr>
            </w:pPr>
            <w:r>
              <w:rPr>
                <w:rFonts w:hint="eastAsia" w:asciiTheme="minorEastAsia" w:hAnsiTheme="minorEastAsia" w:eastAsiaTheme="minorEastAsia"/>
                <w:b/>
                <w:szCs w:val="21"/>
              </w:rPr>
              <w:t>□</w:t>
            </w:r>
            <w:r>
              <w:rPr>
                <w:rFonts w:asciiTheme="minorEastAsia" w:hAnsiTheme="minorEastAsia" w:eastAsiaTheme="minorEastAsia"/>
                <w:szCs w:val="21"/>
              </w:rPr>
              <w:t xml:space="preserve"> </w:t>
            </w:r>
            <w:r>
              <w:rPr>
                <w:rFonts w:hint="eastAsia" w:asciiTheme="minorEastAsia" w:hAnsiTheme="minorEastAsia" w:eastAsiaTheme="minorEastAsia"/>
                <w:szCs w:val="21"/>
              </w:rPr>
              <w:t>其他</w:t>
            </w:r>
            <w:r>
              <w:rPr>
                <w:rStyle w:val="58"/>
                <w:rFonts w:hint="eastAsia" w:asciiTheme="minorEastAsia" w:hAnsiTheme="minorEastAsia" w:eastAsiaTheme="minorEastAsia"/>
                <w:szCs w:val="21"/>
              </w:rPr>
              <w:footnoteReference w:id="32"/>
            </w:r>
            <w:r>
              <w:rPr>
                <w:rFonts w:hint="eastAsia" w:asciiTheme="minorEastAsia" w:hAnsiTheme="minorEastAsia" w:eastAsiaTheme="minorEastAsia"/>
                <w:szCs w:val="21"/>
              </w:rPr>
              <w:t>：</w:t>
            </w:r>
            <w:r>
              <w:rPr>
                <w:rFonts w:hint="eastAsia" w:asciiTheme="minorEastAsia" w:hAnsiTheme="minorEastAsia" w:eastAsiaTheme="minorEastAsia"/>
                <w:szCs w:val="21"/>
                <w:u w:val="single"/>
              </w:rPr>
              <w:t xml:space="preserve">        </w:t>
            </w:r>
          </w:p>
        </w:tc>
      </w:tr>
      <w:tr w14:paraId="28AC5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4" w:type="dxa"/>
            <w:vAlign w:val="center"/>
          </w:tcPr>
          <w:p w14:paraId="3D76680F">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3.2.4</w:t>
            </w:r>
          </w:p>
        </w:tc>
        <w:tc>
          <w:tcPr>
            <w:tcW w:w="2126" w:type="dxa"/>
            <w:vAlign w:val="center"/>
          </w:tcPr>
          <w:p w14:paraId="5A716B0E">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最高投标限价</w:t>
            </w:r>
          </w:p>
        </w:tc>
        <w:tc>
          <w:tcPr>
            <w:tcW w:w="5847" w:type="dxa"/>
            <w:vAlign w:val="center"/>
          </w:tcPr>
          <w:p w14:paraId="0CD586A9">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无 </w:t>
            </w:r>
          </w:p>
          <w:p w14:paraId="269D9C32">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有</w:t>
            </w:r>
          </w:p>
          <w:p w14:paraId="0D6F7D75">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 最高投标限价为</w:t>
            </w:r>
            <w:r>
              <w:rPr>
                <w:rFonts w:hint="eastAsia" w:ascii="宋体" w:hAnsi="宋体" w:cs="宋体"/>
                <w:color w:val="auto"/>
                <w:szCs w:val="21"/>
                <w:highlight w:val="none"/>
              </w:rPr>
              <w:t>：</w:t>
            </w:r>
            <w:r>
              <w:rPr>
                <w:rStyle w:val="58"/>
                <w:rFonts w:cs="宋体" w:asciiTheme="minorEastAsia" w:hAnsiTheme="minorEastAsia" w:eastAsiaTheme="minorEastAsia"/>
                <w:szCs w:val="21"/>
              </w:rPr>
              <w:footnoteReference w:id="33"/>
            </w:r>
          </w:p>
          <w:tbl>
            <w:tblPr>
              <w:tblStyle w:val="48"/>
              <w:tblW w:w="5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9"/>
            </w:tblGrid>
            <w:tr w14:paraId="1E83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579" w:type="dxa"/>
                  <w:vAlign w:val="center"/>
                </w:tcPr>
                <w:p w14:paraId="29D2CBA3">
                  <w:pPr>
                    <w:pStyle w:val="276"/>
                    <w:adjustRightInd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标段号：</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7B1C57A8">
                  <w:pPr>
                    <w:pStyle w:val="276"/>
                    <w:adjustRightInd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最高投标限价：</w:t>
                  </w:r>
                  <w:r>
                    <w:rPr>
                      <w:rFonts w:ascii="宋体" w:hAnsi="宋体" w:cs="宋体"/>
                      <w:color w:val="auto"/>
                      <w:szCs w:val="21"/>
                      <w:highlight w:val="none"/>
                      <w:u w:val="single"/>
                    </w:rPr>
                    <w:t xml:space="preserve">      </w:t>
                  </w:r>
                  <w:r>
                    <w:rPr>
                      <w:rFonts w:hint="eastAsia" w:ascii="宋体" w:hAnsi="宋体" w:cs="宋体"/>
                      <w:color w:val="auto"/>
                      <w:szCs w:val="21"/>
                      <w:highlight w:val="none"/>
                    </w:rPr>
                    <w:t>万元，其中：</w:t>
                  </w:r>
                </w:p>
                <w:p w14:paraId="3482481D">
                  <w:pPr>
                    <w:pStyle w:val="276"/>
                    <w:adjustRightInd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（1）竞争性部分报价：</w:t>
                  </w:r>
                  <w:r>
                    <w:rPr>
                      <w:rFonts w:ascii="宋体" w:hAnsi="宋体" w:cs="宋体"/>
                      <w:color w:val="auto"/>
                      <w:szCs w:val="21"/>
                      <w:highlight w:val="none"/>
                      <w:u w:val="single"/>
                    </w:rPr>
                    <w:t xml:space="preserve">    </w:t>
                  </w:r>
                  <w:r>
                    <w:rPr>
                      <w:rFonts w:ascii="宋体" w:hAnsi="宋体" w:cs="宋体"/>
                      <w:color w:val="auto"/>
                      <w:szCs w:val="21"/>
                      <w:highlight w:val="none"/>
                    </w:rPr>
                    <w:t xml:space="preserve"> 万元</w:t>
                  </w:r>
                  <w:r>
                    <w:rPr>
                      <w:rFonts w:hint="eastAsia" w:ascii="宋体" w:hAnsi="宋体" w:cs="宋体"/>
                      <w:color w:val="auto"/>
                      <w:szCs w:val="21"/>
                      <w:highlight w:val="none"/>
                    </w:rPr>
                    <w:t>；</w:t>
                  </w:r>
                </w:p>
                <w:p w14:paraId="282A5667">
                  <w:pPr>
                    <w:pStyle w:val="276"/>
                    <w:adjustRightInd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（2）非竞争性部分报价</w:t>
                  </w:r>
                  <w:r>
                    <w:rPr>
                      <w:rFonts w:ascii="宋体" w:hAnsi="宋体" w:cs="宋体"/>
                      <w:color w:val="auto"/>
                      <w:szCs w:val="21"/>
                      <w:highlight w:val="none"/>
                      <w:u w:val="single"/>
                    </w:rPr>
                    <w:t xml:space="preserve">    </w:t>
                  </w:r>
                  <w:r>
                    <w:rPr>
                      <w:rFonts w:ascii="宋体" w:hAnsi="宋体" w:cs="宋体"/>
                      <w:color w:val="auto"/>
                      <w:szCs w:val="21"/>
                      <w:highlight w:val="none"/>
                    </w:rPr>
                    <w:t xml:space="preserve"> 万元</w:t>
                  </w:r>
                  <w:r>
                    <w:rPr>
                      <w:rFonts w:hint="eastAsia" w:ascii="宋体" w:hAnsi="宋体" w:cs="宋体"/>
                      <w:color w:val="auto"/>
                      <w:szCs w:val="21"/>
                      <w:highlight w:val="none"/>
                    </w:rPr>
                    <w:t>，其中：</w:t>
                  </w:r>
                </w:p>
                <w:p w14:paraId="2D3F89EA">
                  <w:pPr>
                    <w:pStyle w:val="276"/>
                    <w:adjustRightInd w:val="0"/>
                    <w:snapToGrid w:val="0"/>
                    <w:spacing w:line="400" w:lineRule="exact"/>
                    <w:ind w:firstLine="420" w:firstLineChars="200"/>
                    <w:jc w:val="left"/>
                    <w:rPr>
                      <w:rFonts w:ascii="宋体" w:hAnsi="宋体" w:cs="宋体"/>
                      <w:color w:val="auto"/>
                      <w:szCs w:val="21"/>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w:instrText>
                  </w:r>
                  <w:r>
                    <w:rPr>
                      <w:rFonts w:hint="eastAsia" w:asciiTheme="minorEastAsia" w:hAnsiTheme="minorEastAsia" w:eastAsiaTheme="minorEastAsia"/>
                      <w:color w:val="auto"/>
                      <w:szCs w:val="21"/>
                      <w:highlight w:val="none"/>
                    </w:rPr>
                    <w:instrText xml:space="preserve">= 1 \* GB3</w:instrText>
                  </w:r>
                  <w:r>
                    <w:rPr>
                      <w:rFonts w:asciiTheme="minorEastAsia" w:hAnsiTheme="minorEastAsia" w:eastAsiaTheme="minorEastAsia"/>
                      <w:color w:val="auto"/>
                      <w:szCs w:val="21"/>
                      <w:highlight w:val="none"/>
                    </w:rPr>
                    <w:instrText xml:space="preserve"> </w:instrText>
                  </w:r>
                  <w:r>
                    <w:rPr>
                      <w:rFonts w:asciiTheme="minorEastAsia" w:hAnsiTheme="minorEastAsia" w:eastAsiaTheme="minorEastAsia"/>
                      <w:color w:val="auto"/>
                      <w:szCs w:val="21"/>
                      <w:highlight w:val="none"/>
                    </w:rPr>
                    <w:fldChar w:fldCharType="separate"/>
                  </w:r>
                  <w:r>
                    <w:rPr>
                      <w:rFonts w:hint="eastAsia" w:asciiTheme="minorEastAsia" w:hAnsiTheme="minorEastAsia" w:eastAsiaTheme="minorEastAsia"/>
                      <w:color w:val="auto"/>
                      <w:szCs w:val="21"/>
                      <w:highlight w:val="none"/>
                    </w:rPr>
                    <w:t>①</w:t>
                  </w:r>
                  <w:r>
                    <w:rPr>
                      <w:rFonts w:asciiTheme="minorEastAsia" w:hAnsiTheme="minorEastAsia" w:eastAsiaTheme="minorEastAsia"/>
                      <w:color w:val="auto"/>
                      <w:szCs w:val="21"/>
                      <w:highlight w:val="none"/>
                    </w:rPr>
                    <w:fldChar w:fldCharType="end"/>
                  </w:r>
                  <w:r>
                    <w:rPr>
                      <w:rFonts w:ascii="宋体" w:hAnsi="宋体" w:cs="宋体"/>
                      <w:color w:val="auto"/>
                      <w:szCs w:val="21"/>
                      <w:highlight w:val="none"/>
                    </w:rPr>
                    <w:t>暂估价：</w:t>
                  </w:r>
                  <w:r>
                    <w:rPr>
                      <w:rFonts w:ascii="宋体" w:hAnsi="宋体" w:cs="宋体"/>
                      <w:color w:val="auto"/>
                      <w:szCs w:val="21"/>
                      <w:highlight w:val="none"/>
                      <w:u w:val="single"/>
                    </w:rPr>
                    <w:t xml:space="preserve">   </w:t>
                  </w:r>
                  <w:r>
                    <w:rPr>
                      <w:rFonts w:hint="eastAsia" w:ascii="宋体" w:hAnsi="宋体" w:cs="宋体"/>
                      <w:color w:val="auto"/>
                      <w:szCs w:val="21"/>
                      <w:highlight w:val="none"/>
                    </w:rPr>
                    <w:t>万元；</w:t>
                  </w:r>
                </w:p>
                <w:p w14:paraId="2CE746DD">
                  <w:pPr>
                    <w:pStyle w:val="276"/>
                    <w:adjustRightInd w:val="0"/>
                    <w:snapToGrid w:val="0"/>
                    <w:spacing w:line="400" w:lineRule="exact"/>
                    <w:ind w:firstLine="420" w:firstLineChars="200"/>
                    <w:jc w:val="left"/>
                    <w:rPr>
                      <w:rFonts w:ascii="宋体" w:hAnsi="宋体" w:cs="宋体"/>
                      <w:color w:val="auto"/>
                      <w:szCs w:val="21"/>
                      <w:highlight w:val="none"/>
                    </w:rPr>
                  </w:pPr>
                  <w:r>
                    <w:rPr>
                      <w:rFonts w:asciiTheme="minorEastAsia" w:hAnsiTheme="minorEastAsia" w:eastAsiaTheme="minorEastAsia"/>
                      <w:color w:val="auto"/>
                      <w:szCs w:val="21"/>
                      <w:highlight w:val="none"/>
                    </w:rPr>
                    <w:fldChar w:fldCharType="begin"/>
                  </w:r>
                  <w:r>
                    <w:rPr>
                      <w:rFonts w:asciiTheme="minorEastAsia" w:hAnsiTheme="minorEastAsia" w:eastAsiaTheme="minorEastAsia"/>
                      <w:color w:val="auto"/>
                      <w:szCs w:val="21"/>
                      <w:highlight w:val="none"/>
                    </w:rPr>
                    <w:instrText xml:space="preserve"> </w:instrText>
                  </w:r>
                  <w:r>
                    <w:rPr>
                      <w:rFonts w:hint="eastAsia" w:asciiTheme="minorEastAsia" w:hAnsiTheme="minorEastAsia" w:eastAsiaTheme="minorEastAsia"/>
                      <w:color w:val="auto"/>
                      <w:szCs w:val="21"/>
                      <w:highlight w:val="none"/>
                    </w:rPr>
                    <w:instrText xml:space="preserve">= 2 \* GB3</w:instrText>
                  </w:r>
                  <w:r>
                    <w:rPr>
                      <w:rFonts w:asciiTheme="minorEastAsia" w:hAnsiTheme="minorEastAsia" w:eastAsiaTheme="minorEastAsia"/>
                      <w:color w:val="auto"/>
                      <w:szCs w:val="21"/>
                      <w:highlight w:val="none"/>
                    </w:rPr>
                    <w:instrText xml:space="preserve"> </w:instrText>
                  </w:r>
                  <w:r>
                    <w:rPr>
                      <w:rFonts w:asciiTheme="minorEastAsia" w:hAnsiTheme="minorEastAsia" w:eastAsiaTheme="minorEastAsia"/>
                      <w:color w:val="auto"/>
                      <w:szCs w:val="21"/>
                      <w:highlight w:val="none"/>
                    </w:rPr>
                    <w:fldChar w:fldCharType="separate"/>
                  </w:r>
                  <w:r>
                    <w:rPr>
                      <w:rFonts w:hint="eastAsia" w:asciiTheme="minorEastAsia" w:hAnsiTheme="minorEastAsia" w:eastAsiaTheme="minorEastAsia"/>
                      <w:color w:val="auto"/>
                      <w:szCs w:val="21"/>
                      <w:highlight w:val="none"/>
                    </w:rPr>
                    <w:t>②</w:t>
                  </w:r>
                  <w:r>
                    <w:rPr>
                      <w:rFonts w:asciiTheme="minorEastAsia" w:hAnsiTheme="minorEastAsia" w:eastAsiaTheme="minorEastAsia"/>
                      <w:color w:val="auto"/>
                      <w:szCs w:val="21"/>
                      <w:highlight w:val="none"/>
                    </w:rPr>
                    <w:fldChar w:fldCharType="end"/>
                  </w:r>
                  <w:r>
                    <w:rPr>
                      <w:rFonts w:hint="eastAsia" w:ascii="宋体" w:hAnsi="宋体" w:cs="宋体"/>
                      <w:color w:val="auto"/>
                      <w:szCs w:val="21"/>
                      <w:highlight w:val="none"/>
                    </w:rPr>
                    <w:t>暂列金额：</w:t>
                  </w:r>
                  <w:r>
                    <w:rPr>
                      <w:rFonts w:ascii="宋体" w:hAnsi="宋体" w:cs="宋体"/>
                      <w:color w:val="auto"/>
                      <w:szCs w:val="21"/>
                      <w:highlight w:val="none"/>
                      <w:u w:val="single"/>
                    </w:rPr>
                    <w:t xml:space="preserve">   </w:t>
                  </w:r>
                  <w:r>
                    <w:rPr>
                      <w:rFonts w:hint="eastAsia" w:ascii="宋体" w:hAnsi="宋体" w:cs="宋体"/>
                      <w:color w:val="auto"/>
                      <w:szCs w:val="21"/>
                      <w:highlight w:val="none"/>
                    </w:rPr>
                    <w:t>万元。</w:t>
                  </w:r>
                </w:p>
                <w:p w14:paraId="2DD119EE">
                  <w:pPr>
                    <w:pStyle w:val="276"/>
                    <w:adjustRightInd w:val="0"/>
                    <w:snapToGrid w:val="0"/>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w:t>
                  </w:r>
                </w:p>
              </w:tc>
            </w:tr>
          </w:tbl>
          <w:p w14:paraId="0CA0E374">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公布的最高投标限价作为投标人投标报价的控制上限，最高投标限价包括竞争性部分报价和非竞争性部分报价。凡是投标报价超过最高投标限价的，其投标将被否决</w:t>
            </w:r>
          </w:p>
          <w:p w14:paraId="44C86165">
            <w:pPr>
              <w:pStyle w:val="276"/>
              <w:adjustRightInd w:val="0"/>
              <w:snapToGrid w:val="0"/>
              <w:spacing w:line="400" w:lineRule="exact"/>
              <w:ind w:left="210"/>
              <w:rPr>
                <w:rFonts w:ascii="宋体" w:hAnsi="宋体" w:cs="宋体"/>
                <w:color w:val="auto"/>
                <w:szCs w:val="21"/>
                <w:highlight w:val="none"/>
              </w:rPr>
            </w:pPr>
            <w:r>
              <w:rPr>
                <w:rFonts w:ascii="宋体" w:hAnsi="宋体" w:cs="宋体"/>
                <w:color w:val="auto"/>
                <w:szCs w:val="21"/>
                <w:highlight w:val="none"/>
              </w:rPr>
              <w:t>□ 最高投标限价以补遗书的形式发布</w:t>
            </w:r>
          </w:p>
        </w:tc>
      </w:tr>
      <w:tr w14:paraId="1F0A4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66B26088">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3.2.5</w:t>
            </w:r>
          </w:p>
        </w:tc>
        <w:tc>
          <w:tcPr>
            <w:tcW w:w="2126" w:type="dxa"/>
            <w:vAlign w:val="center"/>
          </w:tcPr>
          <w:p w14:paraId="56A7963C">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投标报价的其他要求</w:t>
            </w:r>
          </w:p>
        </w:tc>
        <w:tc>
          <w:tcPr>
            <w:tcW w:w="5847" w:type="dxa"/>
            <w:vAlign w:val="center"/>
          </w:tcPr>
          <w:p w14:paraId="2C9BC39F">
            <w:pPr>
              <w:pStyle w:val="276"/>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p>
        </w:tc>
      </w:tr>
      <w:tr w14:paraId="4DB0F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0D1B00B">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3.3.1</w:t>
            </w:r>
          </w:p>
        </w:tc>
        <w:tc>
          <w:tcPr>
            <w:tcW w:w="2126" w:type="dxa"/>
            <w:vAlign w:val="center"/>
          </w:tcPr>
          <w:p w14:paraId="4D98230F">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5847" w:type="dxa"/>
            <w:vAlign w:val="center"/>
          </w:tcPr>
          <w:p w14:paraId="78522D76">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自投标人提交投标文件截止之日起计算</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tc>
      </w:tr>
      <w:tr w14:paraId="2CBA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024" w:type="dxa"/>
            <w:vAlign w:val="center"/>
          </w:tcPr>
          <w:p w14:paraId="3E2E0EBF">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3.4.1</w:t>
            </w:r>
          </w:p>
        </w:tc>
        <w:tc>
          <w:tcPr>
            <w:tcW w:w="2126" w:type="dxa"/>
            <w:vAlign w:val="center"/>
          </w:tcPr>
          <w:p w14:paraId="3CE4DAA2">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投标保证金</w:t>
            </w:r>
          </w:p>
        </w:tc>
        <w:tc>
          <w:tcPr>
            <w:tcW w:w="5847" w:type="dxa"/>
            <w:vAlign w:val="center"/>
          </w:tcPr>
          <w:p w14:paraId="5454709C">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是否要求投标人递交投标保证金：</w:t>
            </w:r>
          </w:p>
          <w:p w14:paraId="1BAE682F">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sym w:font="Wingdings 2" w:char="00A3"/>
            </w:r>
            <w:r>
              <w:rPr>
                <w:rFonts w:ascii="宋体" w:hAnsi="宋体" w:cs="宋体"/>
                <w:color w:val="auto"/>
                <w:szCs w:val="21"/>
                <w:highlight w:val="none"/>
              </w:rPr>
              <w:t xml:space="preserve"> 不要求</w:t>
            </w:r>
          </w:p>
          <w:p w14:paraId="7FAE0FF7">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color w:val="auto"/>
                <w:szCs w:val="21"/>
                <w:highlight w:val="none"/>
              </w:rPr>
              <w:t>要求</w:t>
            </w:r>
          </w:p>
          <w:p w14:paraId="54FCA027">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1）投标保证金</w:t>
            </w:r>
            <w:r>
              <w:rPr>
                <w:rFonts w:hint="eastAsia" w:ascii="宋体" w:hAnsi="宋体" w:cs="宋体"/>
                <w:color w:val="auto"/>
                <w:szCs w:val="21"/>
                <w:highlight w:val="none"/>
              </w:rPr>
              <w:t>的金额</w:t>
            </w:r>
            <w:r>
              <w:rPr>
                <w:rStyle w:val="58"/>
                <w:rFonts w:ascii="宋体" w:hAnsi="宋体" w:cs="宋体"/>
                <w:color w:val="auto"/>
                <w:szCs w:val="21"/>
                <w:highlight w:val="none"/>
              </w:rPr>
              <w:footnoteReference w:id="34"/>
            </w:r>
            <w:r>
              <w:rPr>
                <w:rFonts w:hint="eastAsia" w:ascii="宋体" w:hAnsi="宋体" w:cs="宋体"/>
                <w:color w:val="auto"/>
                <w:szCs w:val="21"/>
                <w:highlight w:val="none"/>
              </w:rPr>
              <w:t>：</w:t>
            </w:r>
          </w:p>
          <w:p w14:paraId="71B8EC05">
            <w:pPr>
              <w:pStyle w:val="276"/>
              <w:adjustRightInd w:val="0"/>
              <w:snapToGrid w:val="0"/>
              <w:spacing w:line="400" w:lineRule="exact"/>
              <w:ind w:firstLine="210" w:firstLineChars="100"/>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标段</w:t>
            </w:r>
            <w:r>
              <w:rPr>
                <w:rFonts w:ascii="宋体" w:hAnsi="宋体" w:cs="宋体"/>
                <w:color w:val="auto"/>
                <w:szCs w:val="21"/>
                <w:highlight w:val="none"/>
                <w:u w:val="single"/>
              </w:rPr>
              <w:t xml:space="preserve">    </w:t>
            </w:r>
            <w:r>
              <w:rPr>
                <w:rFonts w:hint="eastAsia" w:ascii="宋体" w:hAnsi="宋体" w:cs="宋体"/>
                <w:color w:val="auto"/>
                <w:szCs w:val="21"/>
                <w:highlight w:val="none"/>
              </w:rPr>
              <w:t>万元；</w:t>
            </w:r>
          </w:p>
          <w:p w14:paraId="6B55110D">
            <w:pPr>
              <w:pStyle w:val="276"/>
              <w:adjustRightInd w:val="0"/>
              <w:snapToGrid w:val="0"/>
              <w:spacing w:line="400" w:lineRule="exact"/>
              <w:ind w:firstLine="210" w:firstLineChars="100"/>
              <w:rPr>
                <w:rFonts w:hint="eastAsia" w:asciiTheme="minorEastAsia" w:hAnsiTheme="minorEastAsia" w:eastAsiaTheme="minorEastAsia"/>
                <w:color w:val="auto"/>
                <w:highlight w:val="none"/>
                <w:u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标段</w:t>
            </w:r>
            <w:r>
              <w:rPr>
                <w:rFonts w:ascii="宋体" w:hAnsi="宋体" w:cs="宋体"/>
                <w:color w:val="auto"/>
                <w:szCs w:val="21"/>
                <w:highlight w:val="none"/>
                <w:u w:val="single"/>
              </w:rPr>
              <w:t xml:space="preserve">    </w:t>
            </w:r>
            <w:r>
              <w:rPr>
                <w:rFonts w:hint="eastAsia" w:ascii="宋体" w:hAnsi="宋体" w:cs="宋体"/>
                <w:color w:val="auto"/>
                <w:szCs w:val="21"/>
                <w:highlight w:val="none"/>
              </w:rPr>
              <w:t>万元；</w:t>
            </w:r>
          </w:p>
          <w:p w14:paraId="3B95C60A">
            <w:pPr>
              <w:pStyle w:val="276"/>
              <w:adjustRightInd w:val="0"/>
              <w:snapToGrid w:val="0"/>
              <w:spacing w:line="400" w:lineRule="exact"/>
              <w:ind w:firstLine="210" w:firstLineChars="100"/>
              <w:rPr>
                <w:rFonts w:asciiTheme="minorEastAsia" w:hAnsiTheme="minorEastAsia" w:eastAsiaTheme="minorEastAsia"/>
                <w:color w:val="auto"/>
                <w:highlight w:val="none"/>
                <w:u w:val="none"/>
              </w:rPr>
            </w:pPr>
            <w:r>
              <w:rPr>
                <w:rFonts w:hint="eastAsia" w:asciiTheme="minorEastAsia" w:hAnsiTheme="minorEastAsia" w:eastAsiaTheme="minorEastAsia"/>
                <w:color w:val="auto"/>
                <w:highlight w:val="none"/>
                <w:u w:val="none"/>
              </w:rPr>
              <w:t>……</w:t>
            </w:r>
          </w:p>
          <w:p w14:paraId="014B256C">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2）投标保证金可采用的形式</w:t>
            </w:r>
            <w:r>
              <w:rPr>
                <w:rStyle w:val="58"/>
                <w:rFonts w:ascii="宋体" w:hAnsi="宋体" w:cs="宋体"/>
                <w:color w:val="auto"/>
                <w:szCs w:val="21"/>
                <w:highlight w:val="none"/>
              </w:rPr>
              <w:footnoteReference w:id="35"/>
            </w:r>
            <w:r>
              <w:rPr>
                <w:rFonts w:hint="eastAsia" w:ascii="宋体" w:hAnsi="宋体" w:cs="宋体"/>
                <w:color w:val="auto"/>
                <w:szCs w:val="21"/>
                <w:highlight w:val="none"/>
              </w:rPr>
              <w:t>：</w:t>
            </w:r>
          </w:p>
          <w:p w14:paraId="06731EBC">
            <w:pPr>
              <w:pStyle w:val="276"/>
              <w:adjustRightInd w:val="0"/>
              <w:snapToGrid w:val="0"/>
              <w:spacing w:line="400" w:lineRule="exact"/>
              <w:ind w:firstLine="211" w:firstLineChars="100"/>
              <w:rPr>
                <w:rFonts w:ascii="宋体" w:hAnsi="宋体" w:cs="宋体"/>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 xml:space="preserve"> </w:t>
            </w:r>
            <w:r>
              <w:rPr>
                <w:rFonts w:ascii="宋体" w:hAnsi="宋体" w:cs="宋体"/>
                <w:color w:val="auto"/>
                <w:szCs w:val="21"/>
                <w:highlight w:val="none"/>
              </w:rPr>
              <w:t xml:space="preserve">银行保函  </w:t>
            </w:r>
          </w:p>
          <w:p w14:paraId="7AFE61EB">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若采用银行保函形式提交的，出具保函的银行</w:t>
            </w:r>
            <w:r>
              <w:rPr>
                <w:rFonts w:hint="eastAsia" w:ascii="宋体" w:hAnsi="宋体" w:cs="宋体"/>
                <w:color w:val="auto"/>
                <w:szCs w:val="21"/>
                <w:highlight w:val="none"/>
                <w:lang w:val="en-US" w:eastAsia="zh-CN"/>
              </w:rPr>
              <w:t>级别</w:t>
            </w:r>
            <w:r>
              <w:rPr>
                <w:rFonts w:hint="eastAsia" w:ascii="宋体" w:hAnsi="宋体" w:cs="宋体"/>
                <w:color w:val="auto"/>
                <w:szCs w:val="21"/>
                <w:highlight w:val="none"/>
              </w:rPr>
              <w:t>：</w:t>
            </w:r>
            <w:r>
              <w:rPr>
                <w:rFonts w:hint="eastAsia" w:asciiTheme="minorEastAsia" w:hAnsiTheme="minorEastAsia" w:eastAsiaTheme="minorEastAsia"/>
                <w:highlight w:val="none"/>
              </w:rPr>
              <w:t>基本账户</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或</w:t>
            </w:r>
            <w:r>
              <w:rPr>
                <w:rFonts w:hint="eastAsia" w:asciiTheme="minorEastAsia" w:hAnsiTheme="minorEastAsia" w:eastAsiaTheme="minorEastAsia"/>
                <w:highlight w:val="none"/>
              </w:rPr>
              <w:t>基本存款账户</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开户银行或基本账户</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或</w:t>
            </w:r>
            <w:r>
              <w:rPr>
                <w:rFonts w:hint="eastAsia" w:asciiTheme="minorEastAsia" w:hAnsiTheme="minorEastAsia" w:eastAsiaTheme="minorEastAsia"/>
                <w:highlight w:val="none"/>
              </w:rPr>
              <w:t>基本存款账户</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rPr>
              <w:t>所在银行系统内其他</w:t>
            </w:r>
            <w:r>
              <w:rPr>
                <w:rFonts w:asciiTheme="minorEastAsia" w:hAnsiTheme="minorEastAsia" w:eastAsiaTheme="minorEastAsia"/>
                <w:highlight w:val="none"/>
              </w:rPr>
              <w:t>支行及以上银行</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银行保函为电子保函的不受此限</w:t>
            </w:r>
            <w:r>
              <w:rPr>
                <w:rFonts w:hint="eastAsia" w:asciiTheme="minorEastAsia" w:hAnsiTheme="minorEastAsia" w:eastAsiaTheme="minorEastAsia"/>
                <w:highlight w:val="none"/>
                <w:lang w:eastAsia="zh-CN"/>
              </w:rPr>
              <w:t>。</w:t>
            </w:r>
            <w:r>
              <w:rPr>
                <w:rFonts w:ascii="宋体" w:hAnsi="宋体" w:cs="宋体"/>
                <w:color w:val="auto"/>
                <w:szCs w:val="21"/>
                <w:highlight w:val="none"/>
              </w:rPr>
              <w:t xml:space="preserve">   </w:t>
            </w:r>
          </w:p>
          <w:p w14:paraId="2FBF27AA">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银行保函应采用招标文件提供的格式，若采用银行自有格式，其提交的银行保函内容不得对担保金额、担保范围、担保期限、担保内容作出降低担保效力的实质性修改。投标保证金有效期应当不低于投标有效期。招标人如果按本章</w:t>
            </w:r>
            <w:r>
              <w:rPr>
                <w:rFonts w:ascii="宋体" w:hAnsi="宋体" w:cs="宋体"/>
                <w:color w:val="auto"/>
                <w:szCs w:val="21"/>
                <w:highlight w:val="none"/>
              </w:rPr>
              <w:t>3.3.3项的规定延长了投标有效期，则投标保证金的有效期也相应延长</w:t>
            </w:r>
          </w:p>
          <w:p w14:paraId="2024DDCB">
            <w:pPr>
              <w:pStyle w:val="276"/>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sym w:font="Wingdings 2" w:char="00A3"/>
            </w:r>
            <w:r>
              <w:rPr>
                <w:rFonts w:hint="eastAsia" w:ascii="宋体" w:hAnsi="宋体" w:cs="宋体"/>
                <w:color w:val="auto"/>
                <w:szCs w:val="21"/>
                <w:highlight w:val="none"/>
                <w:lang w:val="en-US" w:eastAsia="zh-CN"/>
              </w:rPr>
              <w:t xml:space="preserve"> 投标人应将</w:t>
            </w:r>
            <w:r>
              <w:rPr>
                <w:rFonts w:hint="eastAsia" w:ascii="宋体" w:hAnsi="宋体" w:cs="宋体"/>
                <w:color w:val="auto"/>
                <w:szCs w:val="21"/>
                <w:highlight w:val="none"/>
              </w:rPr>
              <w:t>银行保函的原件原色扫描件装入投标文件内，银行保函原件在</w:t>
            </w:r>
            <w:r>
              <w:rPr>
                <w:rFonts w:ascii="宋体" w:hAnsi="宋体" w:cs="宋体"/>
                <w:color w:val="auto"/>
                <w:szCs w:val="21"/>
                <w:highlight w:val="none"/>
              </w:rPr>
              <w:t>投标截止时间前</w:t>
            </w:r>
            <w:r>
              <w:rPr>
                <w:rFonts w:hint="eastAsia" w:ascii="宋体" w:hAnsi="宋体" w:cs="宋体"/>
                <w:color w:val="auto"/>
                <w:szCs w:val="21"/>
                <w:highlight w:val="none"/>
              </w:rPr>
              <w:t>现场递交至</w:t>
            </w:r>
            <w:r>
              <w:rPr>
                <w:rFonts w:hint="eastAsia" w:ascii="宋体" w:hAnsi="宋体" w:cs="宋体"/>
                <w:color w:val="auto"/>
                <w:szCs w:val="21"/>
                <w:highlight w:val="none"/>
                <w:u w:val="single"/>
              </w:rPr>
              <w:t>招标公告约定的地点</w:t>
            </w:r>
            <w:r>
              <w:rPr>
                <w:rFonts w:hint="eastAsia" w:ascii="宋体" w:hAnsi="宋体" w:cs="宋体"/>
                <w:color w:val="auto"/>
                <w:szCs w:val="21"/>
                <w:highlight w:val="none"/>
              </w:rPr>
              <w:t>。</w:t>
            </w:r>
            <w:r>
              <w:rPr>
                <w:rStyle w:val="58"/>
                <w:rFonts w:hint="eastAsia" w:ascii="宋体" w:hAnsi="宋体"/>
                <w:sz w:val="24"/>
                <w:highlight w:val="none"/>
              </w:rPr>
              <w:footnoteReference w:id="36"/>
            </w:r>
            <w:r>
              <w:rPr>
                <w:rFonts w:hint="eastAsia" w:ascii="宋体" w:hAnsi="宋体" w:cs="宋体"/>
                <w:color w:val="auto"/>
                <w:szCs w:val="21"/>
                <w:highlight w:val="none"/>
              </w:rPr>
              <w:t>投标人同时还应按照规定参加远程电子开标</w:t>
            </w:r>
          </w:p>
          <w:p w14:paraId="661628D8">
            <w:pPr>
              <w:pStyle w:val="276"/>
              <w:adjustRightInd w:val="0"/>
              <w:snapToGrid w:val="0"/>
              <w:spacing w:line="400" w:lineRule="exact"/>
              <w:ind w:firstLine="211" w:firstLineChars="100"/>
              <w:rPr>
                <w:rFonts w:ascii="宋体" w:hAnsi="宋体" w:cs="宋体"/>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 xml:space="preserve"> </w:t>
            </w:r>
            <w:r>
              <w:rPr>
                <w:rFonts w:ascii="宋体" w:hAnsi="宋体" w:cs="宋体"/>
                <w:color w:val="auto"/>
                <w:szCs w:val="21"/>
                <w:highlight w:val="none"/>
              </w:rPr>
              <w:t>现金</w:t>
            </w:r>
          </w:p>
          <w:p w14:paraId="48B3A3A2">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若采用现金形式，投标人应通过银行电汇或现金转账方式由投标人的基本账户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或基本存款账户</w:t>
            </w:r>
            <w:r>
              <w:rPr>
                <w:rFonts w:hint="eastAsia" w:ascii="宋体" w:hAnsi="宋体" w:cs="宋体"/>
                <w:color w:val="auto"/>
                <w:szCs w:val="21"/>
                <w:highlight w:val="none"/>
                <w:lang w:eastAsia="zh-CN"/>
              </w:rPr>
              <w:t>）</w:t>
            </w:r>
            <w:r>
              <w:rPr>
                <w:rFonts w:hint="eastAsia" w:ascii="宋体" w:hAnsi="宋体" w:cs="宋体"/>
                <w:color w:val="auto"/>
                <w:szCs w:val="21"/>
                <w:highlight w:val="none"/>
              </w:rPr>
              <w:t>转入招标人指定的账户，且须在投标截止时间前（宜在投标截止期前一天）到账。投标人须将电汇回执单或现金转账凭证原件原色扫描件装入投标文件。</w:t>
            </w:r>
          </w:p>
          <w:p w14:paraId="62D461CE">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招标人指定的开户银行及账号如下：</w:t>
            </w:r>
          </w:p>
          <w:p w14:paraId="5451EC19">
            <w:pPr>
              <w:pStyle w:val="276"/>
              <w:adjustRightInd w:val="0"/>
              <w:snapToGrid w:val="0"/>
              <w:spacing w:line="400" w:lineRule="exact"/>
              <w:ind w:firstLine="630" w:firstLineChars="300"/>
              <w:rPr>
                <w:rFonts w:ascii="宋体" w:hAnsi="宋体" w:cs="宋体"/>
                <w:color w:val="auto"/>
                <w:szCs w:val="21"/>
                <w:highlight w:val="none"/>
                <w:u w:val="single"/>
              </w:rPr>
            </w:pPr>
            <w:r>
              <w:rPr>
                <w:rFonts w:hint="eastAsia" w:ascii="宋体" w:hAnsi="宋体" w:cs="宋体"/>
                <w:color w:val="auto"/>
                <w:szCs w:val="21"/>
                <w:highlight w:val="none"/>
              </w:rPr>
              <w:t>账户名称：</w:t>
            </w:r>
            <w:r>
              <w:rPr>
                <w:rFonts w:ascii="宋体" w:hAnsi="宋体" w:cs="宋体"/>
                <w:color w:val="auto"/>
                <w:szCs w:val="21"/>
                <w:highlight w:val="none"/>
                <w:u w:val="single"/>
              </w:rPr>
              <w:t xml:space="preserve">                   </w:t>
            </w:r>
          </w:p>
          <w:p w14:paraId="0EF248E6">
            <w:pPr>
              <w:pStyle w:val="276"/>
              <w:adjustRightInd w:val="0"/>
              <w:snapToGrid w:val="0"/>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开户银行：</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p>
          <w:p w14:paraId="08E693DC">
            <w:pPr>
              <w:pStyle w:val="276"/>
              <w:adjustRightInd w:val="0"/>
              <w:snapToGrid w:val="0"/>
              <w:spacing w:line="400" w:lineRule="exact"/>
              <w:ind w:firstLine="630" w:firstLineChars="300"/>
              <w:rPr>
                <w:rFonts w:ascii="宋体" w:hAnsi="宋体" w:cs="宋体"/>
                <w:color w:val="auto"/>
                <w:szCs w:val="21"/>
                <w:highlight w:val="none"/>
                <w:u w:val="single"/>
              </w:rPr>
            </w:pPr>
            <w:r>
              <w:rPr>
                <w:rFonts w:hint="eastAsia" w:ascii="宋体" w:hAnsi="宋体" w:cs="宋体"/>
                <w:color w:val="auto"/>
                <w:szCs w:val="21"/>
                <w:highlight w:val="none"/>
              </w:rPr>
              <w:t>账</w:t>
            </w:r>
            <w:r>
              <w:rPr>
                <w:rFonts w:ascii="宋体" w:hAnsi="宋体" w:cs="宋体"/>
                <w:color w:val="auto"/>
                <w:szCs w:val="21"/>
                <w:highlight w:val="none"/>
              </w:rPr>
              <w:t xml:space="preserve">    号： </w:t>
            </w:r>
            <w:r>
              <w:rPr>
                <w:rFonts w:ascii="宋体" w:hAnsi="宋体" w:cs="宋体"/>
                <w:color w:val="auto"/>
                <w:szCs w:val="21"/>
                <w:highlight w:val="none"/>
                <w:u w:val="single"/>
              </w:rPr>
              <w:t xml:space="preserve">                  </w:t>
            </w:r>
          </w:p>
          <w:p w14:paraId="3D7C9BBE">
            <w:pPr>
              <w:pStyle w:val="276"/>
              <w:adjustRightInd w:val="0"/>
              <w:snapToGrid w:val="0"/>
              <w:spacing w:line="400" w:lineRule="exact"/>
              <w:ind w:firstLine="630" w:firstLineChars="300"/>
              <w:rPr>
                <w:rFonts w:ascii="宋体" w:hAnsi="宋体" w:cs="宋体"/>
                <w:color w:val="auto"/>
                <w:szCs w:val="21"/>
                <w:highlight w:val="none"/>
              </w:rPr>
            </w:pPr>
            <w:r>
              <w:rPr>
                <w:rFonts w:hint="eastAsia" w:ascii="宋体" w:hAnsi="宋体" w:cs="宋体"/>
                <w:color w:val="auto"/>
                <w:szCs w:val="21"/>
                <w:highlight w:val="none"/>
              </w:rPr>
              <w:t>□其他账号：</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12C3DB5F">
            <w:pPr>
              <w:pStyle w:val="276"/>
              <w:adjustRightInd w:val="0"/>
              <w:snapToGrid w:val="0"/>
              <w:spacing w:line="400" w:lineRule="exact"/>
              <w:ind w:firstLine="211" w:firstLineChars="100"/>
              <w:rPr>
                <w:rFonts w:ascii="宋体" w:hAnsi="宋体" w:cs="宋体"/>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 xml:space="preserve"> </w:t>
            </w:r>
            <w:r>
              <w:rPr>
                <w:rFonts w:ascii="宋体" w:hAnsi="宋体" w:cs="宋体"/>
                <w:color w:val="auto"/>
                <w:szCs w:val="21"/>
                <w:highlight w:val="none"/>
              </w:rPr>
              <w:t>支票</w:t>
            </w:r>
          </w:p>
          <w:p w14:paraId="6BE03F48">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由投标人的基本账户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或基本存款账户</w:t>
            </w:r>
            <w:r>
              <w:rPr>
                <w:rFonts w:hint="eastAsia" w:ascii="宋体" w:hAnsi="宋体" w:cs="宋体"/>
                <w:color w:val="auto"/>
                <w:szCs w:val="21"/>
                <w:highlight w:val="none"/>
                <w:lang w:eastAsia="zh-CN"/>
              </w:rPr>
              <w:t>）</w:t>
            </w:r>
            <w:r>
              <w:rPr>
                <w:rFonts w:hint="eastAsia" w:ascii="宋体" w:hAnsi="宋体" w:cs="宋体"/>
                <w:color w:val="auto"/>
                <w:szCs w:val="21"/>
                <w:highlight w:val="none"/>
              </w:rPr>
              <w:t>转入招标人指定的账户，且须在投标截止时间前（宜在投标截止期前一天）到账。投标人须将转账回执单原件原色扫描件装入投标文件</w:t>
            </w:r>
          </w:p>
          <w:p w14:paraId="582A8587">
            <w:pPr>
              <w:pStyle w:val="276"/>
              <w:adjustRightInd w:val="0"/>
              <w:snapToGrid w:val="0"/>
              <w:spacing w:line="400" w:lineRule="exact"/>
              <w:ind w:firstLine="211" w:firstLineChars="100"/>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b/>
                <w:bCs/>
                <w:color w:val="auto"/>
                <w:szCs w:val="21"/>
                <w:highlight w:val="none"/>
              </w:rPr>
              <w:t>□</w:t>
            </w:r>
            <w:r>
              <w:rPr>
                <w:rFonts w:ascii="宋体" w:hAnsi="宋体" w:cs="宋体"/>
                <w:b/>
                <w:bCs/>
                <w:color w:val="auto"/>
                <w:szCs w:val="21"/>
                <w:highlight w:val="none"/>
              </w:rPr>
              <w:t xml:space="preserve"> </w:t>
            </w:r>
            <w:r>
              <w:rPr>
                <w:rFonts w:ascii="宋体" w:hAnsi="宋体" w:cs="宋体"/>
                <w:color w:val="auto"/>
                <w:szCs w:val="21"/>
                <w:highlight w:val="none"/>
              </w:rPr>
              <w:t>其他形式</w:t>
            </w:r>
            <w:r>
              <w:rPr>
                <w:rStyle w:val="58"/>
                <w:rFonts w:ascii="宋体" w:hAnsi="宋体" w:cs="宋体"/>
                <w:color w:val="auto"/>
                <w:szCs w:val="21"/>
                <w:highlight w:val="none"/>
              </w:rPr>
              <w:footnoteReference w:id="37"/>
            </w:r>
            <w:r>
              <w:rPr>
                <w:rFonts w:hint="eastAsia" w:ascii="宋体" w:hAnsi="宋体" w:cs="宋体"/>
                <w:color w:val="auto"/>
                <w:szCs w:val="21"/>
                <w:highlight w:val="none"/>
              </w:rPr>
              <w:t>：</w:t>
            </w:r>
            <w:r>
              <w:rPr>
                <w:rFonts w:ascii="宋体" w:hAnsi="宋体" w:cs="宋体"/>
                <w:color w:val="auto"/>
                <w:szCs w:val="21"/>
                <w:highlight w:val="none"/>
                <w:u w:val="single"/>
              </w:rPr>
              <w:t xml:space="preserve">                      </w:t>
            </w:r>
          </w:p>
        </w:tc>
      </w:tr>
      <w:tr w14:paraId="4861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4" w:type="dxa"/>
            <w:vAlign w:val="center"/>
          </w:tcPr>
          <w:p w14:paraId="29ED048F">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3.4.3</w:t>
            </w:r>
          </w:p>
        </w:tc>
        <w:tc>
          <w:tcPr>
            <w:tcW w:w="2126" w:type="dxa"/>
            <w:vAlign w:val="center"/>
          </w:tcPr>
          <w:p w14:paraId="0A561FC3">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投标保证金的利息计算原则</w:t>
            </w:r>
            <w:r>
              <w:rPr>
                <w:rStyle w:val="58"/>
                <w:rFonts w:ascii="宋体" w:hAnsi="宋体" w:cs="宋体"/>
                <w:color w:val="auto"/>
                <w:szCs w:val="21"/>
                <w:highlight w:val="none"/>
              </w:rPr>
              <w:footnoteReference w:id="38"/>
            </w:r>
          </w:p>
        </w:tc>
        <w:tc>
          <w:tcPr>
            <w:tcW w:w="5847" w:type="dxa"/>
            <w:vAlign w:val="center"/>
          </w:tcPr>
          <w:p w14:paraId="26F9B101">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投标保证金以现金或者支票形式递交的，投标保证金的利息计算原则：</w:t>
            </w:r>
          </w:p>
          <w:p w14:paraId="4F41979B">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 投标保证金递交至招标人指定的开户银行及账号时，投标保证金的计息期起始日期为投标截止当日，终止日期为招标人退还投标保证金日期的前一日，但最长不超过投标有效期，利率为中国人民银行公布的同期活期存款利率（利息金额计算至分位，分以下尾数四舍五入）</w:t>
            </w:r>
          </w:p>
          <w:p w14:paraId="5E922155">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 其他规定</w:t>
            </w:r>
            <w:r>
              <w:rPr>
                <w:rStyle w:val="58"/>
                <w:rFonts w:ascii="宋体" w:hAnsi="宋体" w:cs="宋体"/>
                <w:color w:val="auto"/>
                <w:szCs w:val="21"/>
                <w:highlight w:val="none"/>
              </w:rPr>
              <w:footnoteReference w:id="39"/>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p>
          <w:p w14:paraId="68EBEFA0">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color w:val="auto"/>
                <w:szCs w:val="21"/>
                <w:highlight w:val="none"/>
              </w:rPr>
              <w:t>投标保证金</w:t>
            </w:r>
            <w:r>
              <w:rPr>
                <w:rFonts w:ascii="宋体" w:hAnsi="宋体" w:cs="宋体"/>
                <w:color w:val="auto"/>
                <w:szCs w:val="21"/>
                <w:highlight w:val="none"/>
              </w:rPr>
              <w:t>采用银行保函的</w:t>
            </w:r>
            <w:r>
              <w:rPr>
                <w:rFonts w:hint="eastAsia" w:ascii="宋体" w:hAnsi="宋体" w:cs="宋体"/>
                <w:color w:val="auto"/>
                <w:szCs w:val="21"/>
                <w:highlight w:val="none"/>
              </w:rPr>
              <w:t>，</w:t>
            </w:r>
            <w:r>
              <w:rPr>
                <w:rFonts w:ascii="宋体" w:hAnsi="宋体" w:cs="宋体"/>
                <w:color w:val="auto"/>
                <w:szCs w:val="21"/>
                <w:highlight w:val="none"/>
              </w:rPr>
              <w:t>不适用</w:t>
            </w:r>
          </w:p>
        </w:tc>
      </w:tr>
      <w:tr w14:paraId="3D4C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657A462">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3.4.3</w:t>
            </w:r>
          </w:p>
        </w:tc>
        <w:tc>
          <w:tcPr>
            <w:tcW w:w="2126" w:type="dxa"/>
            <w:vAlign w:val="center"/>
          </w:tcPr>
          <w:p w14:paraId="3A1E7FB1">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投标保证金的</w:t>
            </w:r>
          </w:p>
          <w:p w14:paraId="07F774FA">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退还方式</w:t>
            </w:r>
            <w:r>
              <w:rPr>
                <w:rFonts w:ascii="宋体" w:hAnsi="宋体" w:cs="宋体"/>
                <w:color w:val="auto"/>
                <w:szCs w:val="21"/>
                <w:highlight w:val="none"/>
                <w:vertAlign w:val="superscript"/>
              </w:rPr>
              <w:footnoteReference w:id="40"/>
            </w:r>
          </w:p>
        </w:tc>
        <w:tc>
          <w:tcPr>
            <w:tcW w:w="5847" w:type="dxa"/>
            <w:vAlign w:val="center"/>
          </w:tcPr>
          <w:p w14:paraId="6A319F31">
            <w:pPr>
              <w:pStyle w:val="276"/>
              <w:numPr>
                <w:ilvl w:val="-1"/>
                <w:numId w:val="0"/>
              </w:numPr>
              <w:adjustRightInd w:val="0"/>
              <w:snapToGrid w:val="0"/>
              <w:spacing w:line="400" w:lineRule="exact"/>
              <w:ind w:left="0" w:firstLine="0"/>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银行保函的退还：</w:t>
            </w:r>
          </w:p>
          <w:p w14:paraId="3937C37C">
            <w:pPr>
              <w:pStyle w:val="276"/>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银行保函由投标人法定代表人或其委托代理人本人凭单位介绍信及身份证原件在招标人处领取。</w:t>
            </w:r>
          </w:p>
          <w:p w14:paraId="6591766B">
            <w:pPr>
              <w:pStyle w:val="276"/>
              <w:adjustRightInd w:val="0"/>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招标人的联系方式</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p>
          <w:p w14:paraId="2B535F87">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现金、支票形式的退还：</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48BAAB50">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b/>
                <w:color w:val="auto"/>
                <w:szCs w:val="21"/>
                <w:highlight w:val="none"/>
              </w:rPr>
              <w:t>□</w:t>
            </w:r>
            <w:r>
              <w:rPr>
                <w:rFonts w:ascii="宋体" w:hAnsi="宋体" w:cs="宋体"/>
                <w:color w:val="auto"/>
                <w:szCs w:val="21"/>
                <w:highlight w:val="none"/>
              </w:rPr>
              <w:t xml:space="preserve"> 其他：</w:t>
            </w:r>
            <w:r>
              <w:rPr>
                <w:rFonts w:ascii="宋体" w:hAnsi="宋体" w:cs="宋体"/>
                <w:color w:val="auto"/>
                <w:szCs w:val="21"/>
                <w:highlight w:val="none"/>
                <w:u w:val="single"/>
              </w:rPr>
              <w:t xml:space="preserve">   </w:t>
            </w:r>
            <w:r>
              <w:rPr>
                <w:rFonts w:ascii="宋体" w:hAnsi="宋体" w:cs="宋体"/>
                <w:b/>
                <w:color w:val="auto"/>
                <w:szCs w:val="21"/>
                <w:highlight w:val="none"/>
                <w:u w:val="single"/>
              </w:rPr>
              <w:t xml:space="preserve">       </w:t>
            </w:r>
            <w:r>
              <w:rPr>
                <w:rFonts w:ascii="宋体" w:hAnsi="宋体" w:cs="宋体"/>
                <w:color w:val="auto"/>
                <w:szCs w:val="21"/>
                <w:highlight w:val="none"/>
                <w:u w:val="single"/>
              </w:rPr>
              <w:t xml:space="preserve">      </w:t>
            </w:r>
          </w:p>
        </w:tc>
      </w:tr>
      <w:tr w14:paraId="1A8D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5400243">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3.4.4</w:t>
            </w:r>
          </w:p>
        </w:tc>
        <w:tc>
          <w:tcPr>
            <w:tcW w:w="2126" w:type="dxa"/>
            <w:vAlign w:val="center"/>
          </w:tcPr>
          <w:p w14:paraId="24E7C499">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其他不予退还投标保证金的情形</w:t>
            </w:r>
          </w:p>
        </w:tc>
        <w:tc>
          <w:tcPr>
            <w:tcW w:w="5847" w:type="dxa"/>
            <w:vAlign w:val="center"/>
          </w:tcPr>
          <w:p w14:paraId="2DC852C7">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3）其他不予退还投标保证金的情形：</w:t>
            </w:r>
          </w:p>
          <w:p w14:paraId="0F15BB8B">
            <w:pPr>
              <w:adjustRightInd w:val="0"/>
              <w:snapToGrid w:val="0"/>
              <w:spacing w:line="400" w:lineRule="exact"/>
              <w:ind w:firstLine="211" w:firstLineChars="100"/>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color w:val="auto"/>
                <w:szCs w:val="21"/>
                <w:highlight w:val="none"/>
              </w:rPr>
              <w:t xml:space="preserve"> 投标人存在弄虚作假且对其初步评审、详细评审产生影响的行为；</w:t>
            </w:r>
          </w:p>
          <w:p w14:paraId="4E0B4D96">
            <w:pPr>
              <w:adjustRightInd w:val="0"/>
              <w:snapToGrid w:val="0"/>
              <w:spacing w:line="400" w:lineRule="exact"/>
              <w:ind w:firstLine="211" w:firstLineChars="100"/>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color w:val="auto"/>
                <w:szCs w:val="21"/>
                <w:highlight w:val="none"/>
              </w:rPr>
              <w:t xml:space="preserve"> 投标人有串通投标行为；</w:t>
            </w:r>
          </w:p>
          <w:p w14:paraId="7293724E">
            <w:pPr>
              <w:adjustRightInd w:val="0"/>
              <w:snapToGrid w:val="0"/>
              <w:spacing w:line="400" w:lineRule="exact"/>
              <w:ind w:firstLine="211" w:firstLineChars="100"/>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color w:val="auto"/>
                <w:szCs w:val="21"/>
                <w:highlight w:val="none"/>
              </w:rPr>
              <w:t xml:space="preserve"> 投标人有行贿行为；</w:t>
            </w:r>
          </w:p>
          <w:p w14:paraId="0847AD0F">
            <w:pPr>
              <w:adjustRightInd w:val="0"/>
              <w:snapToGrid w:val="0"/>
              <w:spacing w:line="400" w:lineRule="exact"/>
              <w:ind w:firstLine="211" w:firstLineChars="100"/>
              <w:rPr>
                <w:rFonts w:ascii="宋体" w:hAnsi="宋体"/>
                <w:color w:val="auto"/>
                <w:szCs w:val="21"/>
                <w:highlight w:val="none"/>
              </w:rPr>
            </w:pP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color w:val="auto"/>
                <w:szCs w:val="21"/>
                <w:highlight w:val="none"/>
              </w:rPr>
              <w:t xml:space="preserve"> 投标人有其他行为：</w:t>
            </w:r>
            <w:r>
              <w:rPr>
                <w:rFonts w:asciiTheme="minorEastAsia" w:hAnsiTheme="minorEastAsia" w:eastAsiaTheme="minorEastAsia"/>
                <w:color w:val="auto"/>
                <w:szCs w:val="21"/>
                <w:highlight w:val="none"/>
                <w:u w:val="single"/>
              </w:rPr>
              <w:t xml:space="preserve">        </w:t>
            </w:r>
          </w:p>
          <w:p w14:paraId="14000CC0">
            <w:pPr>
              <w:pStyle w:val="276"/>
              <w:adjustRightInd w:val="0"/>
              <w:snapToGrid w:val="0"/>
              <w:spacing w:line="400" w:lineRule="exact"/>
              <w:jc w:val="left"/>
              <w:rPr>
                <w:rFonts w:hint="eastAsia" w:ascii="宋体" w:hAnsi="宋体" w:eastAsia="宋体" w:cs="宋体"/>
                <w:color w:val="auto"/>
                <w:kern w:val="2"/>
                <w:sz w:val="21"/>
                <w:szCs w:val="21"/>
                <w:highlight w:val="none"/>
                <w:u w:val="single"/>
                <w:lang w:val="en-US" w:eastAsia="zh-CN" w:bidi="ar-SA"/>
              </w:rPr>
            </w:pPr>
            <w:r>
              <w:rPr>
                <w:rFonts w:ascii="宋体" w:hAnsi="宋体"/>
                <w:color w:val="auto"/>
                <w:szCs w:val="21"/>
                <w:highlight w:val="none"/>
              </w:rPr>
              <w:t>注：串通投标、弄虚作假</w:t>
            </w:r>
            <w:r>
              <w:rPr>
                <w:rFonts w:hint="eastAsia" w:ascii="宋体" w:hAnsi="宋体"/>
                <w:color w:val="auto"/>
                <w:szCs w:val="21"/>
                <w:highlight w:val="none"/>
              </w:rPr>
              <w:t>具体情形</w:t>
            </w:r>
            <w:r>
              <w:rPr>
                <w:rFonts w:hint="eastAsia" w:ascii="宋体" w:hAnsi="宋体"/>
                <w:color w:val="auto"/>
                <w:szCs w:val="21"/>
                <w:highlight w:val="none"/>
                <w:lang w:val="en-US" w:eastAsia="zh-CN"/>
              </w:rPr>
              <w:t>见</w:t>
            </w:r>
            <w:r>
              <w:rPr>
                <w:rFonts w:ascii="宋体" w:hAnsi="宋体"/>
                <w:color w:val="auto"/>
                <w:szCs w:val="21"/>
                <w:highlight w:val="none"/>
              </w:rPr>
              <w:t>第三章</w:t>
            </w:r>
            <w:r>
              <w:rPr>
                <w:rFonts w:hint="eastAsia" w:ascii="宋体" w:hAnsi="宋体"/>
                <w:color w:val="auto"/>
                <w:szCs w:val="21"/>
                <w:highlight w:val="none"/>
              </w:rPr>
              <w:t>“</w:t>
            </w:r>
            <w:r>
              <w:rPr>
                <w:rFonts w:ascii="宋体" w:hAnsi="宋体"/>
                <w:color w:val="auto"/>
                <w:szCs w:val="21"/>
                <w:highlight w:val="none"/>
              </w:rPr>
              <w:t>评标办法”</w:t>
            </w:r>
          </w:p>
        </w:tc>
      </w:tr>
      <w:tr w14:paraId="09216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8EC8898">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3.5</w:t>
            </w:r>
          </w:p>
        </w:tc>
        <w:tc>
          <w:tcPr>
            <w:tcW w:w="2126" w:type="dxa"/>
            <w:vAlign w:val="center"/>
          </w:tcPr>
          <w:p w14:paraId="56E2DDEC">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资格审查资料的特殊要求</w:t>
            </w:r>
          </w:p>
        </w:tc>
        <w:tc>
          <w:tcPr>
            <w:tcW w:w="5847" w:type="dxa"/>
            <w:vAlign w:val="center"/>
          </w:tcPr>
          <w:p w14:paraId="7E825D53">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无</w:t>
            </w:r>
          </w:p>
          <w:p w14:paraId="7BE2D79F">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b/>
                <w:color w:val="auto"/>
                <w:szCs w:val="21"/>
                <w:highlight w:val="none"/>
              </w:rPr>
              <w:t>□</w:t>
            </w:r>
            <w:r>
              <w:rPr>
                <w:rFonts w:ascii="宋体" w:hAnsi="宋体" w:cs="宋体"/>
                <w:color w:val="auto"/>
                <w:szCs w:val="21"/>
                <w:highlight w:val="none"/>
              </w:rPr>
              <w:t xml:space="preserve"> 有，具体要求：</w:t>
            </w:r>
            <w:r>
              <w:rPr>
                <w:rFonts w:ascii="宋体" w:hAnsi="宋体" w:cs="宋体"/>
                <w:color w:val="auto"/>
                <w:szCs w:val="21"/>
                <w:highlight w:val="none"/>
                <w:u w:val="single"/>
              </w:rPr>
              <w:t xml:space="preserve">                                         </w:t>
            </w:r>
          </w:p>
        </w:tc>
      </w:tr>
      <w:tr w14:paraId="4D80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D0ED857">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3.5.1</w:t>
            </w:r>
          </w:p>
        </w:tc>
        <w:tc>
          <w:tcPr>
            <w:tcW w:w="2126" w:type="dxa"/>
            <w:vAlign w:val="center"/>
          </w:tcPr>
          <w:p w14:paraId="6B816ADE">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投标人基本情况表</w:t>
            </w:r>
          </w:p>
        </w:tc>
        <w:tc>
          <w:tcPr>
            <w:tcW w:w="5847" w:type="dxa"/>
            <w:vAlign w:val="center"/>
          </w:tcPr>
          <w:p w14:paraId="649969ED">
            <w:pPr>
              <w:pStyle w:val="276"/>
              <w:adjustRightInd w:val="0"/>
              <w:snapToGrid w:val="0"/>
              <w:spacing w:line="400" w:lineRule="exact"/>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Cs w:val="21"/>
                <w:highlight w:val="none"/>
              </w:rPr>
              <w:t>“投标人基本情况表”应附的证明材料以第七章“投标文件格式”中要求为准</w:t>
            </w:r>
          </w:p>
        </w:tc>
      </w:tr>
      <w:tr w14:paraId="44AB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3727235">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3.5.2</w:t>
            </w:r>
          </w:p>
        </w:tc>
        <w:tc>
          <w:tcPr>
            <w:tcW w:w="2126" w:type="dxa"/>
            <w:vAlign w:val="center"/>
          </w:tcPr>
          <w:p w14:paraId="00A971D6">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近年完成</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类似</w:t>
            </w:r>
          </w:p>
          <w:p w14:paraId="6DA4CD83">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项目情况的时间要求</w:t>
            </w:r>
          </w:p>
        </w:tc>
        <w:tc>
          <w:tcPr>
            <w:tcW w:w="5847" w:type="dxa"/>
            <w:vAlign w:val="center"/>
          </w:tcPr>
          <w:p w14:paraId="56B3C67B">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时间要求：</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日～投标截止日</w:t>
            </w:r>
          </w:p>
          <w:p w14:paraId="635A8BDF">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证明材料为：</w:t>
            </w:r>
          </w:p>
          <w:p w14:paraId="3A1A4926">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“近年完成</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类似项目情况</w:t>
            </w:r>
            <w:r>
              <w:rPr>
                <w:rFonts w:hint="eastAsia" w:ascii="宋体" w:hAnsi="宋体" w:cs="宋体"/>
                <w:color w:val="auto"/>
                <w:szCs w:val="21"/>
                <w:highlight w:val="none"/>
                <w:lang w:val="en-US" w:eastAsia="zh-CN"/>
              </w:rPr>
              <w:t>表</w:t>
            </w:r>
            <w:r>
              <w:rPr>
                <w:rFonts w:hint="eastAsia" w:ascii="宋体" w:hAnsi="宋体" w:cs="宋体"/>
                <w:color w:val="auto"/>
                <w:szCs w:val="21"/>
                <w:highlight w:val="none"/>
              </w:rPr>
              <w:t>”应附的证明材料以第七章“投标文件格式”中要求为准</w:t>
            </w:r>
          </w:p>
        </w:tc>
      </w:tr>
      <w:tr w14:paraId="07F97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4363EE9">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3.5.3</w:t>
            </w:r>
          </w:p>
        </w:tc>
        <w:tc>
          <w:tcPr>
            <w:tcW w:w="2126" w:type="dxa"/>
            <w:vAlign w:val="center"/>
          </w:tcPr>
          <w:p w14:paraId="4341CE42">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投标人信誉情况表</w:t>
            </w:r>
          </w:p>
        </w:tc>
        <w:tc>
          <w:tcPr>
            <w:tcW w:w="5847" w:type="dxa"/>
            <w:vAlign w:val="center"/>
          </w:tcPr>
          <w:p w14:paraId="0AF43267">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证明材料为：</w:t>
            </w:r>
          </w:p>
          <w:p w14:paraId="60873D7F">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“投标人信誉情况表”应附的证明材料以第七章“投标文件格式”中要求为准</w:t>
            </w:r>
          </w:p>
        </w:tc>
      </w:tr>
      <w:tr w14:paraId="377B3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4C4C975E">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3.5.4</w:t>
            </w:r>
          </w:p>
        </w:tc>
        <w:tc>
          <w:tcPr>
            <w:tcW w:w="2126" w:type="dxa"/>
            <w:vAlign w:val="center"/>
          </w:tcPr>
          <w:p w14:paraId="1DE1A732">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拟委任的主要人员资历表</w:t>
            </w:r>
          </w:p>
        </w:tc>
        <w:tc>
          <w:tcPr>
            <w:tcW w:w="5847" w:type="dxa"/>
            <w:vAlign w:val="center"/>
          </w:tcPr>
          <w:p w14:paraId="66AECF2C">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拟委任的主要人员：</w:t>
            </w:r>
            <w:r>
              <w:rPr>
                <w:rFonts w:ascii="宋体" w:hAnsi="宋体" w:cs="宋体"/>
                <w:color w:val="auto"/>
                <w:szCs w:val="21"/>
                <w:highlight w:val="none"/>
                <w:u w:val="single"/>
              </w:rPr>
              <w:t xml:space="preserve">                      </w:t>
            </w:r>
          </w:p>
          <w:p w14:paraId="60ABE754">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证明材料为：</w:t>
            </w:r>
          </w:p>
          <w:p w14:paraId="7FB71393">
            <w:pPr>
              <w:pStyle w:val="276"/>
              <w:adjustRightInd w:val="0"/>
              <w:snapToGrid w:val="0"/>
              <w:spacing w:line="400" w:lineRule="exact"/>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“拟委任的主要人员资历表”应附的证明材料以第七章“投标文件格式”中要求为准。</w:t>
            </w:r>
          </w:p>
        </w:tc>
      </w:tr>
      <w:tr w14:paraId="0562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36182F4">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3.5.5</w:t>
            </w:r>
          </w:p>
        </w:tc>
        <w:tc>
          <w:tcPr>
            <w:tcW w:w="2126" w:type="dxa"/>
            <w:vAlign w:val="center"/>
          </w:tcPr>
          <w:p w14:paraId="57D23DA8">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其他要求</w:t>
            </w:r>
            <w:r>
              <w:rPr>
                <w:rFonts w:hint="eastAsia" w:ascii="宋体" w:hAnsi="宋体" w:cs="宋体"/>
                <w:color w:val="auto"/>
                <w:szCs w:val="21"/>
                <w:highlight w:val="none"/>
                <w:lang w:val="en-US" w:eastAsia="zh-CN"/>
              </w:rPr>
              <w:t>情况</w:t>
            </w:r>
            <w:r>
              <w:rPr>
                <w:rFonts w:hint="eastAsia" w:ascii="宋体" w:hAnsi="宋体" w:cs="宋体"/>
                <w:color w:val="auto"/>
                <w:szCs w:val="21"/>
                <w:highlight w:val="none"/>
              </w:rPr>
              <w:t>表</w:t>
            </w:r>
          </w:p>
        </w:tc>
        <w:tc>
          <w:tcPr>
            <w:tcW w:w="5847" w:type="dxa"/>
            <w:vAlign w:val="center"/>
          </w:tcPr>
          <w:p w14:paraId="23C2448E">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其他要求：</w:t>
            </w:r>
            <w:r>
              <w:rPr>
                <w:rFonts w:ascii="宋体" w:hAnsi="宋体" w:cs="宋体"/>
                <w:color w:val="auto"/>
                <w:szCs w:val="21"/>
                <w:highlight w:val="none"/>
                <w:u w:val="single"/>
              </w:rPr>
              <w:t xml:space="preserve">              </w:t>
            </w:r>
          </w:p>
          <w:p w14:paraId="1B2124D9">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证明材料为：</w:t>
            </w:r>
          </w:p>
          <w:p w14:paraId="7DAA2D22">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“其他要求情况表”应附的证明材料以第七章“投标文件格式”中要求为准</w:t>
            </w:r>
          </w:p>
          <w:p w14:paraId="6CA811C7">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其他要求不作为资格审查强制性条件，投标人若成为中标人，则在签订合同前：</w:t>
            </w:r>
          </w:p>
          <w:p w14:paraId="5BFD733F">
            <w:pPr>
              <w:pStyle w:val="276"/>
              <w:adjustRightInd w:val="0"/>
              <w:snapToGrid w:val="0"/>
              <w:spacing w:line="400" w:lineRule="exact"/>
              <w:ind w:firstLine="211" w:firstLineChars="100"/>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对其他主要人员</w:t>
            </w:r>
            <w:r>
              <w:rPr>
                <w:rFonts w:ascii="宋体" w:hAnsi="宋体" w:cs="宋体"/>
                <w:color w:val="auto"/>
                <w:szCs w:val="21"/>
                <w:highlight w:val="none"/>
              </w:rPr>
              <w:t>提出要求的，</w:t>
            </w:r>
            <w:r>
              <w:rPr>
                <w:rFonts w:hint="eastAsia" w:ascii="宋体" w:hAnsi="宋体" w:cs="宋体"/>
                <w:color w:val="auto"/>
                <w:szCs w:val="21"/>
                <w:highlight w:val="none"/>
              </w:rPr>
              <w:t>须上报满足招标文件第四章第三节“</w:t>
            </w:r>
            <w:r>
              <w:rPr>
                <w:rFonts w:hint="eastAsia" w:ascii="宋体" w:hAnsi="宋体" w:cs="宋体"/>
                <w:color w:val="auto"/>
                <w:szCs w:val="21"/>
                <w:highlight w:val="none"/>
                <w:u w:val="single"/>
              </w:rPr>
              <w:t>附件三</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其他主要人员最低要求</w:t>
            </w:r>
            <w:r>
              <w:rPr>
                <w:rFonts w:hint="eastAsia" w:ascii="宋体" w:hAnsi="宋体" w:cs="宋体"/>
                <w:color w:val="auto"/>
                <w:szCs w:val="21"/>
                <w:highlight w:val="none"/>
              </w:rPr>
              <w:t>”的相关具体人员，经招标人或委托人审核同意后签订合同，并按填报的人员进场开展监理试验室工作</w:t>
            </w:r>
          </w:p>
          <w:p w14:paraId="25D8DC38">
            <w:pPr>
              <w:pStyle w:val="276"/>
              <w:adjustRightInd w:val="0"/>
              <w:snapToGrid w:val="0"/>
              <w:spacing w:line="400" w:lineRule="exact"/>
              <w:ind w:firstLine="211" w:firstLineChars="100"/>
              <w:rPr>
                <w:rFonts w:hint="eastAsia" w:ascii="宋体" w:hAnsi="宋体" w:eastAsia="宋体" w:cs="宋体"/>
                <w:color w:val="auto"/>
                <w:kern w:val="2"/>
                <w:sz w:val="21"/>
                <w:szCs w:val="21"/>
                <w:highlight w:val="none"/>
                <w:lang w:val="en-US" w:eastAsia="zh-CN" w:bidi="ar-SA"/>
              </w:rPr>
            </w:pPr>
            <w:r>
              <w:rPr>
                <w:rFonts w:hint="eastAsia" w:ascii="宋体" w:hAnsi="宋体" w:cs="宋体"/>
                <w:b/>
                <w:color w:val="auto"/>
                <w:szCs w:val="21"/>
                <w:highlight w:val="none"/>
              </w:rPr>
              <w:t>□</w:t>
            </w:r>
            <w:r>
              <w:rPr>
                <w:rFonts w:hint="eastAsia" w:ascii="宋体" w:hAnsi="宋体" w:cs="宋体"/>
                <w:color w:val="auto"/>
                <w:szCs w:val="21"/>
                <w:highlight w:val="none"/>
              </w:rPr>
              <w:t>对</w:t>
            </w:r>
            <w:r>
              <w:rPr>
                <w:rFonts w:ascii="宋体" w:hAnsi="宋体" w:cs="宋体"/>
                <w:color w:val="auto"/>
                <w:szCs w:val="21"/>
                <w:highlight w:val="none"/>
              </w:rPr>
              <w:t>主要试验</w:t>
            </w:r>
            <w:r>
              <w:rPr>
                <w:rFonts w:hint="eastAsia" w:ascii="宋体" w:hAnsi="宋体" w:cs="宋体"/>
                <w:color w:val="auto"/>
                <w:szCs w:val="21"/>
                <w:highlight w:val="none"/>
              </w:rPr>
              <w:t>检测设备</w:t>
            </w:r>
            <w:r>
              <w:rPr>
                <w:rFonts w:ascii="宋体" w:hAnsi="宋体" w:cs="宋体"/>
                <w:color w:val="auto"/>
                <w:szCs w:val="21"/>
                <w:highlight w:val="none"/>
              </w:rPr>
              <w:t>提出最低要求的，</w:t>
            </w:r>
            <w:r>
              <w:rPr>
                <w:rFonts w:hint="eastAsia" w:ascii="宋体" w:hAnsi="宋体" w:cs="宋体"/>
                <w:color w:val="auto"/>
                <w:szCs w:val="21"/>
                <w:highlight w:val="none"/>
              </w:rPr>
              <w:t>须上报满足招标文件第四章第三节“</w:t>
            </w:r>
            <w:r>
              <w:rPr>
                <w:rFonts w:hint="eastAsia" w:ascii="宋体" w:hAnsi="宋体" w:cs="宋体"/>
                <w:color w:val="auto"/>
                <w:szCs w:val="21"/>
                <w:highlight w:val="none"/>
                <w:u w:val="single"/>
              </w:rPr>
              <w:t>附件四</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主要试验检测设备最低要求</w:t>
            </w:r>
            <w:r>
              <w:rPr>
                <w:rFonts w:hint="eastAsia" w:ascii="宋体" w:hAnsi="宋体" w:cs="宋体"/>
                <w:color w:val="auto"/>
                <w:szCs w:val="21"/>
                <w:highlight w:val="none"/>
              </w:rPr>
              <w:t>”的相关具体设备，经招标人或委托人审核同意后签订合同，并按填报的人员进场开展监理试验室工作</w:t>
            </w:r>
          </w:p>
        </w:tc>
      </w:tr>
      <w:tr w14:paraId="6576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4BF76543">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3.5.9</w:t>
            </w:r>
          </w:p>
        </w:tc>
        <w:tc>
          <w:tcPr>
            <w:tcW w:w="2126" w:type="dxa"/>
            <w:vAlign w:val="center"/>
          </w:tcPr>
          <w:p w14:paraId="7F837742">
            <w:pPr>
              <w:pStyle w:val="276"/>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投标文件的真实性</w:t>
            </w:r>
          </w:p>
          <w:p w14:paraId="60CE3CBE">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要求</w:t>
            </w:r>
          </w:p>
        </w:tc>
        <w:tc>
          <w:tcPr>
            <w:tcW w:w="5847" w:type="dxa"/>
            <w:vAlign w:val="top"/>
          </w:tcPr>
          <w:p w14:paraId="26E89B43">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本项最后补充：</w:t>
            </w:r>
          </w:p>
          <w:p w14:paraId="27895C85">
            <w:pPr>
              <w:pStyle w:val="276"/>
              <w:adjustRightInd w:val="0"/>
              <w:snapToGrid w:val="0"/>
              <w:spacing w:line="400" w:lineRule="exact"/>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并依据</w:t>
            </w:r>
            <w:r>
              <w:rPr>
                <w:rFonts w:hint="eastAsia" w:ascii="宋体" w:hAnsi="宋体" w:eastAsia="宋体" w:cs="宋体"/>
                <w:color w:val="auto"/>
                <w:szCs w:val="21"/>
                <w:highlight w:val="none"/>
                <w:u w:val="single"/>
                <w:lang w:val="en-US" w:eastAsia="zh-CN"/>
              </w:rPr>
              <w:sym w:font="Wingdings 2" w:char="00A3"/>
            </w:r>
            <w:r>
              <w:rPr>
                <w:rFonts w:hint="eastAsia" w:ascii="宋体" w:hAnsi="宋体" w:cs="宋体"/>
                <w:color w:val="auto"/>
                <w:szCs w:val="21"/>
                <w:highlight w:val="none"/>
                <w:u w:val="single"/>
              </w:rPr>
              <w:t>《四川省重点公路建设从业单位信用管理办法》</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lang w:val="en-US" w:eastAsia="zh-CN"/>
              </w:rPr>
              <w:sym w:font="Wingdings 2" w:char="00A3"/>
            </w:r>
            <w:r>
              <w:rPr>
                <w:rFonts w:hint="eastAsia" w:ascii="宋体" w:hAnsi="宋体" w:cs="宋体"/>
                <w:color w:val="auto"/>
                <w:szCs w:val="21"/>
                <w:highlight w:val="none"/>
                <w:u w:val="single"/>
                <w:lang w:val="en-US" w:eastAsia="zh-CN"/>
              </w:rPr>
              <w:t>或；</w:t>
            </w:r>
            <w:r>
              <w:rPr>
                <w:rFonts w:hint="eastAsia" w:ascii="宋体" w:hAnsi="宋体" w:eastAsia="宋体" w:cs="宋体"/>
                <w:color w:val="auto"/>
                <w:szCs w:val="21"/>
                <w:highlight w:val="none"/>
                <w:u w:val="single"/>
                <w:lang w:val="en-US" w:eastAsia="zh-CN"/>
              </w:rPr>
              <w:sym w:font="Wingdings 2" w:char="00A3"/>
            </w:r>
            <w:r>
              <w:rPr>
                <w:rFonts w:hint="eastAsia"/>
                <w:color w:val="auto"/>
                <w:sz w:val="21"/>
                <w:szCs w:val="21"/>
                <w:highlight w:val="none"/>
                <w:u w:val="single"/>
                <w:lang w:eastAsia="zh-CN"/>
              </w:rPr>
              <w:t>《</w:t>
            </w:r>
            <w:r>
              <w:rPr>
                <w:rFonts w:hint="eastAsia" w:ascii="宋体" w:hAnsi="宋体"/>
                <w:color w:val="auto"/>
                <w:sz w:val="21"/>
                <w:szCs w:val="21"/>
                <w:highlight w:val="none"/>
                <w:u w:val="single"/>
              </w:rPr>
              <w:t>四川省</w:t>
            </w:r>
            <w:r>
              <w:rPr>
                <w:rFonts w:hint="eastAsia" w:ascii="宋体" w:hAnsi="宋体"/>
                <w:color w:val="auto"/>
                <w:sz w:val="21"/>
                <w:szCs w:val="21"/>
                <w:highlight w:val="none"/>
                <w:u w:val="single"/>
                <w:lang w:val="en-US" w:eastAsia="zh-CN"/>
              </w:rPr>
              <w:t>农村</w:t>
            </w:r>
            <w:r>
              <w:rPr>
                <w:rFonts w:hint="eastAsia" w:ascii="宋体" w:hAnsi="宋体"/>
                <w:color w:val="auto"/>
                <w:sz w:val="21"/>
                <w:szCs w:val="21"/>
                <w:highlight w:val="none"/>
                <w:u w:val="single"/>
              </w:rPr>
              <w:t>公路建设从业单位信用管理办法</w:t>
            </w:r>
            <w:r>
              <w:rPr>
                <w:rFonts w:hint="eastAsia"/>
                <w:color w:val="auto"/>
                <w:sz w:val="21"/>
                <w:szCs w:val="21"/>
                <w:highlight w:val="none"/>
                <w:u w:val="single"/>
                <w:lang w:eastAsia="zh-CN"/>
              </w:rPr>
              <w:t>》</w:t>
            </w:r>
            <w:r>
              <w:rPr>
                <w:rStyle w:val="58"/>
                <w:rFonts w:hint="eastAsia"/>
                <w:color w:val="auto"/>
                <w:sz w:val="21"/>
                <w:szCs w:val="21"/>
                <w:highlight w:val="none"/>
                <w:u w:val="none"/>
                <w:lang w:eastAsia="zh-CN"/>
              </w:rPr>
              <w:footnoteReference w:id="41"/>
            </w:r>
            <w:r>
              <w:rPr>
                <w:rFonts w:hint="eastAsia" w:ascii="宋体" w:hAnsi="宋体" w:cs="宋体"/>
                <w:color w:val="auto"/>
                <w:szCs w:val="21"/>
                <w:highlight w:val="none"/>
              </w:rPr>
              <w:t>给予信用处理</w:t>
            </w:r>
          </w:p>
        </w:tc>
      </w:tr>
      <w:tr w14:paraId="47BD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F6C1146">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3.6.1</w:t>
            </w:r>
          </w:p>
        </w:tc>
        <w:tc>
          <w:tcPr>
            <w:tcW w:w="2126" w:type="dxa"/>
            <w:vAlign w:val="center"/>
          </w:tcPr>
          <w:p w14:paraId="05394C36">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是否允许递交</w:t>
            </w:r>
          </w:p>
          <w:p w14:paraId="22566FE3">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备选投标方案</w:t>
            </w:r>
          </w:p>
        </w:tc>
        <w:tc>
          <w:tcPr>
            <w:tcW w:w="5847" w:type="dxa"/>
            <w:vAlign w:val="center"/>
          </w:tcPr>
          <w:p w14:paraId="55B2E1C4">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不允许</w:t>
            </w:r>
          </w:p>
          <w:p w14:paraId="2E1BDD72">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color w:val="auto"/>
                <w:szCs w:val="21"/>
                <w:highlight w:val="none"/>
              </w:rPr>
              <w:t>允许</w:t>
            </w:r>
          </w:p>
        </w:tc>
      </w:tr>
      <w:tr w14:paraId="7074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6975735E">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3.7.3</w:t>
            </w:r>
          </w:p>
        </w:tc>
        <w:tc>
          <w:tcPr>
            <w:tcW w:w="2126" w:type="dxa"/>
            <w:vAlign w:val="center"/>
          </w:tcPr>
          <w:p w14:paraId="2E5627E3">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投标文件的制作</w:t>
            </w:r>
          </w:p>
        </w:tc>
        <w:tc>
          <w:tcPr>
            <w:tcW w:w="5847" w:type="dxa"/>
            <w:vAlign w:val="center"/>
          </w:tcPr>
          <w:p w14:paraId="2A98B838">
            <w:pPr>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由投标人使用“</w:t>
            </w:r>
            <w:r>
              <w:rPr>
                <w:rFonts w:hint="eastAsia" w:ascii="宋体" w:hAnsi="宋体" w:cs="宋体"/>
                <w:color w:val="auto"/>
                <w:szCs w:val="21"/>
                <w:highlight w:val="none"/>
                <w:lang w:eastAsia="zh-CN"/>
              </w:rPr>
              <w:t>电子交易系统</w:t>
            </w:r>
            <w:r>
              <w:rPr>
                <w:rFonts w:ascii="宋体" w:hAnsi="宋体" w:cs="宋体"/>
                <w:color w:val="auto"/>
                <w:szCs w:val="21"/>
                <w:highlight w:val="none"/>
              </w:rPr>
              <w:t>”自带的“投标文件制作软件”制作生成的电子投标文件包括：</w:t>
            </w:r>
          </w:p>
          <w:p w14:paraId="063C1A9B">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1）第一个信封（商务及技术文件）加密的电子投标文件</w:t>
            </w:r>
            <w:r>
              <w:rPr>
                <w:rFonts w:ascii="宋体" w:hAnsi="宋体" w:cs="宋体"/>
                <w:color w:val="auto"/>
                <w:szCs w:val="21"/>
                <w:highlight w:val="none"/>
                <w:u w:val="single"/>
              </w:rPr>
              <w:t>（文件后缀名为“SCTF”）</w:t>
            </w:r>
            <w:r>
              <w:rPr>
                <w:rStyle w:val="58"/>
                <w:rFonts w:ascii="宋体" w:hAnsi="宋体" w:cs="宋体"/>
                <w:color w:val="auto"/>
                <w:szCs w:val="21"/>
                <w:highlight w:val="none"/>
                <w:u w:val="none"/>
              </w:rPr>
              <w:footnoteReference w:id="42"/>
            </w:r>
          </w:p>
          <w:p w14:paraId="13F9BDA8">
            <w:pPr>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r>
              <w:rPr>
                <w:rFonts w:ascii="宋体" w:hAnsi="宋体" w:cs="宋体"/>
                <w:color w:val="auto"/>
                <w:szCs w:val="21"/>
                <w:highlight w:val="none"/>
              </w:rPr>
              <w:t>2）第二个信封（报价文件）加密的电子投标文件</w:t>
            </w:r>
            <w:r>
              <w:rPr>
                <w:rFonts w:ascii="宋体" w:hAnsi="宋体" w:cs="宋体"/>
                <w:color w:val="auto"/>
                <w:szCs w:val="21"/>
                <w:highlight w:val="none"/>
                <w:u w:val="single"/>
              </w:rPr>
              <w:t>（文件后缀名为“tSCTF”）</w:t>
            </w:r>
            <w:r>
              <w:rPr>
                <w:rStyle w:val="58"/>
                <w:rFonts w:ascii="宋体" w:hAnsi="宋体" w:cs="宋体"/>
                <w:color w:val="auto"/>
                <w:szCs w:val="21"/>
                <w:highlight w:val="none"/>
                <w:u w:val="none"/>
              </w:rPr>
              <w:footnoteReference w:id="43"/>
            </w:r>
          </w:p>
        </w:tc>
      </w:tr>
      <w:tr w14:paraId="7B699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8370E64">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3.7.4</w:t>
            </w:r>
          </w:p>
        </w:tc>
        <w:tc>
          <w:tcPr>
            <w:tcW w:w="2126" w:type="dxa"/>
            <w:vAlign w:val="center"/>
          </w:tcPr>
          <w:p w14:paraId="24A9D591">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投标文件份数及其他要求</w:t>
            </w:r>
          </w:p>
        </w:tc>
        <w:tc>
          <w:tcPr>
            <w:tcW w:w="5847" w:type="dxa"/>
            <w:vAlign w:val="center"/>
          </w:tcPr>
          <w:p w14:paraId="3269E318">
            <w:pPr>
              <w:pStyle w:val="276"/>
              <w:adjustRightInd w:val="0"/>
              <w:snapToGrid w:val="0"/>
              <w:spacing w:line="400" w:lineRule="exact"/>
              <w:rPr>
                <w:rFonts w:hint="eastAsia" w:ascii="宋体" w:hAnsi="宋体"/>
                <w:b/>
                <w:color w:val="auto"/>
                <w:szCs w:val="21"/>
                <w:highlight w:val="none"/>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szCs w:val="21"/>
              </w:rPr>
              <w:t>投标截止时间前投标人将加密的第一个信封（商务及技术文件）、第二个信封（报价文件）电子投标文件上传至“电子交易系统”</w:t>
            </w:r>
            <w:r>
              <w:rPr>
                <w:rFonts w:hint="eastAsia" w:ascii="宋体" w:hAnsi="宋体" w:cs="宋体"/>
                <w:color w:val="auto"/>
                <w:szCs w:val="21"/>
                <w:lang w:eastAsia="zh-CN"/>
              </w:rPr>
              <w:t>。</w:t>
            </w:r>
          </w:p>
          <w:p w14:paraId="74DF53AB">
            <w:pPr>
              <w:pStyle w:val="276"/>
              <w:adjustRightInd w:val="0"/>
              <w:snapToGrid w:val="0"/>
              <w:spacing w:line="400" w:lineRule="exact"/>
              <w:ind w:firstLine="0" w:firstLineChars="0"/>
              <w:rPr>
                <w:rFonts w:hint="eastAsia" w:ascii="宋体" w:hAns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olor w:val="auto"/>
                <w:szCs w:val="21"/>
                <w:highlight w:val="none"/>
              </w:rPr>
              <w:t>以银行保函形式缴纳的投标保证金</w:t>
            </w:r>
            <w:r>
              <w:rPr>
                <w:rFonts w:hint="eastAsia" w:ascii="宋体" w:hAnsi="宋体"/>
                <w:color w:val="auto"/>
                <w:szCs w:val="21"/>
                <w:highlight w:val="none"/>
                <w:lang w:val="en-US" w:eastAsia="zh-CN"/>
              </w:rPr>
              <w:t>按照本须知前附表第3.4.1项要求提交</w:t>
            </w:r>
            <w:r>
              <w:rPr>
                <w:rFonts w:hint="eastAsia" w:ascii="宋体" w:hAnsi="宋体"/>
                <w:color w:val="auto"/>
                <w:szCs w:val="21"/>
                <w:highlight w:val="none"/>
              </w:rPr>
              <w:t>。</w:t>
            </w:r>
          </w:p>
          <w:p w14:paraId="068CC448">
            <w:pPr>
              <w:pStyle w:val="276"/>
              <w:adjustRightInd w:val="0"/>
              <w:snapToGrid w:val="0"/>
              <w:spacing w:line="400" w:lineRule="exact"/>
              <w:ind w:firstLine="0" w:firstLineChars="0"/>
              <w:rPr>
                <w:rFonts w:hint="eastAsia" w:ascii="宋体" w:hAnsi="宋体" w:eastAsia="宋体" w:cs="宋体"/>
                <w:b/>
                <w:color w:val="auto"/>
                <w:kern w:val="2"/>
                <w:sz w:val="21"/>
                <w:szCs w:val="21"/>
                <w:highlight w:val="none"/>
                <w:u w:val="single"/>
                <w:lang w:val="en-US" w:eastAsia="zh-CN" w:bidi="ar-SA"/>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rPr>
              <w:t>投标人</w:t>
            </w:r>
            <w:r>
              <w:rPr>
                <w:rFonts w:ascii="宋体" w:hAnsi="宋体" w:cs="宋体"/>
                <w:color w:val="auto"/>
                <w:szCs w:val="21"/>
              </w:rPr>
              <w:t>提交的</w:t>
            </w:r>
            <w:r>
              <w:rPr>
                <w:rFonts w:hint="eastAsia" w:ascii="宋体" w:hAnsi="宋体" w:cs="宋体"/>
                <w:color w:val="auto"/>
                <w:szCs w:val="21"/>
              </w:rPr>
              <w:t>第一个信封（商务及技术文件）、第二个信封（报价文件）电子投标文件以解密成功的为准</w:t>
            </w:r>
          </w:p>
        </w:tc>
      </w:tr>
      <w:tr w14:paraId="179C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F8397EA">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3.7.5</w:t>
            </w:r>
          </w:p>
        </w:tc>
        <w:tc>
          <w:tcPr>
            <w:tcW w:w="2126" w:type="dxa"/>
            <w:vAlign w:val="center"/>
          </w:tcPr>
          <w:p w14:paraId="170028A2">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投标文件上传的要求</w:t>
            </w:r>
          </w:p>
        </w:tc>
        <w:tc>
          <w:tcPr>
            <w:tcW w:w="5847" w:type="dxa"/>
            <w:vAlign w:val="center"/>
          </w:tcPr>
          <w:p w14:paraId="7CF29C8F">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投标人必须按招标文件和“</w:t>
            </w:r>
            <w:r>
              <w:rPr>
                <w:rFonts w:hint="eastAsia" w:ascii="宋体" w:hAnsi="宋体" w:cs="宋体"/>
                <w:color w:val="auto"/>
                <w:szCs w:val="21"/>
                <w:highlight w:val="none"/>
                <w:lang w:eastAsia="zh-CN"/>
              </w:rPr>
              <w:t>电子交易系统</w:t>
            </w:r>
            <w:r>
              <w:rPr>
                <w:rFonts w:hint="eastAsia" w:ascii="宋体" w:hAnsi="宋体" w:cs="宋体"/>
                <w:color w:val="auto"/>
                <w:szCs w:val="21"/>
                <w:highlight w:val="none"/>
              </w:rPr>
              <w:t>”的要求制作、上传投标文件，以保证投标文件的有效性和保密性；否则“</w:t>
            </w:r>
            <w:r>
              <w:rPr>
                <w:rFonts w:hint="eastAsia" w:ascii="宋体" w:hAnsi="宋体" w:cs="宋体"/>
                <w:color w:val="auto"/>
                <w:szCs w:val="21"/>
                <w:highlight w:val="none"/>
                <w:lang w:eastAsia="zh-CN"/>
              </w:rPr>
              <w:t>电子交易系统</w:t>
            </w:r>
            <w:r>
              <w:rPr>
                <w:rFonts w:hint="eastAsia" w:ascii="宋体" w:hAnsi="宋体" w:cs="宋体"/>
                <w:color w:val="auto"/>
                <w:szCs w:val="21"/>
                <w:highlight w:val="none"/>
              </w:rPr>
              <w:t>”将无法识别、无法上传</w:t>
            </w:r>
          </w:p>
        </w:tc>
      </w:tr>
      <w:tr w14:paraId="726A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442DC2E1">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4.1.1</w:t>
            </w:r>
          </w:p>
        </w:tc>
        <w:tc>
          <w:tcPr>
            <w:tcW w:w="2126" w:type="dxa"/>
            <w:vAlign w:val="center"/>
          </w:tcPr>
          <w:p w14:paraId="3A48F022">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投标文件的加密</w:t>
            </w:r>
          </w:p>
        </w:tc>
        <w:tc>
          <w:tcPr>
            <w:tcW w:w="5847" w:type="dxa"/>
            <w:vAlign w:val="center"/>
          </w:tcPr>
          <w:p w14:paraId="2EA49AE1">
            <w:pPr>
              <w:pStyle w:val="276"/>
              <w:adjustRightInd w:val="0"/>
              <w:snapToGrid w:val="0"/>
              <w:spacing w:line="400" w:lineRule="exact"/>
              <w:jc w:val="both"/>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应按照本须知前附表第</w:t>
            </w:r>
            <w:r>
              <w:rPr>
                <w:rFonts w:ascii="宋体" w:hAnsi="宋体" w:cs="宋体"/>
                <w:color w:val="auto"/>
                <w:szCs w:val="21"/>
                <w:highlight w:val="none"/>
              </w:rPr>
              <w:t>3.7.3项要求制作并加密电子投标文件，未按要求加密的投标文件，“</w:t>
            </w:r>
            <w:r>
              <w:rPr>
                <w:rFonts w:hint="eastAsia" w:ascii="宋体" w:hAnsi="宋体" w:cs="宋体"/>
                <w:color w:val="auto"/>
                <w:szCs w:val="21"/>
                <w:highlight w:val="none"/>
                <w:lang w:eastAsia="zh-CN"/>
              </w:rPr>
              <w:t>电子交易系统</w:t>
            </w:r>
            <w:r>
              <w:rPr>
                <w:rFonts w:ascii="宋体" w:hAnsi="宋体" w:cs="宋体"/>
                <w:color w:val="auto"/>
                <w:szCs w:val="21"/>
                <w:highlight w:val="none"/>
              </w:rPr>
              <w:t>”将拒绝接收</w:t>
            </w:r>
          </w:p>
        </w:tc>
      </w:tr>
      <w:tr w14:paraId="0FBC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27B07A0">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4.2.3</w:t>
            </w:r>
          </w:p>
        </w:tc>
        <w:tc>
          <w:tcPr>
            <w:tcW w:w="2126" w:type="dxa"/>
            <w:vAlign w:val="center"/>
          </w:tcPr>
          <w:p w14:paraId="1C514CFE">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是否退还投标文件</w:t>
            </w:r>
          </w:p>
        </w:tc>
        <w:tc>
          <w:tcPr>
            <w:tcW w:w="5847" w:type="dxa"/>
            <w:vAlign w:val="center"/>
          </w:tcPr>
          <w:p w14:paraId="7CE3155C">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否</w:t>
            </w:r>
          </w:p>
          <w:p w14:paraId="07DE86DE">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是，退还时间如下：</w:t>
            </w:r>
          </w:p>
          <w:p w14:paraId="7B353D08">
            <w:pPr>
              <w:pStyle w:val="276"/>
              <w:adjustRightInd w:val="0"/>
              <w:snapToGrid w:val="0"/>
              <w:spacing w:line="400" w:lineRule="exact"/>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1）当标段投标人少于3个（不含3个）</w:t>
            </w:r>
            <w:r>
              <w:rPr>
                <w:rFonts w:hint="eastAsia" w:cs="宋体" w:asciiTheme="minorEastAsia" w:hAnsiTheme="minorEastAsia" w:eastAsiaTheme="minorEastAsia"/>
                <w:bCs/>
                <w:color w:val="auto"/>
                <w:szCs w:val="21"/>
                <w:highlight w:val="none"/>
                <w:lang w:val="en-US" w:eastAsia="zh-CN"/>
              </w:rPr>
              <w:t>时</w:t>
            </w:r>
            <w:r>
              <w:rPr>
                <w:rFonts w:cs="宋体" w:asciiTheme="minorEastAsia" w:hAnsiTheme="minorEastAsia" w:eastAsiaTheme="minorEastAsia"/>
                <w:bCs/>
                <w:color w:val="auto"/>
                <w:szCs w:val="21"/>
                <w:highlight w:val="none"/>
              </w:rPr>
              <w:t>，该标段将不予开</w:t>
            </w:r>
            <w:r>
              <w:rPr>
                <w:rFonts w:hint="eastAsia" w:cs="宋体" w:asciiTheme="minorEastAsia" w:hAnsiTheme="minorEastAsia" w:eastAsiaTheme="minorEastAsia"/>
                <w:bCs/>
                <w:color w:val="auto"/>
                <w:szCs w:val="21"/>
                <w:highlight w:val="none"/>
              </w:rPr>
              <w:t>标，投标人的电子投标文件将被“退还”给</w:t>
            </w:r>
            <w:r>
              <w:rPr>
                <w:rFonts w:cs="宋体" w:asciiTheme="minorEastAsia" w:hAnsiTheme="minorEastAsia" w:eastAsiaTheme="minorEastAsia"/>
                <w:bCs/>
                <w:color w:val="auto"/>
                <w:szCs w:val="21"/>
                <w:highlight w:val="none"/>
              </w:rPr>
              <w:t>投标人</w:t>
            </w:r>
            <w:r>
              <w:rPr>
                <w:rFonts w:hint="eastAsia" w:cs="宋体" w:asciiTheme="minorEastAsia" w:hAnsiTheme="minorEastAsia" w:eastAsiaTheme="minorEastAsia"/>
                <w:bCs/>
                <w:color w:val="auto"/>
                <w:szCs w:val="21"/>
                <w:highlight w:val="none"/>
                <w:lang w:eastAsia="zh-CN"/>
              </w:rPr>
              <w:t>；</w:t>
            </w:r>
          </w:p>
          <w:p w14:paraId="2718B244">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cs="宋体" w:asciiTheme="minorEastAsia" w:hAnsiTheme="minorEastAsia" w:eastAsiaTheme="minorEastAsia"/>
                <w:bCs/>
                <w:color w:val="auto"/>
                <w:szCs w:val="21"/>
                <w:highlight w:val="none"/>
              </w:rPr>
              <w:t>（</w:t>
            </w:r>
            <w:r>
              <w:rPr>
                <w:rFonts w:cs="宋体" w:asciiTheme="minorEastAsia" w:hAnsiTheme="minorEastAsia" w:eastAsiaTheme="minorEastAsia"/>
                <w:bCs/>
                <w:color w:val="auto"/>
                <w:szCs w:val="21"/>
                <w:highlight w:val="none"/>
              </w:rPr>
              <w:t>2</w:t>
            </w:r>
            <w:r>
              <w:rPr>
                <w:rFonts w:hint="eastAsia" w:cs="宋体" w:asciiTheme="minorEastAsia" w:hAnsiTheme="minorEastAsia" w:eastAsiaTheme="minorEastAsia"/>
                <w:bCs/>
                <w:color w:val="auto"/>
                <w:szCs w:val="21"/>
                <w:highlight w:val="none"/>
              </w:rPr>
              <w:t>）第二个信封</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报价文件</w:t>
            </w:r>
            <w:r>
              <w:rPr>
                <w:rFonts w:hint="eastAsia" w:ascii="宋体" w:hAnsi="宋体"/>
                <w:color w:val="auto"/>
                <w:kern w:val="0"/>
                <w:szCs w:val="21"/>
                <w:highlight w:val="none"/>
                <w:lang w:eastAsia="zh-CN"/>
              </w:rPr>
              <w:t>）</w:t>
            </w:r>
            <w:r>
              <w:rPr>
                <w:rFonts w:hint="eastAsia" w:cs="宋体" w:asciiTheme="minorEastAsia" w:hAnsiTheme="minorEastAsia" w:eastAsiaTheme="minorEastAsia"/>
                <w:bCs/>
                <w:color w:val="auto"/>
                <w:szCs w:val="21"/>
                <w:highlight w:val="none"/>
              </w:rPr>
              <w:t>开标时，未通过第一个信封</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商务及技术文件</w:t>
            </w:r>
            <w:r>
              <w:rPr>
                <w:rFonts w:hint="eastAsia" w:ascii="宋体" w:hAnsi="宋体"/>
                <w:color w:val="auto"/>
                <w:kern w:val="0"/>
                <w:szCs w:val="21"/>
                <w:highlight w:val="none"/>
                <w:lang w:eastAsia="zh-CN"/>
              </w:rPr>
              <w:t>）</w:t>
            </w:r>
            <w:r>
              <w:rPr>
                <w:rFonts w:hint="eastAsia" w:cs="宋体" w:asciiTheme="minorEastAsia" w:hAnsiTheme="minorEastAsia" w:eastAsiaTheme="minorEastAsia"/>
                <w:bCs/>
                <w:color w:val="auto"/>
                <w:szCs w:val="21"/>
                <w:highlight w:val="none"/>
              </w:rPr>
              <w:t>评审的投标人的第二个信封（报价文件）不予二次解密，并当场“退还”给</w:t>
            </w:r>
            <w:r>
              <w:rPr>
                <w:rFonts w:cs="宋体" w:asciiTheme="minorEastAsia" w:hAnsiTheme="minorEastAsia" w:eastAsiaTheme="minorEastAsia"/>
                <w:bCs/>
                <w:color w:val="auto"/>
                <w:szCs w:val="21"/>
                <w:highlight w:val="none"/>
              </w:rPr>
              <w:t>投标人</w:t>
            </w:r>
          </w:p>
        </w:tc>
      </w:tr>
      <w:tr w14:paraId="391D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D1D7CC0">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4.3.1</w:t>
            </w:r>
          </w:p>
        </w:tc>
        <w:tc>
          <w:tcPr>
            <w:tcW w:w="2126" w:type="dxa"/>
            <w:vAlign w:val="center"/>
          </w:tcPr>
          <w:p w14:paraId="0E85F883">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投标文件的撤回</w:t>
            </w:r>
          </w:p>
        </w:tc>
        <w:tc>
          <w:tcPr>
            <w:tcW w:w="5847" w:type="dxa"/>
            <w:vAlign w:val="center"/>
          </w:tcPr>
          <w:p w14:paraId="41B70DC8">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本项补充：</w:t>
            </w:r>
          </w:p>
          <w:p w14:paraId="6F63175E">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投标文件第一个信封（商务及技术文件）或第二个信封（报价文件）在投标截止时间前未按要求上传或递交都视为投标文件</w:t>
            </w:r>
            <w:r>
              <w:rPr>
                <w:rFonts w:hint="eastAsia" w:ascii="宋体" w:hAnsi="宋体" w:cs="宋体"/>
                <w:color w:val="auto"/>
                <w:szCs w:val="21"/>
                <w:highlight w:val="none"/>
                <w:lang w:val="en-US" w:eastAsia="zh-CN"/>
              </w:rPr>
              <w:t>逾期送达</w:t>
            </w:r>
            <w:r>
              <w:rPr>
                <w:rFonts w:hint="eastAsia" w:ascii="宋体" w:hAnsi="宋体" w:cs="宋体"/>
                <w:color w:val="auto"/>
                <w:szCs w:val="21"/>
                <w:highlight w:val="none"/>
              </w:rPr>
              <w:t>。</w:t>
            </w:r>
          </w:p>
          <w:p w14:paraId="3711534F">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若开标现场证明是投标人原因造成其加密电子投标文件未解密的，视为撤销其投标文件。</w:t>
            </w:r>
          </w:p>
          <w:p w14:paraId="52A9CFD1">
            <w:pPr>
              <w:pStyle w:val="276"/>
              <w:adjustRightInd w:val="0"/>
              <w:snapToGrid w:val="0"/>
              <w:spacing w:line="400" w:lineRule="exact"/>
              <w:ind w:firstLine="210" w:firstLineChars="100"/>
              <w:rPr>
                <w:rFonts w:hint="eastAsia" w:ascii="宋体" w:hAnsi="宋体" w:eastAsia="宋体" w:cs="宋体"/>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因投标人</w:t>
            </w:r>
            <w:r>
              <w:rPr>
                <w:rFonts w:hint="eastAsia" w:cs="宋体" w:asciiTheme="minorEastAsia" w:hAnsiTheme="minorEastAsia" w:eastAsiaTheme="minorEastAsia"/>
                <w:color w:val="auto"/>
                <w:szCs w:val="21"/>
                <w:highlight w:val="none"/>
                <w:lang w:val="en-US" w:eastAsia="zh-CN"/>
              </w:rPr>
              <w:t>之外的</w:t>
            </w:r>
            <w:r>
              <w:rPr>
                <w:rFonts w:hint="eastAsia" w:cs="宋体" w:asciiTheme="minorEastAsia" w:hAnsiTheme="minorEastAsia" w:eastAsiaTheme="minorEastAsia"/>
                <w:color w:val="auto"/>
                <w:szCs w:val="21"/>
                <w:highlight w:val="none"/>
              </w:rPr>
              <w:t>原因造成其加密的电子投标文件在规定的时间内未解密的，按本须知前附表第</w:t>
            </w:r>
            <w:r>
              <w:rPr>
                <w:rFonts w:cs="宋体" w:asciiTheme="minorEastAsia" w:hAnsiTheme="minorEastAsia" w:eastAsiaTheme="minorEastAsia"/>
                <w:color w:val="auto"/>
                <w:szCs w:val="21"/>
                <w:highlight w:val="none"/>
              </w:rPr>
              <w:t>5.3.1</w:t>
            </w:r>
            <w:r>
              <w:rPr>
                <w:rFonts w:hint="eastAsia" w:cs="宋体" w:asciiTheme="minorEastAsia" w:hAnsiTheme="minorEastAsia" w:eastAsiaTheme="minorEastAsia"/>
                <w:color w:val="auto"/>
                <w:szCs w:val="21"/>
                <w:highlight w:val="none"/>
              </w:rPr>
              <w:t>项进行补救。采取补救措施仍未解密的，视为投标文件撤回</w:t>
            </w:r>
          </w:p>
        </w:tc>
      </w:tr>
      <w:tr w14:paraId="4265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3FD7B37">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5.1</w:t>
            </w:r>
          </w:p>
        </w:tc>
        <w:tc>
          <w:tcPr>
            <w:tcW w:w="2126" w:type="dxa"/>
            <w:vAlign w:val="center"/>
          </w:tcPr>
          <w:p w14:paraId="15504A41">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开标时间和地点</w:t>
            </w:r>
          </w:p>
        </w:tc>
        <w:tc>
          <w:tcPr>
            <w:tcW w:w="5847" w:type="dxa"/>
            <w:vAlign w:val="center"/>
          </w:tcPr>
          <w:p w14:paraId="4DBF675E">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投标文件</w:t>
            </w:r>
            <w:r>
              <w:rPr>
                <w:rFonts w:ascii="宋体" w:hAnsi="宋体" w:cs="宋体"/>
                <w:color w:val="auto"/>
                <w:szCs w:val="21"/>
                <w:highlight w:val="none"/>
              </w:rPr>
              <w:t xml:space="preserve"> </w:t>
            </w:r>
            <w:r>
              <w:rPr>
                <w:rFonts w:hint="eastAsia" w:ascii="宋体" w:hAnsi="宋体" w:eastAsia="宋体" w:cs="宋体"/>
                <w:color w:val="auto"/>
                <w:highlight w:val="none"/>
                <w:lang w:val="en-US" w:eastAsia="zh-CN"/>
              </w:rPr>
              <w:t>[</w:t>
            </w:r>
            <w:r>
              <w:rPr>
                <w:rFonts w:ascii="宋体" w:hAnsi="宋体" w:cs="宋体"/>
                <w:color w:val="auto"/>
                <w:szCs w:val="21"/>
                <w:highlight w:val="none"/>
              </w:rPr>
              <w:t>第一个信封(商务及技术文件)</w:t>
            </w:r>
            <w:r>
              <w:rPr>
                <w:rFonts w:hint="eastAsia" w:ascii="宋体" w:hAnsi="宋体" w:eastAsia="宋体" w:cs="宋体"/>
                <w:color w:val="auto"/>
                <w:highlight w:val="none"/>
                <w:lang w:val="en-US" w:eastAsia="zh-CN"/>
              </w:rPr>
              <w:t>]</w:t>
            </w:r>
          </w:p>
          <w:p w14:paraId="4BB7FFFF">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u w:val="single"/>
              </w:rPr>
              <w:t>同投标截止时间</w:t>
            </w:r>
          </w:p>
          <w:p w14:paraId="71BE25BF">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开标地点：</w:t>
            </w:r>
            <w:r>
              <w:rPr>
                <w:rFonts w:hint="eastAsia" w:ascii="宋体" w:hAnsi="宋体" w:cs="宋体"/>
                <w:color w:val="auto"/>
                <w:szCs w:val="21"/>
                <w:highlight w:val="none"/>
                <w:u w:val="single"/>
                <w:lang w:val="en-US" w:eastAsia="zh-CN"/>
              </w:rPr>
              <w:t>见</w:t>
            </w:r>
            <w:r>
              <w:rPr>
                <w:rFonts w:hint="eastAsia" w:ascii="宋体" w:hAnsi="宋体" w:cs="宋体"/>
                <w:color w:val="auto"/>
                <w:szCs w:val="21"/>
                <w:highlight w:val="none"/>
                <w:u w:val="single"/>
              </w:rPr>
              <w:t>招标公告</w:t>
            </w:r>
          </w:p>
          <w:p w14:paraId="174C68CC">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投标文件</w:t>
            </w:r>
            <w:r>
              <w:rPr>
                <w:rFonts w:ascii="宋体" w:hAnsi="宋体" w:cs="宋体"/>
                <w:color w:val="auto"/>
                <w:szCs w:val="21"/>
                <w:highlight w:val="none"/>
              </w:rPr>
              <w:t xml:space="preserve"> </w:t>
            </w:r>
            <w:r>
              <w:rPr>
                <w:rFonts w:hint="eastAsia" w:ascii="宋体" w:hAnsi="宋体" w:eastAsia="宋体" w:cs="宋体"/>
                <w:color w:val="auto"/>
                <w:highlight w:val="none"/>
                <w:lang w:val="en-US" w:eastAsia="zh-CN"/>
              </w:rPr>
              <w:t>[</w:t>
            </w:r>
            <w:r>
              <w:rPr>
                <w:rFonts w:ascii="宋体" w:hAnsi="宋体" w:cs="宋体"/>
                <w:color w:val="auto"/>
                <w:szCs w:val="21"/>
                <w:highlight w:val="none"/>
              </w:rPr>
              <w:t>第二个信封(报价文件)</w:t>
            </w:r>
            <w:r>
              <w:rPr>
                <w:rFonts w:hint="eastAsia" w:ascii="宋体" w:hAnsi="宋体" w:eastAsia="宋体" w:cs="宋体"/>
                <w:color w:val="auto"/>
                <w:highlight w:val="none"/>
                <w:lang w:val="en-US" w:eastAsia="zh-CN"/>
              </w:rPr>
              <w:t>]</w:t>
            </w:r>
          </w:p>
          <w:p w14:paraId="53BDA6E1">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u w:val="single"/>
              </w:rPr>
              <w:t>招标人另行通知</w:t>
            </w:r>
          </w:p>
          <w:p w14:paraId="7D0E598F">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开标地点：</w:t>
            </w:r>
            <w:r>
              <w:rPr>
                <w:rFonts w:hint="eastAsia" w:ascii="宋体" w:hAnsi="宋体" w:cs="宋体"/>
                <w:color w:val="auto"/>
                <w:szCs w:val="21"/>
                <w:highlight w:val="none"/>
                <w:u w:val="single"/>
              </w:rPr>
              <w:t>招标人另行通知</w:t>
            </w:r>
          </w:p>
          <w:p w14:paraId="2EAC7C7B">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u w:val="none"/>
              </w:rPr>
              <w:t>第二个信封</w:t>
            </w:r>
            <w:r>
              <w:rPr>
                <w:rFonts w:ascii="宋体" w:hAnsi="宋体" w:cs="宋体"/>
                <w:color w:val="auto"/>
                <w:szCs w:val="21"/>
                <w:highlight w:val="none"/>
                <w:u w:val="none"/>
              </w:rPr>
              <w:t>（</w:t>
            </w:r>
            <w:r>
              <w:rPr>
                <w:rFonts w:hint="eastAsia" w:ascii="宋体" w:hAnsi="宋体" w:cs="宋体"/>
                <w:color w:val="auto"/>
                <w:szCs w:val="21"/>
                <w:highlight w:val="none"/>
                <w:u w:val="none"/>
              </w:rPr>
              <w:t>报价文件</w:t>
            </w:r>
            <w:r>
              <w:rPr>
                <w:rFonts w:ascii="宋体" w:hAnsi="宋体" w:cs="宋体"/>
                <w:color w:val="auto"/>
                <w:szCs w:val="21"/>
                <w:highlight w:val="none"/>
                <w:u w:val="none"/>
              </w:rPr>
              <w:t>）</w:t>
            </w:r>
            <w:r>
              <w:rPr>
                <w:rFonts w:hint="eastAsia" w:ascii="宋体" w:hAnsi="宋体" w:cs="宋体"/>
                <w:color w:val="auto"/>
                <w:szCs w:val="21"/>
                <w:highlight w:val="none"/>
                <w:u w:val="none"/>
              </w:rPr>
              <w:t>开标</w:t>
            </w:r>
            <w:r>
              <w:rPr>
                <w:rFonts w:ascii="宋体" w:hAnsi="宋体" w:cs="宋体"/>
                <w:color w:val="auto"/>
                <w:szCs w:val="21"/>
                <w:highlight w:val="none"/>
                <w:u w:val="none"/>
              </w:rPr>
              <w:t>通知方式</w:t>
            </w:r>
            <w:r>
              <w:rPr>
                <w:rStyle w:val="58"/>
                <w:rFonts w:ascii="宋体" w:hAnsi="宋体" w:cs="宋体"/>
                <w:color w:val="auto"/>
                <w:szCs w:val="21"/>
                <w:highlight w:val="none"/>
                <w:u w:val="none"/>
              </w:rPr>
              <w:footnoteReference w:id="44"/>
            </w:r>
            <w:r>
              <w:rPr>
                <w:rFonts w:ascii="宋体" w:hAnsi="宋体" w:cs="宋体"/>
                <w:color w:val="auto"/>
                <w:szCs w:val="21"/>
                <w:highlight w:val="none"/>
                <w:u w:val="none"/>
              </w:rPr>
              <w:t>：</w:t>
            </w:r>
            <w:r>
              <w:rPr>
                <w:rFonts w:ascii="宋体" w:hAnsi="宋体" w:cs="宋体"/>
                <w:color w:val="auto"/>
                <w:szCs w:val="21"/>
                <w:highlight w:val="none"/>
                <w:u w:val="single"/>
              </w:rPr>
              <w:t xml:space="preserve">         </w:t>
            </w:r>
          </w:p>
        </w:tc>
      </w:tr>
      <w:tr w14:paraId="3FC42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677A494">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5.2.1</w:t>
            </w:r>
          </w:p>
        </w:tc>
        <w:tc>
          <w:tcPr>
            <w:tcW w:w="2126" w:type="dxa"/>
            <w:vAlign w:val="center"/>
          </w:tcPr>
          <w:p w14:paraId="7FBEEB1E">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 xml:space="preserve"> 第一个信封(商务及技术文件)开标程序</w:t>
            </w:r>
          </w:p>
        </w:tc>
        <w:tc>
          <w:tcPr>
            <w:tcW w:w="5847" w:type="dxa"/>
            <w:vAlign w:val="center"/>
          </w:tcPr>
          <w:p w14:paraId="1D54F70F">
            <w:pPr>
              <w:pStyle w:val="276"/>
              <w:adjustRightInd w:val="0"/>
              <w:snapToGrid w:val="0"/>
              <w:spacing w:line="400" w:lineRule="exact"/>
              <w:rPr>
                <w:rFonts w:hAnsi="宋体"/>
                <w:color w:val="auto"/>
                <w:szCs w:val="21"/>
                <w:highlight w:val="none"/>
              </w:rPr>
            </w:pPr>
            <w:r>
              <w:rPr>
                <w:rFonts w:hint="eastAsia" w:ascii="宋体" w:hAnsi="宋体" w:cs="宋体"/>
                <w:color w:val="auto"/>
                <w:szCs w:val="21"/>
                <w:highlight w:val="none"/>
              </w:rPr>
              <w:t>主持人按下列程序对投标文件第一个信封</w:t>
            </w:r>
            <w:r>
              <w:rPr>
                <w:rFonts w:ascii="宋体" w:hAnsi="宋体" w:cs="宋体"/>
                <w:color w:val="auto"/>
                <w:szCs w:val="21"/>
                <w:highlight w:val="none"/>
              </w:rPr>
              <w:t>(商务及技术文件)进行</w:t>
            </w:r>
            <w:r>
              <w:rPr>
                <w:rFonts w:hint="eastAsia" w:ascii="宋体" w:hAnsi="宋体" w:cs="宋体"/>
                <w:color w:val="auto"/>
                <w:szCs w:val="21"/>
                <w:highlight w:val="none"/>
                <w:lang w:val="en-US" w:eastAsia="zh-CN"/>
              </w:rPr>
              <w:t>远程电子</w:t>
            </w:r>
            <w:r>
              <w:rPr>
                <w:rFonts w:ascii="宋体" w:hAnsi="宋体" w:cs="宋体"/>
                <w:color w:val="auto"/>
                <w:szCs w:val="21"/>
                <w:highlight w:val="none"/>
              </w:rPr>
              <w:t>开标：</w:t>
            </w:r>
          </w:p>
          <w:p w14:paraId="3534013B">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hAnsi="宋体"/>
                <w:color w:val="auto"/>
                <w:szCs w:val="21"/>
                <w:highlight w:val="none"/>
              </w:rPr>
              <w:t>（</w:t>
            </w:r>
            <w:r>
              <w:rPr>
                <w:rFonts w:hAnsi="宋体"/>
                <w:color w:val="auto"/>
                <w:szCs w:val="21"/>
                <w:highlight w:val="none"/>
              </w:rPr>
              <w:t>1</w:t>
            </w:r>
            <w:r>
              <w:rPr>
                <w:rFonts w:hint="eastAsia" w:hAnsi="宋体"/>
                <w:color w:val="auto"/>
                <w:szCs w:val="21"/>
                <w:highlight w:val="none"/>
              </w:rPr>
              <w:t>）</w:t>
            </w:r>
            <w:r>
              <w:rPr>
                <w:rFonts w:hint="eastAsia" w:ascii="宋体" w:hAnsi="宋体" w:cs="宋体"/>
                <w:color w:val="auto"/>
                <w:szCs w:val="21"/>
                <w:highlight w:val="none"/>
              </w:rPr>
              <w:t>宣布开标纪律</w:t>
            </w:r>
            <w:r>
              <w:rPr>
                <w:rFonts w:hint="eastAsia" w:ascii="宋体" w:hAnsi="宋体" w:cs="宋体"/>
                <w:color w:val="auto"/>
                <w:szCs w:val="21"/>
                <w:highlight w:val="none"/>
                <w:lang w:val="en-US" w:eastAsia="zh-CN"/>
              </w:rPr>
              <w:t>。</w:t>
            </w:r>
          </w:p>
          <w:p w14:paraId="12C2807E">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2）宣布</w:t>
            </w:r>
            <w:r>
              <w:rPr>
                <w:rFonts w:hint="eastAsia" w:ascii="宋体" w:hAnsi="宋体" w:cs="宋体"/>
                <w:color w:val="auto"/>
                <w:szCs w:val="21"/>
                <w:highlight w:val="none"/>
              </w:rPr>
              <w:t>监督</w:t>
            </w:r>
            <w:r>
              <w:rPr>
                <w:rFonts w:ascii="宋体" w:hAnsi="宋体" w:cs="宋体"/>
                <w:color w:val="auto"/>
                <w:szCs w:val="21"/>
                <w:highlight w:val="none"/>
              </w:rPr>
              <w:t>人员姓名</w:t>
            </w:r>
            <w:r>
              <w:rPr>
                <w:rFonts w:hint="eastAsia" w:ascii="宋体" w:hAnsi="宋体" w:cs="宋体"/>
                <w:color w:val="auto"/>
                <w:szCs w:val="21"/>
                <w:highlight w:val="none"/>
              </w:rPr>
              <w:t>、单位、联系方式</w:t>
            </w:r>
            <w:r>
              <w:rPr>
                <w:rFonts w:hint="eastAsia" w:ascii="宋体" w:hAnsi="宋体" w:cs="宋体"/>
                <w:color w:val="auto"/>
                <w:szCs w:val="21"/>
                <w:highlight w:val="none"/>
                <w:lang w:eastAsia="zh-CN"/>
              </w:rPr>
              <w:t>。</w:t>
            </w:r>
          </w:p>
          <w:p w14:paraId="2B8937BF">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3）公布投标截止时间前递交投标文件</w:t>
            </w:r>
            <w:r>
              <w:rPr>
                <w:rFonts w:hint="eastAsia" w:ascii="宋体" w:hAnsi="宋体" w:cs="宋体"/>
                <w:color w:val="auto"/>
                <w:szCs w:val="21"/>
                <w:highlight w:val="none"/>
              </w:rPr>
              <w:t>至</w:t>
            </w:r>
            <w:r>
              <w:rPr>
                <w:rFonts w:ascii="宋体" w:hAnsi="宋体" w:cs="宋体"/>
                <w:color w:val="auto"/>
                <w:szCs w:val="21"/>
                <w:highlight w:val="none"/>
              </w:rPr>
              <w:t>“电子交易系统”的投标人数量</w:t>
            </w:r>
            <w:r>
              <w:rPr>
                <w:rFonts w:hint="eastAsia" w:ascii="宋体" w:hAnsi="宋体" w:cs="宋体"/>
                <w:color w:val="auto"/>
                <w:szCs w:val="21"/>
                <w:highlight w:val="none"/>
                <w:lang w:eastAsia="zh-CN"/>
              </w:rPr>
              <w:t>。</w:t>
            </w:r>
            <w:r>
              <w:rPr>
                <w:rFonts w:ascii="宋体" w:hAnsi="宋体" w:cs="宋体"/>
                <w:color w:val="auto"/>
                <w:szCs w:val="21"/>
                <w:highlight w:val="none"/>
              </w:rPr>
              <w:t xml:space="preserve"> </w:t>
            </w:r>
          </w:p>
          <w:p w14:paraId="4DA06056">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4）投标人使用生成电子投标文件的</w:t>
            </w:r>
            <w:r>
              <w:rPr>
                <w:rFonts w:hint="eastAsia" w:ascii="宋体" w:hAnsi="宋体" w:cs="宋体"/>
                <w:color w:val="auto"/>
                <w:szCs w:val="21"/>
                <w:highlight w:val="none"/>
              </w:rPr>
              <w:t>单位</w:t>
            </w:r>
            <w:r>
              <w:rPr>
                <w:rFonts w:ascii="宋体" w:hAnsi="宋体" w:cs="宋体"/>
                <w:color w:val="auto"/>
                <w:szCs w:val="21"/>
                <w:highlight w:val="none"/>
              </w:rPr>
              <w:t>CA数字证书解密投标文件</w:t>
            </w:r>
            <w:r>
              <w:rPr>
                <w:rFonts w:hint="eastAsia" w:ascii="宋体" w:hAnsi="宋体" w:cs="宋体"/>
                <w:color w:val="auto"/>
                <w:szCs w:val="21"/>
                <w:highlight w:val="none"/>
                <w:lang w:eastAsia="zh-CN"/>
              </w:rPr>
              <w:t>，</w:t>
            </w:r>
            <w:r>
              <w:rPr>
                <w:rFonts w:ascii="宋体" w:hAnsi="宋体" w:cs="宋体"/>
                <w:color w:val="auto"/>
                <w:szCs w:val="21"/>
                <w:highlight w:val="none"/>
              </w:rPr>
              <w:t>投标人代表应根据系统提示解密开始时间</w:t>
            </w:r>
            <w:r>
              <w:rPr>
                <w:rFonts w:ascii="宋体" w:hAnsi="宋体" w:cs="宋体"/>
                <w:color w:val="auto"/>
                <w:szCs w:val="21"/>
                <w:highlight w:val="none"/>
                <w:u w:val="single"/>
              </w:rPr>
              <w:t xml:space="preserve">    </w:t>
            </w:r>
            <w:r>
              <w:rPr>
                <w:rFonts w:hint="eastAsia" w:ascii="宋体" w:hAnsi="宋体" w:cs="宋体"/>
                <w:color w:val="auto"/>
                <w:szCs w:val="21"/>
                <w:highlight w:val="none"/>
              </w:rPr>
              <w:t>分钟</w:t>
            </w:r>
            <w:r>
              <w:rPr>
                <w:rFonts w:ascii="宋体" w:hAnsi="宋体" w:cs="宋体"/>
                <w:color w:val="auto"/>
                <w:szCs w:val="21"/>
                <w:highlight w:val="none"/>
                <w:vertAlign w:val="superscript"/>
              </w:rPr>
              <w:footnoteReference w:id="45"/>
            </w:r>
            <w:r>
              <w:rPr>
                <w:rFonts w:hint="eastAsia" w:ascii="宋体" w:hAnsi="宋体" w:cs="宋体"/>
                <w:color w:val="auto"/>
                <w:szCs w:val="21"/>
                <w:highlight w:val="none"/>
              </w:rPr>
              <w:t>内在线同时完成第一个信封</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商务及技术文件</w:t>
            </w:r>
            <w:r>
              <w:rPr>
                <w:rFonts w:hint="eastAsia" w:ascii="宋体" w:hAnsi="宋体"/>
                <w:color w:val="auto"/>
                <w:kern w:val="0"/>
                <w:szCs w:val="21"/>
                <w:highlight w:val="none"/>
                <w:lang w:eastAsia="zh-CN"/>
              </w:rPr>
              <w:t>）</w:t>
            </w:r>
            <w:r>
              <w:rPr>
                <w:rFonts w:ascii="宋体" w:hAnsi="宋体" w:cs="宋体"/>
                <w:color w:val="auto"/>
                <w:szCs w:val="21"/>
                <w:highlight w:val="none"/>
              </w:rPr>
              <w:t>、第二</w:t>
            </w:r>
            <w:r>
              <w:rPr>
                <w:rFonts w:hint="eastAsia" w:ascii="宋体" w:hAnsi="宋体" w:cs="宋体"/>
                <w:color w:val="auto"/>
                <w:szCs w:val="21"/>
                <w:highlight w:val="none"/>
              </w:rPr>
              <w:t>个</w:t>
            </w:r>
            <w:r>
              <w:rPr>
                <w:rFonts w:ascii="宋体" w:hAnsi="宋体" w:cs="宋体"/>
                <w:color w:val="auto"/>
                <w:szCs w:val="21"/>
                <w:highlight w:val="none"/>
              </w:rPr>
              <w:t>信封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报价文件</w:t>
            </w:r>
            <w:r>
              <w:rPr>
                <w:rFonts w:hint="eastAsia" w:ascii="宋体" w:hAnsi="宋体" w:cs="宋体"/>
                <w:color w:val="auto"/>
                <w:szCs w:val="21"/>
                <w:highlight w:val="none"/>
                <w:lang w:eastAsia="zh-CN"/>
              </w:rPr>
              <w:t>）</w:t>
            </w:r>
            <w:r>
              <w:rPr>
                <w:rFonts w:hint="eastAsia" w:ascii="宋体" w:hAnsi="宋体" w:cs="宋体"/>
                <w:color w:val="auto"/>
                <w:szCs w:val="21"/>
                <w:highlight w:val="none"/>
              </w:rPr>
              <w:t>电子投标文件解密</w:t>
            </w:r>
            <w:r>
              <w:rPr>
                <w:rFonts w:hint="eastAsia" w:ascii="宋体" w:hAnsi="宋体" w:cs="宋体"/>
                <w:color w:val="auto"/>
                <w:szCs w:val="21"/>
                <w:highlight w:val="none"/>
                <w:lang w:eastAsia="zh-CN"/>
              </w:rPr>
              <w:t>。</w:t>
            </w:r>
          </w:p>
          <w:p w14:paraId="335755B2">
            <w:pPr>
              <w:pStyle w:val="276"/>
              <w:adjustRightInd w:val="0"/>
              <w:snapToGrid w:val="0"/>
              <w:spacing w:line="400" w:lineRule="exact"/>
              <w:rPr>
                <w:rFonts w:hint="eastAsia" w:cs="宋体" w:asciiTheme="minorEastAsia" w:hAnsiTheme="minorEastAsia" w:eastAsiaTheme="minorEastAsia"/>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cs="宋体" w:asciiTheme="minorEastAsia" w:hAnsiTheme="minorEastAsia" w:eastAsiaTheme="minorEastAsia"/>
                <w:color w:val="auto"/>
                <w:szCs w:val="21"/>
                <w:highlight w:val="none"/>
              </w:rPr>
              <w:t>投标人</w:t>
            </w:r>
            <w:r>
              <w:rPr>
                <w:rFonts w:cs="宋体" w:asciiTheme="minorEastAsia" w:hAnsiTheme="minorEastAsia" w:eastAsiaTheme="minorEastAsia"/>
                <w:color w:val="auto"/>
                <w:szCs w:val="21"/>
                <w:highlight w:val="none"/>
              </w:rPr>
              <w:t>解密时间结束，或在所有投标人提前完成解密后，招标人使用其单位CA数字证书解密投标文件第一个信封</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商务及技术文件</w:t>
            </w:r>
            <w:r>
              <w:rPr>
                <w:rFonts w:hint="eastAsia" w:ascii="宋体" w:hAnsi="宋体"/>
                <w:color w:val="auto"/>
                <w:kern w:val="0"/>
                <w:szCs w:val="21"/>
                <w:highlight w:val="none"/>
                <w:lang w:eastAsia="zh-CN"/>
              </w:rPr>
              <w:t>）</w:t>
            </w:r>
            <w:r>
              <w:rPr>
                <w:rFonts w:hint="eastAsia" w:cs="宋体" w:asciiTheme="minorEastAsia" w:hAnsiTheme="minorEastAsia" w:eastAsiaTheme="minorEastAsia"/>
                <w:color w:val="auto"/>
                <w:szCs w:val="21"/>
                <w:highlight w:val="none"/>
                <w:lang w:eastAsia="zh-CN"/>
              </w:rPr>
              <w:t>。</w:t>
            </w:r>
          </w:p>
          <w:p w14:paraId="7746D2A3">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6）出现本章正文第5.3.3项所列情况以及非投标人原因导致投标人投标文件无法成功解密的，按本须知前附表第5.3.1项（2）目进行补救。因投标人原因造成其加密的电子投标文件在规定的时间内未解密的，按本须知前附表第5.3.1项（3）目进行补救。采取补救措施仍未解密的，应对未解密成功的情况记录在案。部分投标文件未解密的，其他投标文件的开标可以继续进行</w:t>
            </w:r>
            <w:r>
              <w:rPr>
                <w:rFonts w:hint="eastAsia" w:ascii="宋体" w:hAnsi="宋体" w:cs="宋体"/>
                <w:color w:val="auto"/>
                <w:szCs w:val="21"/>
                <w:highlight w:val="none"/>
                <w:lang w:eastAsia="zh-CN"/>
              </w:rPr>
              <w:t>。</w:t>
            </w:r>
          </w:p>
          <w:p w14:paraId="580A9212">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7）导入并读取所有解密成功的投标文件第一个信封（商务及技术文件）的内容</w:t>
            </w:r>
            <w:r>
              <w:rPr>
                <w:rFonts w:hint="eastAsia" w:ascii="宋体" w:hAnsi="宋体" w:cs="宋体"/>
                <w:color w:val="auto"/>
                <w:szCs w:val="21"/>
                <w:highlight w:val="none"/>
                <w:lang w:eastAsia="zh-CN"/>
              </w:rPr>
              <w:t>。</w:t>
            </w:r>
            <w:r>
              <w:rPr>
                <w:rFonts w:ascii="宋体" w:hAnsi="宋体" w:cs="宋体"/>
                <w:color w:val="auto"/>
                <w:szCs w:val="21"/>
                <w:highlight w:val="none"/>
              </w:rPr>
              <w:t xml:space="preserve"> </w:t>
            </w:r>
          </w:p>
          <w:p w14:paraId="2417B168">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8）核查投标保证金递交情况</w:t>
            </w:r>
            <w:r>
              <w:rPr>
                <w:rFonts w:hint="eastAsia" w:ascii="宋体" w:hAnsi="宋体" w:cs="宋体"/>
                <w:color w:val="auto"/>
                <w:szCs w:val="21"/>
                <w:highlight w:val="none"/>
                <w:lang w:eastAsia="zh-CN"/>
              </w:rPr>
              <w:t>。</w:t>
            </w:r>
          </w:p>
          <w:p w14:paraId="2E6594F2">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9）公布标段</w:t>
            </w:r>
            <w:r>
              <w:rPr>
                <w:rFonts w:hint="eastAsia" w:ascii="宋体" w:hAnsi="宋体" w:cs="宋体"/>
                <w:color w:val="auto"/>
                <w:szCs w:val="21"/>
                <w:highlight w:val="none"/>
              </w:rPr>
              <w:t>名称</w:t>
            </w:r>
            <w:r>
              <w:rPr>
                <w:rFonts w:ascii="宋体" w:hAnsi="宋体" w:cs="宋体"/>
                <w:color w:val="auto"/>
                <w:szCs w:val="21"/>
                <w:highlight w:val="none"/>
              </w:rPr>
              <w:t>、投标人名称、投标保证金的递交情况、监理</w:t>
            </w:r>
            <w:r>
              <w:rPr>
                <w:rFonts w:hint="eastAsia" w:ascii="宋体" w:hAnsi="宋体" w:cs="宋体"/>
                <w:color w:val="auto"/>
                <w:szCs w:val="21"/>
                <w:highlight w:val="none"/>
              </w:rPr>
              <w:t>试验室服务期限、试验室主任及其他内容</w:t>
            </w:r>
            <w:r>
              <w:rPr>
                <w:rFonts w:ascii="宋体" w:hAnsi="宋体" w:cs="宋体"/>
                <w:color w:val="auto"/>
                <w:szCs w:val="21"/>
                <w:highlight w:val="none"/>
              </w:rPr>
              <w:t>,并记录在案</w:t>
            </w:r>
            <w:r>
              <w:rPr>
                <w:rFonts w:hint="eastAsia" w:ascii="宋体" w:hAnsi="宋体" w:cs="宋体"/>
                <w:color w:val="auto"/>
                <w:szCs w:val="21"/>
                <w:highlight w:val="none"/>
                <w:lang w:eastAsia="zh-CN"/>
              </w:rPr>
              <w:t>。</w:t>
            </w:r>
          </w:p>
          <w:p w14:paraId="13375248">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10）</w:t>
            </w:r>
            <w:r>
              <w:rPr>
                <w:rFonts w:hint="eastAsia" w:cs="宋体" w:asciiTheme="minorEastAsia" w:hAnsiTheme="minorEastAsia" w:eastAsiaTheme="minorEastAsia"/>
                <w:color w:val="auto"/>
                <w:szCs w:val="21"/>
                <w:highlight w:val="none"/>
              </w:rPr>
              <w:t>投标人代表对开标结果有异议的应</w:t>
            </w:r>
            <w:r>
              <w:rPr>
                <w:rFonts w:cs="宋体" w:asciiTheme="minorEastAsia" w:hAnsiTheme="minorEastAsia" w:eastAsiaTheme="minorEastAsia"/>
                <w:color w:val="auto"/>
                <w:szCs w:val="21"/>
                <w:highlight w:val="none"/>
              </w:rPr>
              <w:t>在“不见面开标大厅”</w:t>
            </w:r>
            <w:r>
              <w:rPr>
                <w:rFonts w:hint="eastAsia" w:cs="宋体" w:asciiTheme="minorEastAsia" w:hAnsiTheme="minorEastAsia" w:eastAsiaTheme="minorEastAsia"/>
                <w:color w:val="auto"/>
                <w:szCs w:val="21"/>
                <w:highlight w:val="none"/>
              </w:rPr>
              <w:t>中的“开标异议提问”栏</w:t>
            </w:r>
            <w:r>
              <w:rPr>
                <w:rFonts w:cs="宋体" w:asciiTheme="minorEastAsia" w:hAnsiTheme="minorEastAsia" w:eastAsiaTheme="minorEastAsia"/>
                <w:color w:val="auto"/>
                <w:szCs w:val="21"/>
                <w:highlight w:val="none"/>
              </w:rPr>
              <w:t>提出</w:t>
            </w:r>
            <w:r>
              <w:rPr>
                <w:rStyle w:val="58"/>
                <w:rFonts w:cs="宋体" w:asciiTheme="minorEastAsia" w:hAnsiTheme="minorEastAsia" w:eastAsiaTheme="minorEastAsia"/>
                <w:color w:val="auto"/>
                <w:szCs w:val="21"/>
                <w:highlight w:val="none"/>
              </w:rPr>
              <w:footnoteReference w:id="46"/>
            </w:r>
            <w:r>
              <w:rPr>
                <w:rFonts w:hint="eastAsia" w:cs="宋体" w:asciiTheme="minorEastAsia" w:hAnsiTheme="minorEastAsia" w:eastAsiaTheme="minorEastAsia"/>
                <w:color w:val="auto"/>
                <w:szCs w:val="21"/>
                <w:highlight w:val="none"/>
              </w:rPr>
              <w:t>，否则视为无异议</w:t>
            </w:r>
            <w:r>
              <w:rPr>
                <w:rFonts w:hint="eastAsia" w:ascii="宋体" w:hAnsi="宋体" w:cs="宋体"/>
                <w:color w:val="auto"/>
                <w:szCs w:val="21"/>
                <w:highlight w:val="none"/>
                <w:lang w:eastAsia="zh-CN"/>
              </w:rPr>
              <w:t>。</w:t>
            </w:r>
          </w:p>
          <w:p w14:paraId="69B9CADC">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11）</w:t>
            </w:r>
            <w:r>
              <w:rPr>
                <w:rFonts w:cs="宋体" w:asciiTheme="minorEastAsia" w:hAnsiTheme="minorEastAsia" w:eastAsiaTheme="minorEastAsia"/>
                <w:color w:val="auto"/>
                <w:szCs w:val="21"/>
                <w:highlight w:val="none"/>
              </w:rPr>
              <w:t>招标人</w:t>
            </w:r>
            <w:r>
              <w:rPr>
                <w:rFonts w:hint="eastAsia" w:cs="宋体" w:asciiTheme="minorEastAsia" w:hAnsiTheme="minorEastAsia" w:eastAsiaTheme="minorEastAsia"/>
                <w:color w:val="auto"/>
                <w:szCs w:val="21"/>
                <w:highlight w:val="none"/>
              </w:rPr>
              <w:t>对</w:t>
            </w:r>
            <w:r>
              <w:rPr>
                <w:rFonts w:cs="宋体" w:asciiTheme="minorEastAsia" w:hAnsiTheme="minorEastAsia" w:eastAsiaTheme="minorEastAsia"/>
                <w:color w:val="auto"/>
                <w:szCs w:val="21"/>
                <w:highlight w:val="none"/>
              </w:rPr>
              <w:t>开标记录</w:t>
            </w:r>
            <w:r>
              <w:rPr>
                <w:rFonts w:hint="eastAsia" w:cs="宋体" w:asciiTheme="minorEastAsia" w:hAnsiTheme="minorEastAsia" w:eastAsiaTheme="minorEastAsia"/>
                <w:color w:val="auto"/>
                <w:szCs w:val="21"/>
                <w:highlight w:val="none"/>
              </w:rPr>
              <w:t>进行</w:t>
            </w:r>
            <w:r>
              <w:rPr>
                <w:rFonts w:hint="eastAsia" w:cs="宋体" w:asciiTheme="minorEastAsia" w:hAnsiTheme="minorEastAsia" w:eastAsiaTheme="minorEastAsia"/>
                <w:color w:val="auto"/>
                <w:szCs w:val="21"/>
                <w:highlight w:val="none"/>
                <w:lang w:val="en-US" w:eastAsia="zh-CN"/>
              </w:rPr>
              <w:t>签章</w:t>
            </w:r>
            <w:r>
              <w:rPr>
                <w:rFonts w:cs="宋体" w:asciiTheme="minorEastAsia" w:hAnsiTheme="minorEastAsia" w:eastAsiaTheme="minorEastAsia"/>
                <w:color w:val="auto"/>
                <w:szCs w:val="21"/>
                <w:highlight w:val="none"/>
              </w:rPr>
              <w:t>确认</w:t>
            </w:r>
            <w:r>
              <w:rPr>
                <w:rFonts w:hint="eastAsia" w:cs="宋体" w:asciiTheme="minorEastAsia" w:hAnsiTheme="minorEastAsia" w:eastAsiaTheme="minorEastAsia"/>
                <w:color w:val="auto"/>
                <w:szCs w:val="21"/>
                <w:highlight w:val="none"/>
                <w:lang w:eastAsia="zh-CN"/>
              </w:rPr>
              <w:t>。</w:t>
            </w:r>
          </w:p>
          <w:p w14:paraId="219BAB1B">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eastAsiaTheme="minorEastAsia"/>
                <w:color w:val="auto"/>
                <w:szCs w:val="21"/>
                <w:highlight w:val="none"/>
                <w:lang w:eastAsia="zh-CN"/>
              </w:rPr>
              <w:t>（</w:t>
            </w:r>
            <w:r>
              <w:rPr>
                <w:rFonts w:hint="eastAsia" w:ascii="宋体" w:hAnsi="宋体" w:cs="宋体" w:eastAsiaTheme="minorEastAsia"/>
                <w:color w:val="auto"/>
                <w:szCs w:val="21"/>
                <w:highlight w:val="none"/>
                <w:lang w:val="en-US" w:eastAsia="zh-CN"/>
              </w:rPr>
              <w:t>12</w:t>
            </w:r>
            <w:r>
              <w:rPr>
                <w:rFonts w:hint="eastAsia" w:ascii="宋体" w:hAnsi="宋体" w:cs="宋体" w:eastAsiaTheme="minorEastAsia"/>
                <w:color w:val="auto"/>
                <w:szCs w:val="21"/>
                <w:highlight w:val="none"/>
                <w:lang w:eastAsia="zh-CN"/>
              </w:rPr>
              <w:t>）</w:t>
            </w:r>
            <w:r>
              <w:rPr>
                <w:rFonts w:hint="eastAsia" w:ascii="宋体" w:hAnsi="宋体" w:cs="宋体"/>
                <w:color w:val="auto"/>
                <w:szCs w:val="21"/>
                <w:highlight w:val="none"/>
                <w:lang w:val="en-US" w:eastAsia="zh-CN"/>
              </w:rPr>
              <w:t>监督人员</w:t>
            </w:r>
            <w:r>
              <w:rPr>
                <w:rFonts w:ascii="宋体" w:hAnsi="宋体" w:cs="宋体"/>
                <w:color w:val="auto"/>
                <w:szCs w:val="21"/>
                <w:highlight w:val="none"/>
              </w:rPr>
              <w:t>对已解密的第一个信封（商务及技术文件）电子投标文件进行二次加密</w:t>
            </w:r>
            <w:r>
              <w:rPr>
                <w:rFonts w:hint="eastAsia" w:ascii="宋体" w:hAnsi="宋体" w:cs="宋体"/>
                <w:color w:val="auto"/>
                <w:szCs w:val="21"/>
                <w:highlight w:val="none"/>
                <w:lang w:eastAsia="zh-CN"/>
              </w:rPr>
              <w:t>。</w:t>
            </w:r>
          </w:p>
          <w:p w14:paraId="317D37E4">
            <w:pPr>
              <w:pStyle w:val="276"/>
              <w:adjustRightInd w:val="0"/>
              <w:snapToGrid w:val="0"/>
              <w:spacing w:line="400" w:lineRule="exact"/>
              <w:rPr>
                <w:rFonts w:ascii="宋体" w:hAnsi="宋体" w:cs="宋体"/>
                <w:b/>
                <w:bCs/>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13</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开标结束</w:t>
            </w:r>
          </w:p>
          <w:p w14:paraId="23FBC2AD">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Cs w:val="21"/>
                <w:highlight w:val="none"/>
              </w:rPr>
              <w:t>注：开标后</w:t>
            </w:r>
            <w:r>
              <w:rPr>
                <w:rFonts w:hint="eastAsia" w:ascii="宋体" w:hAnsi="宋体" w:cs="宋体"/>
                <w:b/>
                <w:bCs/>
                <w:color w:val="auto"/>
                <w:szCs w:val="21"/>
                <w:highlight w:val="none"/>
                <w:lang w:val="en-US" w:eastAsia="zh-CN"/>
              </w:rPr>
              <w:t>标段</w:t>
            </w:r>
            <w:r>
              <w:rPr>
                <w:rFonts w:hint="eastAsia" w:ascii="宋体" w:hAnsi="宋体" w:cs="宋体"/>
                <w:b/>
                <w:bCs/>
                <w:color w:val="auto"/>
                <w:szCs w:val="21"/>
                <w:highlight w:val="none"/>
              </w:rPr>
              <w:t>解密成功的投标人仅有</w:t>
            </w:r>
            <w:r>
              <w:rPr>
                <w:rFonts w:ascii="宋体" w:hAnsi="宋体" w:cs="宋体"/>
                <w:b/>
                <w:bCs/>
                <w:color w:val="auto"/>
                <w:szCs w:val="21"/>
                <w:highlight w:val="none"/>
              </w:rPr>
              <w:t>1家时，</w:t>
            </w:r>
            <w:r>
              <w:rPr>
                <w:rFonts w:hint="eastAsia" w:ascii="宋体" w:hAnsi="宋体" w:cs="宋体"/>
                <w:b/>
                <w:bCs/>
                <w:color w:val="auto"/>
                <w:szCs w:val="21"/>
                <w:highlight w:val="none"/>
              </w:rPr>
              <w:t>将不</w:t>
            </w:r>
            <w:r>
              <w:rPr>
                <w:rFonts w:hint="eastAsia" w:ascii="宋体" w:hAnsi="宋体" w:cs="宋体"/>
                <w:b/>
                <w:bCs/>
                <w:color w:val="auto"/>
                <w:szCs w:val="21"/>
                <w:highlight w:val="none"/>
                <w:lang w:val="en-US" w:eastAsia="zh-CN"/>
              </w:rPr>
              <w:t>进行下一步的评标工作</w:t>
            </w:r>
          </w:p>
        </w:tc>
      </w:tr>
      <w:tr w14:paraId="17928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A6823C3">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5.2.2</w:t>
            </w:r>
          </w:p>
        </w:tc>
        <w:tc>
          <w:tcPr>
            <w:tcW w:w="2126" w:type="dxa"/>
            <w:vAlign w:val="center"/>
          </w:tcPr>
          <w:p w14:paraId="487D56CB">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第二个信封（报价文件）</w:t>
            </w:r>
            <w:r>
              <w:rPr>
                <w:rFonts w:hint="eastAsia" w:ascii="宋体" w:hAnsi="宋体" w:cs="宋体"/>
                <w:color w:val="auto"/>
                <w:szCs w:val="21"/>
                <w:highlight w:val="none"/>
                <w:lang w:val="en-US" w:eastAsia="zh-CN"/>
              </w:rPr>
              <w:t>开标前</w:t>
            </w:r>
            <w:r>
              <w:rPr>
                <w:rFonts w:hint="eastAsia" w:ascii="宋体" w:hAnsi="宋体" w:cs="宋体"/>
                <w:color w:val="auto"/>
                <w:szCs w:val="21"/>
                <w:highlight w:val="none"/>
              </w:rPr>
              <w:t>的处置</w:t>
            </w:r>
          </w:p>
        </w:tc>
        <w:tc>
          <w:tcPr>
            <w:tcW w:w="5847" w:type="dxa"/>
            <w:vAlign w:val="center"/>
          </w:tcPr>
          <w:p w14:paraId="1EE20F42">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在第二个信封（报价文件）开标时间前，投标人的第二个信封（报价文件）电子投标文件始终处于加密状态。自第二个信封（报价文件）开标时间起，“</w:t>
            </w:r>
            <w:r>
              <w:rPr>
                <w:rFonts w:hint="eastAsia" w:ascii="宋体" w:hAnsi="宋体" w:cs="宋体"/>
                <w:color w:val="auto"/>
                <w:szCs w:val="21"/>
                <w:highlight w:val="none"/>
                <w:lang w:eastAsia="zh-CN"/>
              </w:rPr>
              <w:t>电子交易系统</w:t>
            </w:r>
            <w:r>
              <w:rPr>
                <w:rFonts w:hint="eastAsia" w:ascii="宋体" w:hAnsi="宋体" w:cs="宋体"/>
                <w:color w:val="auto"/>
                <w:szCs w:val="21"/>
                <w:highlight w:val="none"/>
              </w:rPr>
              <w:t>”方可允许招标人开始解密</w:t>
            </w:r>
          </w:p>
        </w:tc>
      </w:tr>
      <w:tr w14:paraId="56A23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4" w:type="dxa"/>
            <w:vAlign w:val="center"/>
          </w:tcPr>
          <w:p w14:paraId="5A66144D">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5.2.3</w:t>
            </w:r>
          </w:p>
        </w:tc>
        <w:tc>
          <w:tcPr>
            <w:tcW w:w="2126" w:type="dxa"/>
            <w:vAlign w:val="center"/>
          </w:tcPr>
          <w:p w14:paraId="1A5F1383">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第二个信封（报价文件）开标程序</w:t>
            </w:r>
          </w:p>
        </w:tc>
        <w:tc>
          <w:tcPr>
            <w:tcW w:w="5847" w:type="dxa"/>
            <w:vAlign w:val="center"/>
          </w:tcPr>
          <w:p w14:paraId="4B84F239">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主持人按下列程序对投标文件第二个信封（报价文件</w:t>
            </w:r>
            <w:r>
              <w:rPr>
                <w:rFonts w:ascii="宋体" w:hAnsi="宋体" w:cs="宋体"/>
                <w:color w:val="auto"/>
                <w:szCs w:val="21"/>
                <w:highlight w:val="none"/>
              </w:rPr>
              <w:t>)进行</w:t>
            </w:r>
            <w:r>
              <w:rPr>
                <w:rFonts w:hint="eastAsia" w:ascii="宋体" w:hAnsi="宋体" w:cs="宋体"/>
                <w:color w:val="auto"/>
                <w:szCs w:val="21"/>
                <w:highlight w:val="none"/>
                <w:lang w:val="en-US" w:eastAsia="zh-CN"/>
              </w:rPr>
              <w:t>远程电子</w:t>
            </w:r>
            <w:r>
              <w:rPr>
                <w:rFonts w:ascii="宋体" w:hAnsi="宋体" w:cs="宋体"/>
                <w:color w:val="auto"/>
                <w:szCs w:val="21"/>
                <w:highlight w:val="none"/>
              </w:rPr>
              <w:t>开标：</w:t>
            </w:r>
          </w:p>
          <w:p w14:paraId="2EC5753A">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1）宣布开标纪律</w:t>
            </w:r>
            <w:r>
              <w:rPr>
                <w:rFonts w:hint="eastAsia" w:ascii="宋体" w:hAnsi="宋体" w:cs="宋体"/>
                <w:color w:val="auto"/>
                <w:szCs w:val="21"/>
                <w:highlight w:val="none"/>
                <w:lang w:eastAsia="zh-CN"/>
              </w:rPr>
              <w:t>。</w:t>
            </w:r>
          </w:p>
          <w:p w14:paraId="799B527A">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2）当众公布投标文件第一个信封(商务及技术文件)评审结果,宣布通过投标文件第一个信封(商务及技术文件)评审的投标人名单</w:t>
            </w:r>
            <w:r>
              <w:rPr>
                <w:rFonts w:hint="eastAsia" w:ascii="宋体" w:hAnsi="宋体" w:cs="宋体"/>
                <w:color w:val="auto"/>
                <w:szCs w:val="21"/>
                <w:highlight w:val="none"/>
                <w:lang w:eastAsia="zh-CN"/>
              </w:rPr>
              <w:t>。</w:t>
            </w:r>
          </w:p>
          <w:p w14:paraId="5C8CC088">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w:t>
            </w:r>
            <w:r>
              <w:rPr>
                <w:rFonts w:cs="宋体" w:asciiTheme="minorEastAsia" w:hAnsiTheme="minorEastAsia" w:eastAsiaTheme="minorEastAsia"/>
                <w:color w:val="auto"/>
                <w:szCs w:val="21"/>
                <w:highlight w:val="none"/>
              </w:rPr>
              <w:t>开标现场</w:t>
            </w:r>
            <w:r>
              <w:rPr>
                <w:rFonts w:hint="eastAsia" w:cs="宋体" w:asciiTheme="minorEastAsia" w:hAnsiTheme="minorEastAsia" w:eastAsiaTheme="minorEastAsia"/>
                <w:color w:val="auto"/>
                <w:szCs w:val="21"/>
                <w:highlight w:val="none"/>
              </w:rPr>
              <w:t>招标人按照招标文件的规定设置评标基准价计算参数。当评标基准价计算涉及随机抽取参数的，均应由</w:t>
            </w:r>
            <w:r>
              <w:rPr>
                <w:rFonts w:cs="宋体" w:asciiTheme="minorEastAsia" w:hAnsiTheme="minorEastAsia" w:eastAsiaTheme="minorEastAsia"/>
                <w:color w:val="auto"/>
                <w:szCs w:val="21"/>
                <w:highlight w:val="none"/>
              </w:rPr>
              <w:t>招标人</w:t>
            </w:r>
            <w:r>
              <w:rPr>
                <w:rFonts w:hint="eastAsia" w:cs="宋体" w:asciiTheme="minorEastAsia" w:hAnsiTheme="minorEastAsia" w:eastAsiaTheme="minorEastAsia"/>
                <w:color w:val="auto"/>
                <w:szCs w:val="21"/>
                <w:highlight w:val="none"/>
              </w:rPr>
              <w:t>或监督人随机抽取，</w:t>
            </w:r>
            <w:r>
              <w:rPr>
                <w:rFonts w:hint="eastAsia" w:ascii="宋体" w:hAnsi="宋体" w:cs="宋体"/>
                <w:color w:val="auto"/>
                <w:szCs w:val="21"/>
                <w:highlight w:val="none"/>
              </w:rPr>
              <w:t>且抽取过程</w:t>
            </w:r>
            <w:r>
              <w:rPr>
                <w:rFonts w:hint="eastAsia" w:cs="宋体" w:asciiTheme="minorEastAsia" w:hAnsiTheme="minorEastAsia" w:eastAsiaTheme="minorEastAsia"/>
                <w:color w:val="auto"/>
                <w:szCs w:val="21"/>
                <w:highlight w:val="none"/>
              </w:rPr>
              <w:t>须</w:t>
            </w:r>
            <w:r>
              <w:rPr>
                <w:rFonts w:hint="eastAsia" w:ascii="宋体" w:hAnsi="宋体" w:cs="宋体"/>
                <w:color w:val="auto"/>
                <w:szCs w:val="21"/>
                <w:highlight w:val="none"/>
              </w:rPr>
              <w:t>经公证机构现场公证</w:t>
            </w:r>
            <w:r>
              <w:rPr>
                <w:rFonts w:hint="eastAsia" w:ascii="宋体" w:hAnsi="宋体" w:cs="宋体"/>
                <w:color w:val="auto"/>
                <w:szCs w:val="21"/>
                <w:highlight w:val="none"/>
                <w:lang w:eastAsia="zh-CN"/>
              </w:rPr>
              <w:t>。</w:t>
            </w:r>
          </w:p>
          <w:p w14:paraId="7CD3611C">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4）未通过投标文件第一个信封（商务及技术文件）评审的投标人的第二个信封（报价文件）不予二次解密，当场</w:t>
            </w:r>
            <w:r>
              <w:rPr>
                <w:rFonts w:hint="eastAsia" w:ascii="宋体" w:hAnsi="宋体" w:cs="宋体"/>
                <w:color w:val="auto"/>
                <w:szCs w:val="21"/>
                <w:highlight w:val="none"/>
              </w:rPr>
              <w:t>“退还”给投标人</w:t>
            </w:r>
            <w:r>
              <w:rPr>
                <w:rFonts w:hint="eastAsia" w:ascii="宋体" w:hAnsi="宋体" w:cs="宋体"/>
                <w:color w:val="auto"/>
                <w:szCs w:val="21"/>
                <w:highlight w:val="none"/>
                <w:lang w:eastAsia="zh-CN"/>
              </w:rPr>
              <w:t>。</w:t>
            </w:r>
          </w:p>
          <w:p w14:paraId="107039D2">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招标人使用其单位CA数字证书解密投标文件第二个信封（报价文件），出现本章正文第5.3.3项所列情况以及非投标人原因导致投标人投标文件无法成功解密的，按本须知前附表第5.3.1项（2）目进行补救。采取补救措施仍未解密的，应对未解密成功的情况记录在案。部分投标文件未解密的，其他投标文件的开标可以继续进行</w:t>
            </w:r>
            <w:r>
              <w:rPr>
                <w:rFonts w:hint="eastAsia" w:ascii="宋体" w:hAnsi="宋体" w:cs="宋体"/>
                <w:color w:val="auto"/>
                <w:szCs w:val="21"/>
                <w:highlight w:val="none"/>
                <w:lang w:eastAsia="zh-CN"/>
              </w:rPr>
              <w:t>。</w:t>
            </w:r>
          </w:p>
          <w:p w14:paraId="2F00E80C">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6</w:t>
            </w:r>
            <w:r>
              <w:rPr>
                <w:rFonts w:hint="eastAsia" w:ascii="宋体" w:hAnsi="宋体" w:cs="宋体"/>
                <w:color w:val="auto"/>
                <w:szCs w:val="21"/>
                <w:highlight w:val="none"/>
              </w:rPr>
              <w:t>）导入并读取所有解密成功的投标文件第二个信封（报价文件）的内容</w:t>
            </w:r>
            <w:r>
              <w:rPr>
                <w:rFonts w:hint="eastAsia" w:ascii="宋体" w:hAnsi="宋体" w:cs="宋体"/>
                <w:color w:val="auto"/>
                <w:szCs w:val="21"/>
                <w:highlight w:val="none"/>
                <w:lang w:eastAsia="zh-CN"/>
              </w:rPr>
              <w:t>。</w:t>
            </w:r>
          </w:p>
          <w:p w14:paraId="08078971">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7</w:t>
            </w:r>
            <w:r>
              <w:rPr>
                <w:rFonts w:hint="eastAsia" w:ascii="宋体" w:hAnsi="宋体" w:cs="宋体"/>
                <w:color w:val="auto"/>
                <w:szCs w:val="21"/>
                <w:highlight w:val="none"/>
              </w:rPr>
              <w:t>）公布标段名称、投标人名称、投标报价及其他内容</w:t>
            </w:r>
            <w:r>
              <w:rPr>
                <w:rFonts w:ascii="宋体" w:hAnsi="宋体" w:cs="宋体"/>
                <w:color w:val="auto"/>
                <w:szCs w:val="21"/>
                <w:highlight w:val="none"/>
              </w:rPr>
              <w:t>,并记录在案</w:t>
            </w:r>
            <w:r>
              <w:rPr>
                <w:rFonts w:hint="eastAsia" w:ascii="宋体" w:hAnsi="宋体" w:cs="宋体"/>
                <w:color w:val="auto"/>
                <w:szCs w:val="21"/>
                <w:highlight w:val="none"/>
                <w:lang w:eastAsia="zh-CN"/>
              </w:rPr>
              <w:t>。</w:t>
            </w:r>
          </w:p>
          <w:p w14:paraId="18C069B3">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8</w:t>
            </w:r>
            <w:r>
              <w:rPr>
                <w:rFonts w:hint="eastAsia" w:ascii="宋体" w:hAnsi="宋体" w:cs="宋体"/>
                <w:color w:val="auto"/>
                <w:szCs w:val="21"/>
                <w:highlight w:val="none"/>
              </w:rPr>
              <w:t>）计算并公布评标基准价（如有）</w:t>
            </w:r>
            <w:r>
              <w:rPr>
                <w:rFonts w:hint="eastAsia" w:ascii="宋体" w:hAnsi="宋体" w:cs="宋体"/>
                <w:color w:val="auto"/>
                <w:szCs w:val="21"/>
                <w:highlight w:val="none"/>
                <w:lang w:eastAsia="zh-CN"/>
              </w:rPr>
              <w:t>。</w:t>
            </w:r>
          </w:p>
          <w:p w14:paraId="07579861">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（9）投标人代表对开标结果有异议的应在“不见面开标大厅”中的“开标异议提问”栏提出</w:t>
            </w:r>
            <w:r>
              <w:rPr>
                <w:rStyle w:val="58"/>
                <w:rFonts w:cs="宋体" w:asciiTheme="minorEastAsia" w:hAnsiTheme="minorEastAsia" w:eastAsiaTheme="minorEastAsia"/>
                <w:color w:val="auto"/>
                <w:szCs w:val="21"/>
                <w:highlight w:val="none"/>
              </w:rPr>
              <w:footnoteReference w:id="47"/>
            </w:r>
            <w:r>
              <w:rPr>
                <w:rFonts w:hint="eastAsia" w:ascii="宋体" w:hAnsi="宋体" w:cs="宋体"/>
                <w:color w:val="auto"/>
                <w:szCs w:val="21"/>
                <w:highlight w:val="none"/>
              </w:rPr>
              <w:t xml:space="preserve"> ，否则视为无异议</w:t>
            </w:r>
            <w:r>
              <w:rPr>
                <w:rFonts w:hint="eastAsia" w:ascii="宋体" w:hAnsi="宋体" w:cs="宋体"/>
                <w:color w:val="auto"/>
                <w:szCs w:val="21"/>
                <w:highlight w:val="none"/>
                <w:lang w:eastAsia="zh-CN"/>
              </w:rPr>
              <w:t>。</w:t>
            </w:r>
          </w:p>
          <w:p w14:paraId="75F4C8BC">
            <w:pPr>
              <w:pStyle w:val="276"/>
              <w:adjustRightInd w:val="0"/>
              <w:snapToGrid w:val="0"/>
              <w:spacing w:line="400" w:lineRule="exact"/>
              <w:rPr>
                <w:rFonts w:hint="eastAsia" w:ascii="宋体" w:hAnsi="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）招标人对开标记录进行</w:t>
            </w:r>
            <w:r>
              <w:rPr>
                <w:rFonts w:hint="eastAsia" w:ascii="宋体" w:hAnsi="宋体" w:cs="宋体"/>
                <w:color w:val="auto"/>
                <w:szCs w:val="21"/>
                <w:highlight w:val="none"/>
                <w:lang w:val="en-US" w:eastAsia="zh-CN"/>
              </w:rPr>
              <w:t>签章</w:t>
            </w:r>
            <w:r>
              <w:rPr>
                <w:rFonts w:hint="eastAsia" w:ascii="宋体" w:hAnsi="宋体" w:cs="宋体"/>
                <w:color w:val="auto"/>
                <w:szCs w:val="21"/>
                <w:highlight w:val="none"/>
              </w:rPr>
              <w:t>确认</w:t>
            </w:r>
            <w:r>
              <w:rPr>
                <w:rFonts w:hint="eastAsia" w:ascii="宋体" w:hAnsi="宋体" w:cs="宋体"/>
                <w:color w:val="auto"/>
                <w:szCs w:val="21"/>
                <w:highlight w:val="none"/>
                <w:lang w:eastAsia="zh-CN"/>
              </w:rPr>
              <w:t>。</w:t>
            </w:r>
          </w:p>
          <w:p w14:paraId="44BFA3F9">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11</w:t>
            </w:r>
            <w:r>
              <w:rPr>
                <w:rFonts w:hint="eastAsia" w:ascii="宋体" w:hAnsi="宋体" w:cs="宋体"/>
                <w:color w:val="auto"/>
                <w:szCs w:val="21"/>
                <w:highlight w:val="none"/>
                <w:lang w:eastAsia="zh-CN"/>
              </w:rPr>
              <w:t>）</w:t>
            </w:r>
            <w:r>
              <w:rPr>
                <w:rFonts w:hint="eastAsia" w:ascii="宋体" w:hAnsi="宋体" w:cs="宋体"/>
                <w:color w:val="auto"/>
                <w:szCs w:val="21"/>
                <w:highlight w:val="none"/>
              </w:rPr>
              <w:t>开标结束</w:t>
            </w:r>
          </w:p>
        </w:tc>
      </w:tr>
      <w:tr w14:paraId="5E25D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4" w:type="dxa"/>
            <w:vAlign w:val="center"/>
          </w:tcPr>
          <w:p w14:paraId="47969EAB">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5.2.4</w:t>
            </w:r>
          </w:p>
        </w:tc>
        <w:tc>
          <w:tcPr>
            <w:tcW w:w="2126" w:type="dxa"/>
            <w:vAlign w:val="center"/>
          </w:tcPr>
          <w:p w14:paraId="601DA745">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不参加评标基准价计算的情形</w:t>
            </w:r>
          </w:p>
        </w:tc>
        <w:tc>
          <w:tcPr>
            <w:tcW w:w="5847" w:type="dxa"/>
            <w:vAlign w:val="center"/>
          </w:tcPr>
          <w:p w14:paraId="22450990">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见第三章“评标办法”</w:t>
            </w:r>
          </w:p>
        </w:tc>
      </w:tr>
      <w:tr w14:paraId="6E48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4" w:type="dxa"/>
            <w:vAlign w:val="center"/>
          </w:tcPr>
          <w:p w14:paraId="50B9EAC9">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5.3.1</w:t>
            </w:r>
          </w:p>
        </w:tc>
        <w:tc>
          <w:tcPr>
            <w:tcW w:w="2126" w:type="dxa"/>
            <w:vAlign w:val="center"/>
          </w:tcPr>
          <w:p w14:paraId="46B8B0FE">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补救措施</w:t>
            </w:r>
          </w:p>
        </w:tc>
        <w:tc>
          <w:tcPr>
            <w:tcW w:w="5847" w:type="dxa"/>
            <w:vAlign w:val="center"/>
          </w:tcPr>
          <w:p w14:paraId="39EE81CE">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1）出现本章正文第5.3.2项所列原因的补救措施：</w:t>
            </w:r>
          </w:p>
          <w:p w14:paraId="5B6538B3">
            <w:pPr>
              <w:pStyle w:val="276"/>
              <w:adjustRightInd w:val="0"/>
              <w:snapToGrid w:val="0"/>
              <w:spacing w:line="400" w:lineRule="exact"/>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招标人在收到投标人递交的投标截止时间止“电子交易系统”自动生成的上传失败异常记录单后，按投标人撤回投标文件的情形处理，并在收到异常记录单之日起</w:t>
            </w:r>
            <w:r>
              <w:rPr>
                <w:rFonts w:ascii="宋体" w:hAnsi="宋体" w:cs="宋体"/>
                <w:color w:val="auto"/>
                <w:szCs w:val="21"/>
                <w:highlight w:val="none"/>
              </w:rPr>
              <w:t>5日内退还已收取的投标保证金</w:t>
            </w:r>
            <w:r>
              <w:rPr>
                <w:rFonts w:hint="eastAsia" w:ascii="宋体" w:hAnsi="宋体" w:cs="宋体"/>
                <w:color w:val="auto"/>
                <w:szCs w:val="21"/>
                <w:highlight w:val="none"/>
                <w:lang w:eastAsia="zh-CN"/>
              </w:rPr>
              <w:t>。</w:t>
            </w:r>
          </w:p>
          <w:p w14:paraId="59D0E80E">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（2）出现本章正文第5.3.3项所列情况以及招标人原因导致系统无法正常运行和证明非投标人原因导致投标人现场无法解密的补救措施：</w:t>
            </w:r>
          </w:p>
          <w:p w14:paraId="5F022B1E">
            <w:pPr>
              <w:pStyle w:val="276"/>
              <w:adjustRightInd w:val="0"/>
              <w:snapToGrid w:val="0"/>
              <w:spacing w:line="400" w:lineRule="exact"/>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应对未开标的中止电子开标，并在恢复正常后及时安排时间开标。同时采取补救措施时，必须对原有资料及信息作出妥善保密处理</w:t>
            </w:r>
            <w:r>
              <w:rPr>
                <w:rFonts w:hint="eastAsia" w:ascii="宋体" w:hAnsi="宋体" w:cs="宋体"/>
                <w:color w:val="auto"/>
                <w:szCs w:val="21"/>
                <w:highlight w:val="none"/>
                <w:lang w:eastAsia="zh-CN"/>
              </w:rPr>
              <w:t>。</w:t>
            </w:r>
          </w:p>
          <w:p w14:paraId="3F05F069">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其他</w:t>
            </w:r>
            <w:r>
              <w:rPr>
                <w:rFonts w:hint="eastAsia" w:ascii="宋体" w:hAnsi="宋体" w:cs="宋体"/>
                <w:color w:val="auto"/>
                <w:szCs w:val="21"/>
                <w:highlight w:val="none"/>
              </w:rPr>
              <w:t>补救措施：</w:t>
            </w:r>
            <w:r>
              <w:rPr>
                <w:rFonts w:ascii="宋体" w:hAnsi="宋体" w:cs="宋体"/>
                <w:color w:val="auto"/>
                <w:szCs w:val="21"/>
                <w:highlight w:val="none"/>
                <w:u w:val="single"/>
              </w:rPr>
              <w:t xml:space="preserve">             </w:t>
            </w:r>
          </w:p>
        </w:tc>
      </w:tr>
      <w:tr w14:paraId="4E4B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4" w:type="dxa"/>
            <w:vAlign w:val="center"/>
          </w:tcPr>
          <w:p w14:paraId="7888A9AA">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5.4</w:t>
            </w:r>
          </w:p>
        </w:tc>
        <w:tc>
          <w:tcPr>
            <w:tcW w:w="2126" w:type="dxa"/>
            <w:vAlign w:val="center"/>
          </w:tcPr>
          <w:p w14:paraId="4277BFB5">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开标异议</w:t>
            </w:r>
          </w:p>
        </w:tc>
        <w:tc>
          <w:tcPr>
            <w:tcW w:w="5847" w:type="dxa"/>
            <w:vAlign w:val="center"/>
          </w:tcPr>
          <w:p w14:paraId="2F05C35B">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本</w:t>
            </w:r>
            <w:r>
              <w:rPr>
                <w:rFonts w:hint="eastAsia" w:ascii="宋体" w:hAnsi="宋体" w:cs="宋体"/>
                <w:color w:val="auto"/>
                <w:szCs w:val="21"/>
                <w:highlight w:val="none"/>
                <w:lang w:val="en-US" w:eastAsia="zh-CN"/>
              </w:rPr>
              <w:t>款</w:t>
            </w:r>
            <w:r>
              <w:rPr>
                <w:rFonts w:hint="eastAsia" w:ascii="宋体" w:hAnsi="宋体" w:cs="宋体"/>
                <w:color w:val="auto"/>
                <w:szCs w:val="21"/>
                <w:highlight w:val="none"/>
              </w:rPr>
              <w:t>补充</w:t>
            </w:r>
            <w:r>
              <w:rPr>
                <w:rFonts w:ascii="宋体" w:hAnsi="宋体" w:cs="宋体"/>
                <w:color w:val="auto"/>
                <w:szCs w:val="21"/>
                <w:highlight w:val="none"/>
              </w:rPr>
              <w:t>：</w:t>
            </w:r>
          </w:p>
          <w:p w14:paraId="4539C139">
            <w:pPr>
              <w:pStyle w:val="276"/>
              <w:adjustRightInd w:val="0"/>
              <w:snapToGrid w:val="0"/>
              <w:spacing w:line="400" w:lineRule="exact"/>
              <w:ind w:firstLine="210" w:firstLineChars="100"/>
              <w:rPr>
                <w:rFonts w:hint="eastAsia" w:ascii="宋体" w:hAnsi="宋体" w:eastAsia="宋体" w:cs="宋体"/>
                <w:color w:val="auto"/>
                <w:kern w:val="2"/>
                <w:sz w:val="21"/>
                <w:szCs w:val="21"/>
                <w:highlight w:val="none"/>
                <w:lang w:val="en-US" w:eastAsia="zh-CN" w:bidi="ar-SA"/>
              </w:rPr>
            </w:pPr>
            <w:r>
              <w:rPr>
                <w:rFonts w:hint="eastAsia" w:cs="宋体" w:asciiTheme="minorEastAsia" w:hAnsiTheme="minorEastAsia" w:eastAsiaTheme="minorEastAsia"/>
                <w:color w:val="auto"/>
                <w:sz w:val="21"/>
                <w:szCs w:val="21"/>
                <w:highlight w:val="none"/>
              </w:rPr>
              <w:t>投标人对开标如有异议，应在“</w:t>
            </w:r>
            <w:r>
              <w:rPr>
                <w:rFonts w:cs="宋体" w:asciiTheme="minorEastAsia" w:hAnsiTheme="minorEastAsia" w:eastAsiaTheme="minorEastAsia"/>
                <w:color w:val="auto"/>
                <w:szCs w:val="21"/>
                <w:highlight w:val="none"/>
              </w:rPr>
              <w:t>不见面开标大厅</w:t>
            </w:r>
            <w:r>
              <w:rPr>
                <w:rFonts w:hint="eastAsia" w:cs="宋体" w:asciiTheme="minorEastAsia" w:hAnsiTheme="minorEastAsia" w:eastAsiaTheme="minorEastAsia"/>
                <w:color w:val="auto"/>
                <w:sz w:val="21"/>
                <w:szCs w:val="21"/>
                <w:highlight w:val="none"/>
              </w:rPr>
              <w:t>”</w:t>
            </w:r>
            <w:r>
              <w:rPr>
                <w:rFonts w:hint="eastAsia" w:cs="宋体" w:asciiTheme="minorEastAsia" w:hAnsiTheme="minorEastAsia" w:eastAsiaTheme="minorEastAsia"/>
                <w:color w:val="auto"/>
                <w:sz w:val="21"/>
                <w:szCs w:val="21"/>
                <w:highlight w:val="none"/>
                <w:lang w:val="en-US" w:eastAsia="zh-CN"/>
              </w:rPr>
              <w:t>中的</w:t>
            </w:r>
            <w:r>
              <w:rPr>
                <w:rFonts w:hint="eastAsia" w:cs="宋体" w:asciiTheme="minorEastAsia" w:hAnsiTheme="minorEastAsia" w:eastAsiaTheme="minorEastAsia"/>
                <w:color w:val="auto"/>
                <w:sz w:val="21"/>
                <w:szCs w:val="21"/>
                <w:highlight w:val="none"/>
              </w:rPr>
              <w:t>“开标异议提问”提出。招标人应在“异议回复”栏当场作出答复</w:t>
            </w:r>
          </w:p>
        </w:tc>
      </w:tr>
      <w:tr w14:paraId="6848A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409FC1D0">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6.1.1</w:t>
            </w:r>
          </w:p>
        </w:tc>
        <w:tc>
          <w:tcPr>
            <w:tcW w:w="2126" w:type="dxa"/>
            <w:vAlign w:val="center"/>
          </w:tcPr>
          <w:p w14:paraId="2F7BDC33">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评标委员会的</w:t>
            </w:r>
          </w:p>
          <w:p w14:paraId="796F4131">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组建</w:t>
            </w:r>
            <w:r>
              <w:rPr>
                <w:rStyle w:val="58"/>
                <w:rFonts w:ascii="宋体" w:hAnsi="宋体" w:cs="宋体"/>
                <w:color w:val="auto"/>
                <w:szCs w:val="21"/>
                <w:highlight w:val="none"/>
              </w:rPr>
              <w:footnoteReference w:id="48"/>
            </w:r>
          </w:p>
        </w:tc>
        <w:tc>
          <w:tcPr>
            <w:tcW w:w="5847" w:type="dxa"/>
            <w:vAlign w:val="center"/>
          </w:tcPr>
          <w:p w14:paraId="39F3A69B">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评标委员会构成：</w:t>
            </w:r>
            <w:r>
              <w:rPr>
                <w:rFonts w:ascii="宋体" w:hAnsi="宋体" w:cs="宋体"/>
                <w:color w:val="auto"/>
                <w:szCs w:val="21"/>
                <w:highlight w:val="none"/>
                <w:u w:val="single"/>
              </w:rPr>
              <w:t xml:space="preserve">   </w:t>
            </w:r>
            <w:r>
              <w:rPr>
                <w:rFonts w:hint="eastAsia" w:ascii="宋体" w:hAnsi="宋体" w:cs="宋体"/>
                <w:color w:val="auto"/>
                <w:szCs w:val="21"/>
                <w:highlight w:val="none"/>
              </w:rPr>
              <w:t>人，其中招标人代表：</w:t>
            </w:r>
            <w:r>
              <w:rPr>
                <w:rFonts w:ascii="宋体" w:hAnsi="宋体" w:cs="宋体"/>
                <w:color w:val="auto"/>
                <w:szCs w:val="21"/>
                <w:highlight w:val="none"/>
                <w:u w:val="single"/>
              </w:rPr>
              <w:t xml:space="preserve">   </w:t>
            </w:r>
            <w:r>
              <w:rPr>
                <w:rFonts w:hint="eastAsia" w:ascii="宋体" w:hAnsi="宋体" w:cs="宋体"/>
                <w:color w:val="auto"/>
                <w:szCs w:val="21"/>
                <w:highlight w:val="none"/>
              </w:rPr>
              <w:t>人，专家：</w:t>
            </w:r>
            <w:r>
              <w:rPr>
                <w:rFonts w:ascii="宋体" w:hAnsi="宋体" w:cs="宋体"/>
                <w:color w:val="auto"/>
                <w:szCs w:val="21"/>
                <w:highlight w:val="none"/>
                <w:u w:val="single"/>
              </w:rPr>
              <w:t xml:space="preserve">   </w:t>
            </w:r>
            <w:r>
              <w:rPr>
                <w:rFonts w:hint="eastAsia" w:ascii="宋体" w:hAnsi="宋体" w:cs="宋体"/>
                <w:color w:val="auto"/>
                <w:szCs w:val="21"/>
                <w:highlight w:val="none"/>
              </w:rPr>
              <w:t>人</w:t>
            </w:r>
          </w:p>
          <w:p w14:paraId="0652C263">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评标专家确定方式：</w:t>
            </w:r>
          </w:p>
          <w:p w14:paraId="59E6CA5A">
            <w:pPr>
              <w:pStyle w:val="276"/>
              <w:adjustRightInd w:val="0"/>
              <w:snapToGrid w:val="0"/>
              <w:spacing w:line="400" w:lineRule="exact"/>
              <w:ind w:firstLine="211" w:firstLineChars="100"/>
              <w:rPr>
                <w:rFonts w:ascii="宋体" w:hAnsi="宋体" w:cs="宋体"/>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 xml:space="preserve"> </w:t>
            </w:r>
            <w:r>
              <w:rPr>
                <w:rFonts w:hint="eastAsia" w:ascii="宋体" w:hAnsi="宋体" w:cs="宋体"/>
                <w:color w:val="auto"/>
                <w:szCs w:val="21"/>
                <w:highlight w:val="none"/>
              </w:rPr>
              <w:t>从国家重点公路工程建设项目评标专家库中随机抽取</w:t>
            </w:r>
          </w:p>
          <w:p w14:paraId="7EA61CDA">
            <w:pPr>
              <w:pStyle w:val="276"/>
              <w:adjustRightInd w:val="0"/>
              <w:snapToGrid w:val="0"/>
              <w:spacing w:line="400" w:lineRule="exact"/>
              <w:ind w:firstLine="211" w:firstLineChars="100"/>
              <w:rPr>
                <w:rFonts w:hint="eastAsia" w:ascii="宋体" w:hAnsi="宋体" w:cs="宋体"/>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 xml:space="preserve"> </w:t>
            </w:r>
            <w:r>
              <w:rPr>
                <w:rFonts w:hint="eastAsia" w:ascii="宋体" w:hAnsi="宋体" w:cs="宋体"/>
                <w:color w:val="auto"/>
                <w:szCs w:val="21"/>
                <w:highlight w:val="none"/>
              </w:rPr>
              <w:t>从四川省综合评标专家库中随机抽取</w:t>
            </w:r>
          </w:p>
          <w:p w14:paraId="2C056409">
            <w:pPr>
              <w:pStyle w:val="276"/>
              <w:adjustRightInd w:val="0"/>
              <w:snapToGrid w:val="0"/>
              <w:spacing w:line="400" w:lineRule="exact"/>
              <w:ind w:firstLine="211" w:firstLineChars="100"/>
              <w:rPr>
                <w:rFonts w:hint="eastAsia" w:ascii="宋体" w:hAnsi="宋体" w:eastAsia="宋体" w:cs="宋体"/>
                <w:color w:val="auto"/>
                <w:kern w:val="2"/>
                <w:sz w:val="21"/>
                <w:szCs w:val="21"/>
                <w:highlight w:val="none"/>
                <w:lang w:val="en-US" w:eastAsia="zh-CN" w:bidi="ar-SA"/>
              </w:rPr>
            </w:pPr>
            <w:r>
              <w:rPr>
                <w:rFonts w:hint="eastAsia" w:cs="宋体" w:asciiTheme="minorEastAsia" w:hAnsiTheme="minorEastAsia" w:eastAsiaTheme="minorEastAsia"/>
                <w:b/>
                <w:bCs/>
                <w:color w:val="auto"/>
                <w:szCs w:val="21"/>
                <w:highlight w:val="none"/>
              </w:rPr>
              <w:t>□</w:t>
            </w:r>
            <w:r>
              <w:rPr>
                <w:rFonts w:hint="eastAsia" w:cs="宋体" w:asciiTheme="minorEastAsia" w:hAnsiTheme="minorEastAsia" w:eastAsiaTheme="minorEastAsia"/>
                <w:color w:val="auto"/>
                <w:szCs w:val="21"/>
                <w:highlight w:val="none"/>
              </w:rPr>
              <w:t xml:space="preserve"> 由招标人直接确定</w:t>
            </w:r>
            <w:r>
              <w:rPr>
                <w:rStyle w:val="58"/>
                <w:rFonts w:asciiTheme="minorEastAsia" w:hAnsiTheme="minorEastAsia" w:eastAsiaTheme="minorEastAsia"/>
                <w:color w:val="auto"/>
                <w:szCs w:val="21"/>
                <w:highlight w:val="none"/>
              </w:rPr>
              <w:footnoteReference w:id="49"/>
            </w:r>
          </w:p>
        </w:tc>
      </w:tr>
      <w:tr w14:paraId="64C4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AAC4386">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6.3.2</w:t>
            </w:r>
          </w:p>
        </w:tc>
        <w:tc>
          <w:tcPr>
            <w:tcW w:w="2126" w:type="dxa"/>
            <w:vAlign w:val="center"/>
          </w:tcPr>
          <w:p w14:paraId="23585B65">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评标委员会推荐中标候选人的</w:t>
            </w:r>
            <w:r>
              <w:rPr>
                <w:rFonts w:hint="eastAsia" w:ascii="宋体" w:hAnsi="宋体" w:cs="宋体"/>
                <w:color w:val="auto"/>
                <w:szCs w:val="21"/>
                <w:highlight w:val="none"/>
                <w:lang w:val="en-US" w:eastAsia="zh-CN"/>
              </w:rPr>
              <w:t>人数</w:t>
            </w:r>
          </w:p>
        </w:tc>
        <w:tc>
          <w:tcPr>
            <w:tcW w:w="5847" w:type="dxa"/>
            <w:vAlign w:val="center"/>
          </w:tcPr>
          <w:p w14:paraId="7E9AD831">
            <w:pPr>
              <w:pStyle w:val="276"/>
              <w:adjustRightInd w:val="0"/>
              <w:snapToGrid w:val="0"/>
              <w:spacing w:line="40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评标委员会推荐中标候选人的</w:t>
            </w:r>
            <w:r>
              <w:rPr>
                <w:rFonts w:hint="eastAsia" w:ascii="宋体" w:hAnsi="宋体" w:cs="宋体"/>
                <w:color w:val="auto"/>
                <w:szCs w:val="21"/>
                <w:highlight w:val="none"/>
                <w:lang w:val="en-US" w:eastAsia="zh-CN"/>
              </w:rPr>
              <w:t>人数</w:t>
            </w:r>
            <w:r>
              <w:rPr>
                <w:rFonts w:hint="eastAsia" w:ascii="宋体" w:hAnsi="宋体" w:cs="宋体"/>
                <w:color w:val="auto"/>
                <w:szCs w:val="21"/>
                <w:highlight w:val="none"/>
              </w:rPr>
              <w:t>：</w:t>
            </w:r>
            <w:r>
              <w:rPr>
                <w:rFonts w:ascii="宋体" w:hAnsi="宋体" w:cs="宋体"/>
                <w:color w:val="auto"/>
                <w:szCs w:val="21"/>
                <w:highlight w:val="none"/>
              </w:rPr>
              <w:t>3名（若不足3名，则按相应数量推荐）</w:t>
            </w:r>
          </w:p>
          <w:p w14:paraId="5CA344A9">
            <w:pPr>
              <w:pStyle w:val="276"/>
              <w:adjustRightInd w:val="0"/>
              <w:snapToGrid w:val="0"/>
              <w:spacing w:line="40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评标报告的形式：</w:t>
            </w:r>
          </w:p>
          <w:p w14:paraId="5CB3E440">
            <w:pPr>
              <w:pStyle w:val="276"/>
              <w:adjustRightInd w:val="0"/>
              <w:snapToGrid w:val="0"/>
              <w:spacing w:line="400" w:lineRule="exact"/>
              <w:ind w:firstLine="211" w:firstLineChars="100"/>
              <w:jc w:val="left"/>
              <w:rPr>
                <w:rFonts w:ascii="宋体" w:hAnsi="宋体" w:cs="宋体"/>
                <w:color w:val="auto"/>
                <w:szCs w:val="21"/>
                <w:highlight w:val="none"/>
              </w:rPr>
            </w:pPr>
            <w:r>
              <w:rPr>
                <w:rFonts w:hint="eastAsia" w:ascii="宋体" w:hAnsi="宋体" w:cs="宋体"/>
                <w:b/>
                <w:bCs/>
                <w:color w:val="auto"/>
                <w:szCs w:val="21"/>
                <w:highlight w:val="none"/>
              </w:rPr>
              <w:sym w:font="Wingdings 2" w:char="00A3"/>
            </w:r>
            <w:r>
              <w:rPr>
                <w:rFonts w:ascii="宋体" w:hAnsi="宋体" w:cs="宋体"/>
                <w:color w:val="auto"/>
                <w:szCs w:val="21"/>
                <w:highlight w:val="none"/>
              </w:rPr>
              <w:t xml:space="preserve"> </w:t>
            </w:r>
            <w:r>
              <w:rPr>
                <w:rFonts w:hint="eastAsia" w:ascii="宋体" w:hAnsi="宋体" w:cs="宋体"/>
                <w:color w:val="auto"/>
                <w:szCs w:val="21"/>
                <w:highlight w:val="none"/>
              </w:rPr>
              <w:t>书面形式</w:t>
            </w:r>
          </w:p>
          <w:p w14:paraId="06AC90F9">
            <w:pPr>
              <w:pStyle w:val="276"/>
              <w:adjustRightInd w:val="0"/>
              <w:snapToGrid w:val="0"/>
              <w:spacing w:line="400" w:lineRule="exact"/>
              <w:ind w:firstLine="211" w:firstLineChars="10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电子形式：通过“</w:t>
            </w:r>
            <w:r>
              <w:rPr>
                <w:rFonts w:hint="eastAsia" w:ascii="宋体" w:hAnsi="宋体" w:cs="宋体"/>
                <w:color w:val="auto"/>
                <w:szCs w:val="21"/>
                <w:highlight w:val="none"/>
                <w:lang w:eastAsia="zh-CN"/>
              </w:rPr>
              <w:t>电子交易系统</w:t>
            </w:r>
            <w:r>
              <w:rPr>
                <w:rFonts w:hint="eastAsia" w:ascii="宋体" w:hAnsi="宋体" w:cs="宋体"/>
                <w:color w:val="auto"/>
                <w:szCs w:val="21"/>
                <w:highlight w:val="none"/>
              </w:rPr>
              <w:t>”以数据电文形式发出</w:t>
            </w:r>
          </w:p>
        </w:tc>
      </w:tr>
      <w:tr w14:paraId="101F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62F0B6C">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7.1</w:t>
            </w:r>
          </w:p>
        </w:tc>
        <w:tc>
          <w:tcPr>
            <w:tcW w:w="2126" w:type="dxa"/>
            <w:vAlign w:val="center"/>
          </w:tcPr>
          <w:p w14:paraId="1C2B4556">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中标候选人公示媒介及期限</w:t>
            </w:r>
          </w:p>
        </w:tc>
        <w:tc>
          <w:tcPr>
            <w:tcW w:w="5847" w:type="dxa"/>
            <w:vAlign w:val="center"/>
          </w:tcPr>
          <w:p w14:paraId="0FCE6602">
            <w:pPr>
              <w:pStyle w:val="276"/>
              <w:adjustRightInd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公示媒介：</w:t>
            </w:r>
            <w:r>
              <w:rPr>
                <w:rFonts w:hint="eastAsia" w:ascii="宋体" w:hAnsi="宋体" w:cs="宋体"/>
                <w:color w:val="auto"/>
                <w:szCs w:val="21"/>
                <w:highlight w:val="none"/>
                <w:lang w:val="en-US" w:eastAsia="zh-CN"/>
              </w:rPr>
              <w:t>见</w:t>
            </w:r>
            <w:r>
              <w:rPr>
                <w:rFonts w:hint="eastAsia" w:ascii="宋体" w:hAnsi="宋体" w:cs="宋体"/>
                <w:color w:val="auto"/>
                <w:szCs w:val="21"/>
                <w:highlight w:val="none"/>
              </w:rPr>
              <w:t>招标公告</w:t>
            </w:r>
          </w:p>
          <w:p w14:paraId="3D9DE67B">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公示期限：</w:t>
            </w:r>
            <w:r>
              <w:rPr>
                <w:rFonts w:hint="eastAsia" w:ascii="宋体" w:hAnsi="宋体" w:cs="宋体"/>
                <w:color w:val="auto"/>
                <w:szCs w:val="21"/>
                <w:highlight w:val="none"/>
                <w:lang w:val="en-US" w:eastAsia="zh-CN"/>
              </w:rPr>
              <w:t>见</w:t>
            </w:r>
            <w:r>
              <w:rPr>
                <w:rFonts w:hint="eastAsia" w:ascii="宋体" w:hAnsi="宋体" w:cs="宋体"/>
                <w:color w:val="auto"/>
                <w:szCs w:val="21"/>
                <w:highlight w:val="none"/>
              </w:rPr>
              <w:t>招标公告</w:t>
            </w:r>
          </w:p>
          <w:p w14:paraId="6557740F">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公示的其他内容：□</w:t>
            </w:r>
            <w:r>
              <w:rPr>
                <w:rFonts w:ascii="宋体" w:hAnsi="宋体" w:cs="宋体"/>
                <w:color w:val="auto"/>
                <w:szCs w:val="21"/>
                <w:highlight w:val="none"/>
              </w:rPr>
              <w:t xml:space="preserve"> 开标记录    </w:t>
            </w:r>
          </w:p>
          <w:p w14:paraId="7897BB53">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 xml:space="preserve">                □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tc>
      </w:tr>
      <w:tr w14:paraId="143D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12FE3D8">
            <w:pPr>
              <w:adjustRightInd w:val="0"/>
              <w:snapToGrid w:val="0"/>
              <w:spacing w:line="400" w:lineRule="exact"/>
              <w:jc w:val="center"/>
              <w:rPr>
                <w:rFonts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7.2</w:t>
            </w:r>
          </w:p>
        </w:tc>
        <w:tc>
          <w:tcPr>
            <w:tcW w:w="2126" w:type="dxa"/>
            <w:vAlign w:val="center"/>
          </w:tcPr>
          <w:p w14:paraId="50768C31">
            <w:pPr>
              <w:adjustRightInd w:val="0"/>
              <w:snapToGrid w:val="0"/>
              <w:spacing w:line="400" w:lineRule="exact"/>
              <w:jc w:val="center"/>
              <w:rPr>
                <w:rFonts w:hint="eastAsia" w:cs="Times New Roman" w:asciiTheme="minorEastAsia" w:hAnsiTheme="minorEastAsia" w:eastAsiaTheme="minorEastAsia"/>
                <w:kern w:val="2"/>
                <w:sz w:val="21"/>
                <w:szCs w:val="21"/>
                <w:lang w:val="en-US" w:eastAsia="zh-CN" w:bidi="ar-SA"/>
              </w:rPr>
            </w:pPr>
            <w:r>
              <w:rPr>
                <w:rFonts w:hint="eastAsia" w:asciiTheme="minorEastAsia" w:hAnsiTheme="minorEastAsia" w:eastAsiaTheme="minorEastAsia"/>
                <w:szCs w:val="21"/>
              </w:rPr>
              <w:t>评标结果异议</w:t>
            </w:r>
          </w:p>
        </w:tc>
        <w:tc>
          <w:tcPr>
            <w:tcW w:w="5847" w:type="dxa"/>
            <w:vAlign w:val="center"/>
          </w:tcPr>
          <w:p w14:paraId="085467E1">
            <w:pPr>
              <w:adjustRightInd w:val="0"/>
              <w:snapToGrid w:val="0"/>
              <w:spacing w:line="400" w:lineRule="exact"/>
              <w:rPr>
                <w:rFonts w:ascii="宋体" w:hAnsi="宋体" w:cs="宋体"/>
                <w:snapToGrid w:val="0"/>
                <w:kern w:val="0"/>
              </w:rPr>
            </w:pPr>
            <w:r>
              <w:rPr>
                <w:rFonts w:hint="eastAsia" w:ascii="宋体" w:hAnsi="宋体" w:cs="宋体"/>
                <w:snapToGrid w:val="0"/>
                <w:kern w:val="0"/>
              </w:rPr>
              <w:t>本款补充：</w:t>
            </w:r>
          </w:p>
          <w:p w14:paraId="6ED653A1">
            <w:pPr>
              <w:adjustRightInd w:val="0"/>
              <w:snapToGrid w:val="0"/>
              <w:spacing w:line="400" w:lineRule="exact"/>
              <w:ind w:firstLine="210" w:firstLineChars="100"/>
              <w:rPr>
                <w:rFonts w:hint="eastAsia" w:eastAsia="宋体" w:cs="Times New Roman" w:asciiTheme="minorEastAsia" w:hAnsiTheme="minorEastAsia"/>
                <w:kern w:val="2"/>
                <w:sz w:val="21"/>
                <w:szCs w:val="21"/>
                <w:lang w:val="en-US" w:eastAsia="zh-CN" w:bidi="ar-SA"/>
              </w:rPr>
            </w:pPr>
            <w:r>
              <w:rPr>
                <w:rFonts w:hint="eastAsia" w:ascii="宋体" w:hAnsi="宋体" w:cs="宋体"/>
                <w:snapToGrid w:val="0"/>
                <w:kern w:val="0"/>
              </w:rPr>
              <w:t>投标人提出异议可通过“电子交易系统”在“澄清与异议”菜单中进行，也可采用符合本须知前附表第8.5.2项要求的书面方式进行</w:t>
            </w:r>
          </w:p>
        </w:tc>
      </w:tr>
      <w:tr w14:paraId="7242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4" w:type="dxa"/>
            <w:vAlign w:val="center"/>
          </w:tcPr>
          <w:p w14:paraId="13FEFBAD">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7.4</w:t>
            </w:r>
          </w:p>
        </w:tc>
        <w:tc>
          <w:tcPr>
            <w:tcW w:w="2126" w:type="dxa"/>
            <w:vAlign w:val="center"/>
          </w:tcPr>
          <w:p w14:paraId="005FDA74">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是否授权评标委员会确定中标人</w:t>
            </w:r>
          </w:p>
        </w:tc>
        <w:tc>
          <w:tcPr>
            <w:tcW w:w="5847" w:type="dxa"/>
            <w:vAlign w:val="center"/>
          </w:tcPr>
          <w:p w14:paraId="2EC2BF6A">
            <w:pPr>
              <w:pStyle w:val="276"/>
              <w:adjustRightInd w:val="0"/>
              <w:snapToGrid w:val="0"/>
              <w:spacing w:line="400" w:lineRule="exact"/>
              <w:jc w:val="lef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是</w:t>
            </w:r>
          </w:p>
          <w:p w14:paraId="7E9941B2">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否</w:t>
            </w:r>
          </w:p>
          <w:p w14:paraId="74544B33">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1）招标人将依据评标委员会推荐的中标候选人，确定中标人</w:t>
            </w:r>
            <w:r>
              <w:rPr>
                <w:rFonts w:hint="eastAsia" w:ascii="宋体" w:hAnsi="宋体" w:cs="宋体"/>
                <w:color w:val="auto"/>
                <w:szCs w:val="21"/>
                <w:highlight w:val="none"/>
                <w:lang w:eastAsia="zh-CN"/>
              </w:rPr>
              <w:t>。</w:t>
            </w:r>
          </w:p>
          <w:p w14:paraId="57DF9D99">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等线"/>
                <w:color w:val="auto"/>
                <w:szCs w:val="21"/>
                <w:highlight w:val="none"/>
              </w:rPr>
              <w:t>国有</w:t>
            </w:r>
            <w:r>
              <w:rPr>
                <w:rFonts w:ascii="宋体" w:hAnsi="宋体" w:cs="等线"/>
                <w:color w:val="auto"/>
                <w:szCs w:val="21"/>
                <w:highlight w:val="none"/>
              </w:rPr>
              <w:t>资金占控股或者主导地位的依法必须招标的项目</w:t>
            </w:r>
            <w:r>
              <w:rPr>
                <w:rFonts w:hint="eastAsia" w:ascii="宋体" w:hAnsi="宋体" w:cs="等线"/>
                <w:color w:val="auto"/>
                <w:szCs w:val="21"/>
                <w:highlight w:val="none"/>
              </w:rPr>
              <w:t>，</w:t>
            </w:r>
            <w:r>
              <w:rPr>
                <w:rFonts w:ascii="宋体" w:hAnsi="宋体" w:cs="等线"/>
                <w:color w:val="auto"/>
                <w:szCs w:val="21"/>
                <w:highlight w:val="none"/>
              </w:rPr>
              <w:t>招标人应当确定排名第一的中标候选人为中标人</w:t>
            </w:r>
            <w:r>
              <w:rPr>
                <w:rFonts w:hint="eastAsia" w:ascii="宋体" w:hAnsi="宋体" w:cs="宋体"/>
                <w:color w:val="auto"/>
                <w:szCs w:val="21"/>
                <w:highlight w:val="none"/>
                <w:lang w:eastAsia="zh-CN"/>
              </w:rPr>
              <w:t>。</w:t>
            </w:r>
            <w:r>
              <w:rPr>
                <w:rFonts w:ascii="宋体" w:hAnsi="宋体" w:cs="宋体"/>
                <w:color w:val="auto"/>
                <w:szCs w:val="21"/>
                <w:highlight w:val="none"/>
              </w:rPr>
              <w:t>排名第一的中标候选人放弃中标</w:t>
            </w:r>
            <w:r>
              <w:rPr>
                <w:rFonts w:hint="eastAsia" w:ascii="宋体" w:hAnsi="宋体" w:cs="宋体"/>
                <w:color w:val="auto"/>
                <w:szCs w:val="21"/>
                <w:highlight w:val="none"/>
                <w:lang w:eastAsia="zh-CN"/>
              </w:rPr>
              <w:t>，</w:t>
            </w:r>
            <w:r>
              <w:rPr>
                <w:rFonts w:ascii="宋体" w:hAnsi="宋体" w:cs="宋体"/>
                <w:color w:val="auto"/>
                <w:szCs w:val="21"/>
                <w:highlight w:val="none"/>
              </w:rPr>
              <w:t>或</w:t>
            </w:r>
            <w:r>
              <w:rPr>
                <w:rFonts w:hint="eastAsia" w:ascii="宋体" w:hAnsi="宋体" w:cs="宋体"/>
                <w:color w:val="auto"/>
                <w:szCs w:val="21"/>
                <w:highlight w:val="none"/>
              </w:rPr>
              <w:t>因不可抗力</w:t>
            </w:r>
            <w:r>
              <w:rPr>
                <w:rFonts w:ascii="宋体" w:hAnsi="宋体" w:cs="宋体"/>
                <w:color w:val="auto"/>
                <w:szCs w:val="21"/>
                <w:highlight w:val="none"/>
              </w:rPr>
              <w:t>不能履行合同</w:t>
            </w:r>
            <w:r>
              <w:rPr>
                <w:rFonts w:hint="eastAsia" w:ascii="宋体" w:hAnsi="宋体" w:cs="宋体"/>
                <w:color w:val="auto"/>
                <w:szCs w:val="21"/>
                <w:highlight w:val="none"/>
                <w:lang w:eastAsia="zh-CN"/>
              </w:rPr>
              <w:t>，</w:t>
            </w:r>
            <w:r>
              <w:rPr>
                <w:rFonts w:ascii="宋体" w:hAnsi="宋体" w:cs="宋体"/>
                <w:color w:val="auto"/>
                <w:szCs w:val="21"/>
                <w:highlight w:val="none"/>
              </w:rPr>
              <w:t>或不按招标文件要求提交履约</w:t>
            </w:r>
            <w:r>
              <w:rPr>
                <w:rFonts w:hint="eastAsia" w:ascii="宋体" w:hAnsi="宋体" w:cs="宋体"/>
                <w:color w:val="auto"/>
                <w:szCs w:val="21"/>
                <w:highlight w:val="none"/>
              </w:rPr>
              <w:t>保证金</w:t>
            </w:r>
            <w:r>
              <w:rPr>
                <w:rFonts w:hint="eastAsia" w:ascii="宋体" w:hAnsi="宋体" w:cs="宋体"/>
                <w:color w:val="auto"/>
                <w:szCs w:val="21"/>
                <w:highlight w:val="none"/>
                <w:lang w:eastAsia="zh-CN"/>
              </w:rPr>
              <w:t>，</w:t>
            </w:r>
            <w:r>
              <w:rPr>
                <w:rFonts w:ascii="宋体" w:hAnsi="宋体" w:cs="宋体"/>
                <w:color w:val="auto"/>
                <w:szCs w:val="21"/>
                <w:highlight w:val="none"/>
              </w:rPr>
              <w:t>或被查实存在影响中标结果的违法行为等情形不符合中标条件的，招标人可以按照评标委员会提出的中标候选人名单排序依次确定其他中标候选人为中标人，也可以重新招标</w:t>
            </w:r>
          </w:p>
        </w:tc>
      </w:tr>
      <w:tr w14:paraId="57AC3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342C8BDC">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7.5</w:t>
            </w:r>
          </w:p>
        </w:tc>
        <w:tc>
          <w:tcPr>
            <w:tcW w:w="2126" w:type="dxa"/>
            <w:vAlign w:val="center"/>
          </w:tcPr>
          <w:p w14:paraId="5118B5FB">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中标通知书和中标结果通知发出的形式</w:t>
            </w:r>
            <w:r>
              <w:rPr>
                <w:rStyle w:val="58"/>
                <w:rFonts w:ascii="宋体" w:hAnsi="宋体" w:cs="宋体"/>
                <w:color w:val="auto"/>
                <w:szCs w:val="21"/>
                <w:highlight w:val="none"/>
              </w:rPr>
              <w:footnoteReference w:id="50"/>
            </w:r>
          </w:p>
        </w:tc>
        <w:tc>
          <w:tcPr>
            <w:tcW w:w="5847" w:type="dxa"/>
            <w:vAlign w:val="center"/>
          </w:tcPr>
          <w:p w14:paraId="1A4FEE9D">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书面形式</w:t>
            </w:r>
          </w:p>
          <w:p w14:paraId="2E12F81C">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b/>
                <w:color w:val="auto"/>
                <w:szCs w:val="21"/>
                <w:highlight w:val="none"/>
              </w:rPr>
              <w:t>□</w:t>
            </w:r>
            <w:r>
              <w:rPr>
                <w:rFonts w:ascii="宋体" w:hAnsi="宋体" w:cs="宋体"/>
                <w:color w:val="auto"/>
                <w:szCs w:val="21"/>
                <w:highlight w:val="none"/>
              </w:rPr>
              <w:t xml:space="preserve"> 电子形式：通过“</w:t>
            </w:r>
            <w:r>
              <w:rPr>
                <w:rFonts w:hint="eastAsia" w:ascii="宋体" w:hAnsi="宋体" w:cs="宋体"/>
                <w:color w:val="auto"/>
                <w:szCs w:val="21"/>
                <w:highlight w:val="none"/>
                <w:lang w:eastAsia="zh-CN"/>
              </w:rPr>
              <w:t>电子交易系统</w:t>
            </w:r>
            <w:r>
              <w:rPr>
                <w:rFonts w:ascii="宋体" w:hAnsi="宋体" w:cs="宋体"/>
                <w:color w:val="auto"/>
                <w:szCs w:val="21"/>
                <w:highlight w:val="none"/>
              </w:rPr>
              <w:t>”以数据电文形式发出</w:t>
            </w:r>
          </w:p>
        </w:tc>
      </w:tr>
      <w:tr w14:paraId="131A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4ACA4144">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7.6</w:t>
            </w:r>
          </w:p>
        </w:tc>
        <w:tc>
          <w:tcPr>
            <w:tcW w:w="2126" w:type="dxa"/>
            <w:vAlign w:val="center"/>
          </w:tcPr>
          <w:p w14:paraId="7D873DC3">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中标结果公告媒介及期限</w:t>
            </w:r>
          </w:p>
        </w:tc>
        <w:tc>
          <w:tcPr>
            <w:tcW w:w="5847" w:type="dxa"/>
            <w:vAlign w:val="center"/>
          </w:tcPr>
          <w:p w14:paraId="00FB6917">
            <w:pPr>
              <w:pStyle w:val="276"/>
              <w:adjustRightInd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公告媒介：全国公共资源交易平台（四川省）（</w:t>
            </w:r>
            <w:r>
              <w:rPr>
                <w:rStyle w:val="56"/>
                <w:rFonts w:hint="eastAsia" w:ascii="宋体" w:hAnsi="宋体" w:cs="宋体"/>
                <w:color w:val="auto"/>
                <w:szCs w:val="21"/>
                <w:highlight w:val="none"/>
                <w:u w:val="none"/>
                <w:lang w:eastAsia="zh-CN"/>
              </w:rPr>
              <w:t>https</w:t>
            </w:r>
            <w:r>
              <w:rPr>
                <w:rStyle w:val="56"/>
                <w:rFonts w:ascii="宋体" w:hAnsi="宋体" w:cs="宋体"/>
                <w:color w:val="auto"/>
                <w:szCs w:val="21"/>
                <w:highlight w:val="none"/>
                <w:u w:val="none"/>
              </w:rPr>
              <w:t>://ggzyjy.sc.gov.cn/）</w:t>
            </w:r>
            <w:r>
              <w:rPr>
                <w:rFonts w:hint="eastAsia" w:ascii="宋体" w:hAnsi="宋体" w:cs="宋体"/>
                <w:color w:val="auto"/>
                <w:szCs w:val="21"/>
                <w:highlight w:val="none"/>
              </w:rPr>
              <w:t>、其他：</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114314AF">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公告期：</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日 </w:t>
            </w:r>
          </w:p>
        </w:tc>
      </w:tr>
      <w:tr w14:paraId="41D0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4453062F">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7.7.1</w:t>
            </w:r>
          </w:p>
        </w:tc>
        <w:tc>
          <w:tcPr>
            <w:tcW w:w="2126" w:type="dxa"/>
            <w:vAlign w:val="center"/>
          </w:tcPr>
          <w:p w14:paraId="5B7558EE">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履约保证金</w:t>
            </w:r>
          </w:p>
        </w:tc>
        <w:tc>
          <w:tcPr>
            <w:tcW w:w="5847" w:type="dxa"/>
            <w:vAlign w:val="center"/>
          </w:tcPr>
          <w:p w14:paraId="384DFBBD">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是否要求中标人提交履约保证金：</w:t>
            </w:r>
          </w:p>
          <w:p w14:paraId="163EA6A1">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不要求</w:t>
            </w:r>
          </w:p>
          <w:p w14:paraId="1D787272">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要求</w:t>
            </w:r>
          </w:p>
          <w:p w14:paraId="4AFB8B5C">
            <w:pPr>
              <w:pStyle w:val="276"/>
              <w:adjustRightInd w:val="0"/>
              <w:snapToGrid w:val="0"/>
              <w:spacing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履约保证金的形式</w:t>
            </w:r>
            <w:r>
              <w:rPr>
                <w:rStyle w:val="58"/>
                <w:rFonts w:ascii="宋体" w:hAnsi="宋体" w:cs="宋体"/>
                <w:color w:val="auto"/>
                <w:szCs w:val="21"/>
                <w:highlight w:val="none"/>
              </w:rPr>
              <w:footnoteReference w:id="51"/>
            </w:r>
            <w:r>
              <w:rPr>
                <w:rFonts w:hint="eastAsia" w:ascii="宋体" w:hAnsi="宋体" w:cs="宋体"/>
                <w:color w:val="auto"/>
                <w:szCs w:val="21"/>
                <w:highlight w:val="none"/>
              </w:rPr>
              <w:t>：</w:t>
            </w:r>
          </w:p>
          <w:p w14:paraId="7E48B08B">
            <w:pPr>
              <w:pStyle w:val="276"/>
              <w:adjustRightInd w:val="0"/>
              <w:snapToGrid w:val="0"/>
              <w:spacing w:line="400" w:lineRule="exact"/>
              <w:ind w:firstLine="210" w:firstLineChars="100"/>
              <w:rPr>
                <w:rFonts w:ascii="宋体" w:hAnsi="宋体" w:cs="宋体"/>
                <w:color w:val="auto"/>
                <w:szCs w:val="21"/>
                <w:highlight w:val="none"/>
                <w:u w:val="single"/>
              </w:rPr>
            </w:pPr>
            <w:r>
              <w:rPr>
                <w:rFonts w:hint="eastAsia" w:ascii="宋体" w:hAnsi="宋体" w:cs="宋体"/>
                <w:color w:val="auto"/>
                <w:szCs w:val="21"/>
                <w:highlight w:val="none"/>
              </w:rPr>
              <w:t>□银行保函</w:t>
            </w:r>
            <w:r>
              <w:rPr>
                <w:rFonts w:ascii="宋体" w:hAnsi="宋体" w:cs="宋体"/>
                <w:color w:val="auto"/>
                <w:szCs w:val="21"/>
                <w:highlight w:val="none"/>
              </w:rPr>
              <w:t xml:space="preserve">  </w:t>
            </w:r>
            <w:r>
              <w:rPr>
                <w:rFonts w:hint="eastAsia" w:ascii="宋体" w:hAnsi="宋体" w:cs="宋体"/>
                <w:color w:val="auto"/>
                <w:szCs w:val="21"/>
                <w:highlight w:val="none"/>
              </w:rPr>
              <w:t>□现金</w:t>
            </w:r>
            <w:r>
              <w:rPr>
                <w:rFonts w:ascii="宋体" w:hAnsi="宋体" w:cs="宋体"/>
                <w:color w:val="auto"/>
                <w:szCs w:val="21"/>
                <w:highlight w:val="none"/>
              </w:rPr>
              <w:t xml:space="preserve">  </w:t>
            </w:r>
            <w:r>
              <w:rPr>
                <w:rFonts w:hint="eastAsia" w:ascii="宋体" w:hAnsi="宋体" w:cs="宋体"/>
                <w:color w:val="auto"/>
                <w:szCs w:val="21"/>
                <w:highlight w:val="none"/>
              </w:rPr>
              <w:t>□支票</w:t>
            </w:r>
            <w:r>
              <w:rPr>
                <w:rFonts w:ascii="宋体" w:hAnsi="宋体" w:cs="宋体"/>
                <w:color w:val="auto"/>
                <w:szCs w:val="21"/>
                <w:highlight w:val="none"/>
              </w:rPr>
              <w:t xml:space="preserve">  </w:t>
            </w:r>
            <w:r>
              <w:rPr>
                <w:rFonts w:hint="eastAsia" w:ascii="宋体" w:hAnsi="宋体" w:cs="宋体"/>
                <w:color w:val="auto"/>
                <w:szCs w:val="21"/>
                <w:highlight w:val="none"/>
              </w:rPr>
              <w:t>□其他：</w:t>
            </w:r>
            <w:r>
              <w:rPr>
                <w:rFonts w:ascii="宋体" w:hAnsi="宋体" w:cs="宋体"/>
                <w:color w:val="auto"/>
                <w:szCs w:val="21"/>
                <w:highlight w:val="none"/>
                <w:u w:val="single"/>
              </w:rPr>
              <w:t xml:space="preserve">       </w:t>
            </w:r>
          </w:p>
          <w:p w14:paraId="675CEEAD">
            <w:pPr>
              <w:adjustRightInd w:val="0"/>
              <w:snapToGrid w:val="0"/>
              <w:spacing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履约保证金的金额：</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签约合同价</w:t>
            </w:r>
            <w:r>
              <w:rPr>
                <w:rStyle w:val="58"/>
                <w:rFonts w:ascii="宋体" w:hAnsi="宋体" w:cs="宋体"/>
                <w:color w:val="auto"/>
                <w:szCs w:val="21"/>
                <w:highlight w:val="none"/>
              </w:rPr>
              <w:footnoteReference w:id="52"/>
            </w:r>
            <w:r>
              <w:rPr>
                <w:rFonts w:hint="eastAsia" w:ascii="宋体" w:hAnsi="宋体" w:cs="宋体"/>
                <w:color w:val="auto"/>
                <w:szCs w:val="21"/>
                <w:highlight w:val="none"/>
              </w:rPr>
              <w:t>。</w:t>
            </w:r>
            <w:r>
              <w:rPr>
                <w:rFonts w:hint="eastAsia" w:asciiTheme="minorEastAsia" w:hAnsiTheme="minorEastAsia" w:eastAsiaTheme="minorEastAsia"/>
                <w:color w:val="auto"/>
                <w:szCs w:val="21"/>
                <w:highlight w:val="none"/>
              </w:rPr>
              <w:t>根据</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lang w:eastAsia="zh-CN"/>
              </w:rPr>
              <w:sym w:font="Wingdings 2" w:char="00A3"/>
            </w:r>
            <w:r>
              <w:rPr>
                <w:rFonts w:hint="eastAsia" w:ascii="宋体" w:hAnsi="宋体"/>
                <w:color w:val="auto"/>
                <w:sz w:val="21"/>
                <w:szCs w:val="21"/>
                <w:highlight w:val="none"/>
              </w:rPr>
              <w:t>四川省重点公路建设从业单位信用评价等级</w:t>
            </w:r>
            <w:r>
              <w:rPr>
                <w:rFonts w:hint="eastAsia" w:ascii="宋体" w:hAnsi="宋体"/>
                <w:color w:val="auto"/>
                <w:sz w:val="21"/>
                <w:szCs w:val="21"/>
                <w:highlight w:val="none"/>
                <w:lang w:val="en-US" w:eastAsia="zh-CN"/>
              </w:rPr>
              <w:t>；</w:t>
            </w:r>
            <w:r>
              <w:rPr>
                <w:rFonts w:hint="eastAsia" w:ascii="宋体" w:hAnsi="宋体"/>
                <w:color w:val="auto"/>
                <w:sz w:val="21"/>
                <w:szCs w:val="21"/>
                <w:highlight w:val="none"/>
                <w:lang w:val="en-US" w:eastAsia="zh-CN"/>
              </w:rPr>
              <w:sym w:font="Wingdings 2" w:char="00A3"/>
            </w:r>
            <w:r>
              <w:rPr>
                <w:rFonts w:hint="eastAsia" w:ascii="宋体" w:hAnsi="宋体"/>
                <w:color w:val="auto"/>
                <w:sz w:val="21"/>
                <w:szCs w:val="21"/>
                <w:highlight w:val="none"/>
              </w:rPr>
              <w:t>四川省</w:t>
            </w:r>
            <w:r>
              <w:rPr>
                <w:rFonts w:hint="eastAsia" w:ascii="宋体" w:hAnsi="宋体"/>
                <w:color w:val="auto"/>
                <w:sz w:val="21"/>
                <w:szCs w:val="21"/>
                <w:highlight w:val="none"/>
                <w:lang w:val="en-US" w:eastAsia="zh-CN"/>
              </w:rPr>
              <w:t>农村公路建设从业单位信用评价等级</w:t>
            </w:r>
            <w:r>
              <w:rPr>
                <w:rFonts w:hint="eastAsia" w:asciiTheme="minorEastAsia" w:hAnsiTheme="minorEastAsia" w:eastAsiaTheme="minorEastAsia"/>
                <w:color w:val="auto"/>
                <w:szCs w:val="21"/>
                <w:highlight w:val="none"/>
                <w:lang w:eastAsia="zh-CN"/>
              </w:rPr>
              <w:t>）</w:t>
            </w:r>
            <w:r>
              <w:rPr>
                <w:rFonts w:hint="eastAsia" w:asciiTheme="minorEastAsia" w:hAnsiTheme="minorEastAsia" w:eastAsiaTheme="minorEastAsia"/>
                <w:color w:val="auto"/>
                <w:szCs w:val="21"/>
                <w:highlight w:val="none"/>
              </w:rPr>
              <w:t>的评价结果设置的信用奖惩措施约定为：</w:t>
            </w:r>
            <w:r>
              <w:rPr>
                <w:rFonts w:asciiTheme="minorEastAsia" w:hAnsiTheme="minorEastAsia" w:eastAsiaTheme="minorEastAsia"/>
                <w:color w:val="auto"/>
                <w:szCs w:val="21"/>
                <w:highlight w:val="none"/>
                <w:u w:val="single"/>
              </w:rPr>
              <w:t xml:space="preserve">           </w:t>
            </w:r>
          </w:p>
          <w:p w14:paraId="6DF6F6A6">
            <w:pPr>
              <w:pStyle w:val="276"/>
              <w:adjustRightInd w:val="0"/>
              <w:snapToGrid w:val="0"/>
              <w:spacing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ascii="宋体" w:hAnsi="宋体" w:cs="宋体"/>
                <w:color w:val="auto"/>
                <w:szCs w:val="21"/>
                <w:highlight w:val="none"/>
              </w:rPr>
              <w:t>）采用银行保函形式，出具保函的银行级别要求：</w:t>
            </w:r>
          </w:p>
          <w:p w14:paraId="32A8B95A">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无限制</w:t>
            </w:r>
          </w:p>
          <w:p w14:paraId="02603A16">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支行及以上国有或股份制商业银行</w:t>
            </w:r>
          </w:p>
          <w:p w14:paraId="44D416D9">
            <w:pPr>
              <w:pStyle w:val="276"/>
              <w:numPr>
                <w:ilvl w:val="-1"/>
                <w:numId w:val="0"/>
              </w:numPr>
              <w:adjustRightInd w:val="0"/>
              <w:snapToGrid w:val="0"/>
              <w:spacing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ascii="宋体" w:hAnsi="宋体" w:cs="宋体"/>
                <w:color w:val="auto"/>
                <w:szCs w:val="21"/>
                <w:highlight w:val="none"/>
              </w:rPr>
              <w:t>采用现金或支票</w:t>
            </w:r>
            <w:r>
              <w:rPr>
                <w:rFonts w:hint="eastAsia" w:ascii="宋体" w:hAnsi="宋体" w:cs="宋体"/>
                <w:color w:val="auto"/>
                <w:szCs w:val="21"/>
                <w:highlight w:val="none"/>
                <w:lang w:val="en-US" w:eastAsia="zh-CN"/>
              </w:rPr>
              <w:t>时</w:t>
            </w:r>
            <w:r>
              <w:rPr>
                <w:rFonts w:ascii="宋体" w:hAnsi="宋体" w:cs="宋体"/>
                <w:color w:val="auto"/>
                <w:szCs w:val="21"/>
                <w:highlight w:val="none"/>
              </w:rPr>
              <w:t>，</w:t>
            </w:r>
            <w:r>
              <w:rPr>
                <w:rFonts w:hint="eastAsia" w:ascii="宋体" w:hAnsi="宋体" w:cs="宋体"/>
                <w:color w:val="auto"/>
                <w:szCs w:val="21"/>
                <w:highlight w:val="none"/>
                <w:lang w:val="en-US" w:eastAsia="zh-CN"/>
              </w:rPr>
              <w:t>应</w:t>
            </w:r>
            <w:r>
              <w:rPr>
                <w:rFonts w:ascii="宋体" w:hAnsi="宋体" w:cs="宋体"/>
                <w:color w:val="auto"/>
                <w:szCs w:val="21"/>
                <w:highlight w:val="none"/>
              </w:rPr>
              <w:t>从投标人</w:t>
            </w:r>
            <w:r>
              <w:rPr>
                <w:rFonts w:hint="eastAsia" w:ascii="宋体" w:hAnsi="宋体" w:cs="宋体"/>
                <w:color w:val="auto"/>
                <w:szCs w:val="21"/>
                <w:highlight w:val="none"/>
                <w:lang w:val="en-US" w:eastAsia="zh-CN"/>
              </w:rPr>
              <w:t>单位</w:t>
            </w:r>
            <w:r>
              <w:rPr>
                <w:rFonts w:ascii="宋体" w:hAnsi="宋体" w:cs="宋体"/>
                <w:color w:val="auto"/>
                <w:szCs w:val="21"/>
                <w:highlight w:val="none"/>
              </w:rPr>
              <w:t>账户中转出</w:t>
            </w:r>
          </w:p>
          <w:p w14:paraId="1D8B7304">
            <w:pPr>
              <w:pStyle w:val="276"/>
              <w:numPr>
                <w:ilvl w:val="-1"/>
                <w:numId w:val="0"/>
              </w:numPr>
              <w:adjustRightInd w:val="0"/>
              <w:snapToGrid w:val="0"/>
              <w:spacing w:line="400" w:lineRule="exact"/>
              <w:ind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Theme="minorEastAsia" w:hAnsiTheme="minorEastAsia" w:eastAsiaTheme="minorEastAsia"/>
                <w:szCs w:val="21"/>
              </w:rPr>
              <w:t>采用其他担保形式的规定：</w:t>
            </w:r>
            <w:r>
              <w:rPr>
                <w:rFonts w:hint="eastAsia" w:asciiTheme="minorEastAsia" w:hAnsiTheme="minorEastAsia" w:eastAsiaTheme="minorEastAsia"/>
                <w:szCs w:val="21"/>
                <w:u w:val="single"/>
              </w:rPr>
              <w:t xml:space="preserve">               </w:t>
            </w:r>
          </w:p>
        </w:tc>
      </w:tr>
      <w:tr w14:paraId="4BED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A63D8E7">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7.8.1</w:t>
            </w:r>
          </w:p>
        </w:tc>
        <w:tc>
          <w:tcPr>
            <w:tcW w:w="2126" w:type="dxa"/>
            <w:vAlign w:val="center"/>
          </w:tcPr>
          <w:p w14:paraId="6F4D55DB">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签订合同</w:t>
            </w:r>
          </w:p>
        </w:tc>
        <w:tc>
          <w:tcPr>
            <w:tcW w:w="5847" w:type="dxa"/>
            <w:vAlign w:val="center"/>
          </w:tcPr>
          <w:p w14:paraId="2AC44F15">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1）招标人将把合同授予按照本</w:t>
            </w:r>
            <w:r>
              <w:rPr>
                <w:rFonts w:hint="eastAsia" w:ascii="宋体" w:hAnsi="宋体" w:cs="宋体"/>
                <w:color w:val="auto"/>
                <w:szCs w:val="21"/>
                <w:highlight w:val="none"/>
                <w:lang w:val="en-US" w:eastAsia="zh-CN"/>
              </w:rPr>
              <w:t>须知</w:t>
            </w:r>
            <w:r>
              <w:rPr>
                <w:rFonts w:ascii="宋体" w:hAnsi="宋体" w:cs="宋体"/>
                <w:color w:val="auto"/>
                <w:szCs w:val="21"/>
                <w:highlight w:val="none"/>
              </w:rPr>
              <w:t>前附表第7.7.1</w:t>
            </w:r>
            <w:r>
              <w:rPr>
                <w:rFonts w:hint="eastAsia" w:ascii="宋体" w:hAnsi="宋体" w:cs="宋体"/>
                <w:color w:val="auto"/>
                <w:szCs w:val="21"/>
                <w:highlight w:val="none"/>
              </w:rPr>
              <w:t>项要求提交履约保证金的中标人；</w:t>
            </w:r>
          </w:p>
          <w:p w14:paraId="1BDFAA9E">
            <w:pPr>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2）在招标人发出中标通知书起</w:t>
            </w:r>
            <w:r>
              <w:rPr>
                <w:rFonts w:ascii="宋体" w:hAnsi="宋体" w:cs="宋体"/>
                <w:color w:val="auto"/>
                <w:szCs w:val="21"/>
                <w:highlight w:val="none"/>
                <w:u w:val="single"/>
              </w:rPr>
              <w:t xml:space="preserve">   </w:t>
            </w:r>
            <w:r>
              <w:rPr>
                <w:rFonts w:hint="eastAsia" w:ascii="宋体" w:hAnsi="宋体" w:cs="宋体"/>
                <w:color w:val="auto"/>
                <w:szCs w:val="21"/>
                <w:highlight w:val="none"/>
              </w:rPr>
              <w:t>日内，中标人与招标人签订合同协议书</w:t>
            </w:r>
            <w:r>
              <w:rPr>
                <w:rFonts w:hint="eastAsia" w:ascii="宋体" w:hAnsi="宋体" w:cs="宋体"/>
                <w:color w:val="auto"/>
                <w:szCs w:val="21"/>
                <w:highlight w:val="none"/>
                <w:lang w:eastAsia="zh-CN"/>
              </w:rPr>
              <w:t>；</w:t>
            </w:r>
          </w:p>
          <w:p w14:paraId="339A8EB1">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3）合同协议书形式</w:t>
            </w:r>
          </w:p>
          <w:p w14:paraId="23BB5322">
            <w:pPr>
              <w:adjustRightInd w:val="0"/>
              <w:snapToGrid w:val="0"/>
              <w:spacing w:line="400" w:lineRule="exact"/>
              <w:ind w:firstLine="211" w:firstLineChars="100"/>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书面形式</w:t>
            </w:r>
          </w:p>
          <w:p w14:paraId="1A760DBB">
            <w:pPr>
              <w:adjustRightInd w:val="0"/>
              <w:snapToGrid w:val="0"/>
              <w:spacing w:line="400" w:lineRule="exact"/>
              <w:ind w:firstLine="211" w:firstLineChars="100"/>
              <w:rPr>
                <w:rFonts w:hint="eastAsia" w:ascii="宋体" w:hAnsi="宋体" w:eastAsia="宋体" w:cs="宋体"/>
                <w:color w:val="auto"/>
                <w:kern w:val="2"/>
                <w:sz w:val="21"/>
                <w:szCs w:val="21"/>
                <w:highlight w:val="none"/>
                <w:lang w:val="en-US" w:eastAsia="zh-CN" w:bidi="ar-SA"/>
              </w:rPr>
            </w:pPr>
            <w:r>
              <w:rPr>
                <w:rFonts w:hint="eastAsia" w:ascii="宋体" w:hAnsi="宋体" w:cs="宋体"/>
                <w:b/>
                <w:color w:val="auto"/>
                <w:szCs w:val="21"/>
                <w:highlight w:val="none"/>
              </w:rPr>
              <w:t>□</w:t>
            </w:r>
            <w:r>
              <w:rPr>
                <w:rFonts w:ascii="宋体" w:hAnsi="宋体" w:cs="宋体"/>
                <w:color w:val="auto"/>
                <w:szCs w:val="21"/>
                <w:highlight w:val="none"/>
              </w:rPr>
              <w:t xml:space="preserve"> 电子形式：通过“</w:t>
            </w:r>
            <w:r>
              <w:rPr>
                <w:rFonts w:hint="eastAsia" w:ascii="宋体" w:hAnsi="宋体" w:cs="宋体"/>
                <w:color w:val="auto"/>
                <w:szCs w:val="21"/>
                <w:highlight w:val="none"/>
                <w:lang w:eastAsia="zh-CN"/>
              </w:rPr>
              <w:t>电子交易系统</w:t>
            </w:r>
            <w:r>
              <w:rPr>
                <w:rFonts w:ascii="宋体" w:hAnsi="宋体" w:cs="宋体"/>
                <w:color w:val="auto"/>
                <w:szCs w:val="21"/>
                <w:highlight w:val="none"/>
              </w:rPr>
              <w:t>”以数据电文形式与中标人签订</w:t>
            </w:r>
          </w:p>
        </w:tc>
      </w:tr>
      <w:tr w14:paraId="5D8E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BE54C53">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7.8.3</w:t>
            </w:r>
          </w:p>
        </w:tc>
        <w:tc>
          <w:tcPr>
            <w:tcW w:w="2126" w:type="dxa"/>
            <w:vAlign w:val="center"/>
          </w:tcPr>
          <w:p w14:paraId="4A0FE31B">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签约合同价的</w:t>
            </w:r>
          </w:p>
          <w:p w14:paraId="53A17469">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确定原则</w:t>
            </w:r>
          </w:p>
        </w:tc>
        <w:tc>
          <w:tcPr>
            <w:tcW w:w="5847" w:type="dxa"/>
            <w:vAlign w:val="center"/>
          </w:tcPr>
          <w:p w14:paraId="5A2B7F51">
            <w:pPr>
              <w:adjustRightInd w:val="0"/>
              <w:snapToGrid w:val="0"/>
              <w:spacing w:line="400" w:lineRule="exact"/>
              <w:ind w:firstLine="0" w:firstLineChars="0"/>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ascii="宋体" w:hAnsi="宋体" w:cs="宋体"/>
                <w:color w:val="auto"/>
                <w:szCs w:val="21"/>
                <w:highlight w:val="none"/>
              </w:rPr>
              <w:t>签约合同价</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lang w:eastAsia="zh-CN"/>
              </w:rPr>
              <w:t>：</w:t>
            </w:r>
          </w:p>
          <w:p w14:paraId="5826A7EF">
            <w:pPr>
              <w:adjustRightInd w:val="0"/>
              <w:snapToGrid w:val="0"/>
              <w:spacing w:line="400" w:lineRule="exact"/>
              <w:ind w:firstLine="211" w:firstLineChars="100"/>
              <w:rPr>
                <w:rFonts w:hint="eastAsia" w:ascii="宋体" w:hAnsi="宋体" w:cs="宋体"/>
                <w:color w:val="auto"/>
                <w:szCs w:val="21"/>
                <w:highlight w:val="none"/>
                <w:lang w:eastAsia="zh-CN"/>
              </w:rPr>
            </w:pPr>
            <w:r>
              <w:rPr>
                <w:rFonts w:hint="eastAsia" w:ascii="宋体" w:hAnsi="宋体" w:eastAsia="宋体" w:cs="宋体"/>
                <w:b/>
                <w:bCs/>
                <w:color w:val="auto"/>
                <w:szCs w:val="21"/>
                <w:highlight w:val="none"/>
              </w:rPr>
              <w:t>□</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投标人投标函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第二个信封</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中</w:t>
            </w:r>
            <w:r>
              <w:rPr>
                <w:rFonts w:ascii="宋体" w:hAnsi="宋体" w:cs="宋体"/>
                <w:color w:val="auto"/>
                <w:szCs w:val="21"/>
                <w:highlight w:val="none"/>
              </w:rPr>
              <w:t>的投标</w:t>
            </w:r>
            <w:r>
              <w:rPr>
                <w:rFonts w:hint="eastAsia" w:ascii="宋体" w:hAnsi="宋体" w:cs="宋体"/>
                <w:color w:val="auto"/>
                <w:szCs w:val="21"/>
                <w:highlight w:val="none"/>
                <w:lang w:val="en-US" w:eastAsia="zh-CN"/>
              </w:rPr>
              <w:t>总</w:t>
            </w:r>
            <w:r>
              <w:rPr>
                <w:rFonts w:ascii="宋体" w:hAnsi="宋体" w:cs="宋体"/>
                <w:color w:val="auto"/>
                <w:szCs w:val="21"/>
                <w:highlight w:val="none"/>
              </w:rPr>
              <w:t>报价大写金额</w:t>
            </w:r>
          </w:p>
          <w:p w14:paraId="1CE01CEB">
            <w:pPr>
              <w:adjustRightInd w:val="0"/>
              <w:snapToGrid w:val="0"/>
              <w:spacing w:line="400" w:lineRule="exact"/>
              <w:ind w:firstLine="211" w:firstLineChars="100"/>
              <w:rPr>
                <w:rFonts w:hint="default" w:ascii="宋体" w:hAnsi="宋体" w:cs="宋体"/>
                <w:color w:val="auto"/>
                <w:szCs w:val="21"/>
                <w:highlight w:val="none"/>
                <w:u w:val="single"/>
                <w:lang w:val="en-US" w:eastAsia="zh-CN"/>
              </w:rPr>
            </w:pPr>
            <w:r>
              <w:rPr>
                <w:rFonts w:hint="eastAsia" w:ascii="宋体" w:hAnsi="宋体" w:eastAsia="宋体" w:cs="宋体"/>
                <w:b/>
                <w:bCs/>
                <w:color w:val="auto"/>
                <w:szCs w:val="21"/>
                <w:highlight w:val="none"/>
                <w:lang w:eastAsia="zh-CN"/>
              </w:rPr>
              <w:t>□</w:t>
            </w:r>
            <w:r>
              <w:rPr>
                <w:rFonts w:hint="eastAsia" w:ascii="宋体" w:hAnsi="宋体" w:cs="宋体"/>
                <w:color w:val="auto"/>
                <w:szCs w:val="21"/>
                <w:highlight w:val="none"/>
                <w:lang w:val="en-US" w:eastAsia="zh-CN"/>
              </w:rPr>
              <w:t xml:space="preserve"> 其他：</w:t>
            </w:r>
            <w:r>
              <w:rPr>
                <w:rFonts w:hint="eastAsia" w:ascii="宋体" w:hAnsi="宋体" w:cs="宋体"/>
                <w:color w:val="auto"/>
                <w:szCs w:val="21"/>
                <w:highlight w:val="none"/>
                <w:u w:val="single"/>
                <w:lang w:val="en-US" w:eastAsia="zh-CN"/>
              </w:rPr>
              <w:t xml:space="preserve">        </w:t>
            </w:r>
            <w:r>
              <w:rPr>
                <w:rStyle w:val="58"/>
                <w:rFonts w:hint="eastAsia" w:asciiTheme="minorEastAsia" w:hAnsiTheme="minorEastAsia" w:eastAsiaTheme="minorEastAsia"/>
                <w:szCs w:val="21"/>
              </w:rPr>
              <w:footnoteReference w:id="53"/>
            </w:r>
          </w:p>
          <w:p w14:paraId="2BE46D9E">
            <w:pPr>
              <w:adjustRightInd w:val="0"/>
              <w:snapToGrid w:val="0"/>
              <w:spacing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签订合同协议书时如需对监理</w:t>
            </w:r>
            <w:r>
              <w:rPr>
                <w:rFonts w:hint="eastAsia" w:ascii="宋体" w:hAnsi="宋体" w:cs="宋体"/>
                <w:color w:val="auto"/>
                <w:szCs w:val="21"/>
                <w:highlight w:val="none"/>
              </w:rPr>
              <w:t>试验室服务费用清单子项进行相应修正的，修正原则如下：</w:t>
            </w:r>
          </w:p>
          <w:p w14:paraId="76203031">
            <w:pPr>
              <w:adjustRightInd w:val="0"/>
              <w:snapToGrid w:val="0"/>
              <w:spacing w:line="400" w:lineRule="exact"/>
              <w:ind w:firstLine="211" w:firstLineChars="100"/>
              <w:rPr>
                <w:rFonts w:ascii="宋体" w:hAnsi="宋体" w:cs="宋体"/>
                <w:kern w:val="0"/>
                <w:szCs w:val="21"/>
              </w:rPr>
            </w:pPr>
            <w:r>
              <w:rPr>
                <w:rFonts w:hint="eastAsia" w:ascii="宋体" w:hAnsi="宋体" w:cs="宋体"/>
                <w:b/>
                <w:bCs/>
                <w:kern w:val="0"/>
                <w:szCs w:val="21"/>
              </w:rPr>
              <w:sym w:font="Wingdings 2" w:char="00A3"/>
            </w:r>
            <w:r>
              <w:rPr>
                <w:rFonts w:hint="eastAsia" w:ascii="宋体" w:hAnsi="宋体" w:cs="宋体"/>
                <w:b/>
                <w:bCs/>
                <w:kern w:val="0"/>
                <w:szCs w:val="21"/>
              </w:rPr>
              <w:t xml:space="preserve"> </w:t>
            </w:r>
            <w:r>
              <w:rPr>
                <w:rFonts w:hint="eastAsia" w:ascii="宋体" w:hAnsi="宋体" w:cs="宋体"/>
                <w:kern w:val="0"/>
                <w:szCs w:val="21"/>
              </w:rPr>
              <w:t>方式一：</w:t>
            </w:r>
          </w:p>
          <w:p w14:paraId="6A96E842">
            <w:pPr>
              <w:adjustRightInd w:val="0"/>
              <w:snapToGrid w:val="0"/>
              <w:spacing w:line="400" w:lineRule="exact"/>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投标函</w:t>
            </w:r>
            <w:r>
              <w:rPr>
                <w:rFonts w:hint="eastAsia" w:ascii="宋体" w:hAnsi="宋体"/>
                <w:color w:val="auto"/>
                <w:kern w:val="0"/>
                <w:szCs w:val="21"/>
                <w:highlight w:val="none"/>
                <w:lang w:eastAsia="zh-CN"/>
              </w:rPr>
              <w:t>（</w:t>
            </w:r>
            <w:r>
              <w:rPr>
                <w:rFonts w:hint="eastAsia" w:ascii="宋体" w:hAnsi="宋体" w:cs="宋体"/>
                <w:color w:val="auto"/>
                <w:szCs w:val="21"/>
                <w:highlight w:val="none"/>
              </w:rPr>
              <w:t>第二个信封</w:t>
            </w:r>
            <w:r>
              <w:rPr>
                <w:rFonts w:hint="eastAsia" w:ascii="宋体" w:hAnsi="宋体"/>
                <w:color w:val="auto"/>
                <w:kern w:val="0"/>
                <w:szCs w:val="21"/>
                <w:highlight w:val="none"/>
                <w:lang w:eastAsia="zh-CN"/>
              </w:rPr>
              <w:t>）</w:t>
            </w:r>
            <w:r>
              <w:rPr>
                <w:rFonts w:hint="eastAsia" w:ascii="宋体" w:hAnsi="宋体" w:cs="宋体"/>
                <w:color w:val="auto"/>
                <w:szCs w:val="21"/>
                <w:highlight w:val="none"/>
              </w:rPr>
              <w:t>中投标总报价大写金额与依据监理试验室服务费用清单子项数量及单价（或总额价）计算出的结果不一致的，以投标函</w:t>
            </w:r>
            <w:r>
              <w:rPr>
                <w:rFonts w:hint="eastAsia" w:ascii="宋体" w:hAnsi="宋体"/>
                <w:color w:val="auto"/>
                <w:kern w:val="0"/>
                <w:szCs w:val="21"/>
                <w:highlight w:val="none"/>
                <w:lang w:eastAsia="zh-CN"/>
              </w:rPr>
              <w:t>（</w:t>
            </w:r>
            <w:r>
              <w:rPr>
                <w:rFonts w:hint="eastAsia" w:ascii="宋体" w:hAnsi="宋体" w:cs="宋体"/>
                <w:color w:val="auto"/>
                <w:szCs w:val="21"/>
                <w:highlight w:val="none"/>
              </w:rPr>
              <w:t>第二个信封</w:t>
            </w:r>
            <w:r>
              <w:rPr>
                <w:rFonts w:hint="eastAsia" w:ascii="宋体" w:hAnsi="宋体"/>
                <w:color w:val="auto"/>
                <w:kern w:val="0"/>
                <w:szCs w:val="21"/>
                <w:highlight w:val="none"/>
                <w:lang w:eastAsia="zh-CN"/>
              </w:rPr>
              <w:t>）</w:t>
            </w:r>
            <w:r>
              <w:rPr>
                <w:rFonts w:hint="eastAsia" w:ascii="宋体" w:hAnsi="宋体" w:cs="宋体"/>
                <w:color w:val="auto"/>
                <w:szCs w:val="21"/>
                <w:highlight w:val="none"/>
              </w:rPr>
              <w:t>中投标总报价大写金额为准修正单价：首先按照监理试验室服务费用清单中有关规定，对于投标人不符合要求的报价予以修正；然后再对其他单价（或总额价）按同一比例进行修正</w:t>
            </w:r>
            <w:r>
              <w:rPr>
                <w:rFonts w:hint="eastAsia" w:ascii="宋体" w:hAnsi="宋体" w:cs="宋体"/>
                <w:color w:val="auto"/>
                <w:szCs w:val="21"/>
                <w:highlight w:val="none"/>
                <w:lang w:eastAsia="zh-CN"/>
              </w:rPr>
              <w:t>。</w:t>
            </w:r>
          </w:p>
          <w:p w14:paraId="75F10BC0">
            <w:pPr>
              <w:adjustRightInd w:val="0"/>
              <w:snapToGrid w:val="0"/>
              <w:spacing w:line="400" w:lineRule="exact"/>
              <w:ind w:firstLine="211" w:firstLineChars="100"/>
              <w:rPr>
                <w:rFonts w:ascii="宋体" w:hAnsi="宋体" w:cs="宋体"/>
                <w:kern w:val="0"/>
                <w:szCs w:val="21"/>
              </w:rPr>
            </w:pPr>
            <w:r>
              <w:rPr>
                <w:rFonts w:hint="eastAsia" w:ascii="宋体" w:hAnsi="宋体" w:cs="宋体"/>
                <w:b/>
                <w:bCs/>
                <w:kern w:val="0"/>
                <w:szCs w:val="21"/>
              </w:rPr>
              <w:sym w:font="Wingdings 2" w:char="00A3"/>
            </w:r>
            <w:r>
              <w:rPr>
                <w:rFonts w:hint="eastAsia" w:ascii="宋体" w:hAnsi="宋体" w:cs="宋体"/>
                <w:kern w:val="0"/>
                <w:szCs w:val="21"/>
              </w:rPr>
              <w:t xml:space="preserve"> 方式二：</w:t>
            </w:r>
            <w:r>
              <w:rPr>
                <w:rStyle w:val="58"/>
                <w:rFonts w:hint="eastAsia" w:ascii="宋体" w:hAnsi="宋体" w:cs="宋体"/>
                <w:kern w:val="0"/>
                <w:szCs w:val="21"/>
              </w:rPr>
              <w:footnoteReference w:id="54"/>
            </w:r>
          </w:p>
          <w:p w14:paraId="6E174320">
            <w:pPr>
              <w:adjustRightInd w:val="0"/>
              <w:snapToGrid w:val="0"/>
              <w:spacing w:line="400" w:lineRule="exact"/>
              <w:ind w:firstLine="210" w:firstLineChars="100"/>
              <w:rPr>
                <w:rFonts w:hint="eastAsia" w:ascii="宋体" w:hAnsi="宋体" w:cs="宋体"/>
                <w:szCs w:val="21"/>
              </w:rPr>
            </w:pPr>
            <w:r>
              <w:rPr>
                <w:rFonts w:hint="eastAsia" w:ascii="宋体" w:hAnsi="宋体" w:cs="宋体"/>
                <w:szCs w:val="21"/>
              </w:rPr>
              <w:t>……</w:t>
            </w:r>
          </w:p>
          <w:p w14:paraId="094461F2">
            <w:pPr>
              <w:adjustRightInd w:val="0"/>
              <w:snapToGrid w:val="0"/>
              <w:spacing w:line="400" w:lineRule="exact"/>
              <w:ind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color w:val="auto"/>
                <w:szCs w:val="21"/>
                <w:highlight w:val="none"/>
              </w:rPr>
              <w:t>修正后的价格对合同双方具有约束力。如果中标人不接受招标人按本项约定进行的修正，则视为中标人拒签合同，将取消其中标资格，投标保证金不予退还；给招标人造成的损失超过投标保证金数额的，中标人还应对超过部分予以赔偿。并上报省级</w:t>
            </w:r>
            <w:r>
              <w:rPr>
                <w:rFonts w:hint="eastAsia" w:ascii="宋体" w:hAnsi="宋体" w:cs="宋体"/>
                <w:color w:val="auto"/>
                <w:szCs w:val="21"/>
                <w:highlight w:val="none"/>
                <w:lang w:eastAsia="zh-CN"/>
              </w:rPr>
              <w:t>交通运输主管部门</w:t>
            </w:r>
            <w:r>
              <w:rPr>
                <w:rFonts w:hint="eastAsia" w:ascii="宋体" w:hAnsi="宋体" w:cs="宋体"/>
                <w:color w:val="auto"/>
                <w:szCs w:val="21"/>
                <w:highlight w:val="none"/>
              </w:rPr>
              <w:t>，作为不良记录纳入公路建设市场</w:t>
            </w:r>
            <w:r>
              <w:rPr>
                <w:rFonts w:hint="eastAsia" w:ascii="宋体" w:hAnsi="宋体" w:cs="宋体"/>
                <w:color w:val="auto"/>
                <w:szCs w:val="21"/>
                <w:highlight w:val="none"/>
                <w:lang w:val="en-US" w:eastAsia="zh-CN"/>
              </w:rPr>
              <w:t>监督</w:t>
            </w:r>
            <w:r>
              <w:rPr>
                <w:rFonts w:hint="eastAsia" w:ascii="宋体" w:hAnsi="宋体" w:cs="宋体"/>
                <w:color w:val="auto"/>
                <w:szCs w:val="21"/>
                <w:highlight w:val="none"/>
              </w:rPr>
              <w:t>管理系统</w:t>
            </w:r>
          </w:p>
        </w:tc>
      </w:tr>
      <w:tr w14:paraId="756D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7C44F9D">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7.8.5</w:t>
            </w:r>
          </w:p>
        </w:tc>
        <w:tc>
          <w:tcPr>
            <w:tcW w:w="2126" w:type="dxa"/>
            <w:vAlign w:val="center"/>
          </w:tcPr>
          <w:p w14:paraId="3F47F19A">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签订合同事项</w:t>
            </w:r>
          </w:p>
        </w:tc>
        <w:tc>
          <w:tcPr>
            <w:tcW w:w="5847" w:type="dxa"/>
            <w:vAlign w:val="center"/>
          </w:tcPr>
          <w:p w14:paraId="1ECA75ED">
            <w:pPr>
              <w:adjustRightInd w:val="0"/>
              <w:snapToGrid w:val="0"/>
              <w:spacing w:line="400" w:lineRule="exact"/>
              <w:rPr>
                <w:rFonts w:asciiTheme="minorEastAsia" w:hAnsiTheme="minorEastAsia" w:eastAsiaTheme="minorEastAsia"/>
                <w:color w:val="auto"/>
                <w:szCs w:val="21"/>
                <w:highlight w:val="none"/>
              </w:rPr>
            </w:pPr>
            <w:r>
              <w:rPr>
                <w:rFonts w:hint="eastAsia" w:ascii="宋体" w:hAnsi="宋体" w:cs="宋体"/>
                <w:color w:val="auto"/>
                <w:szCs w:val="21"/>
                <w:highlight w:val="none"/>
              </w:rPr>
              <w:t>合同文件的制作及费用</w:t>
            </w:r>
            <w:r>
              <w:rPr>
                <w:rFonts w:hint="eastAsia" w:asciiTheme="minorEastAsia" w:hAnsiTheme="minorEastAsia" w:eastAsiaTheme="minorEastAsia"/>
                <w:color w:val="auto"/>
                <w:szCs w:val="21"/>
                <w:highlight w:val="none"/>
              </w:rPr>
              <w:t>承担：</w:t>
            </w:r>
            <w:r>
              <w:rPr>
                <w:rFonts w:hint="eastAsia" w:asciiTheme="minorEastAsia" w:hAnsiTheme="minorEastAsia" w:eastAsiaTheme="minorEastAsia"/>
                <w:b/>
                <w:bCs/>
                <w:color w:val="auto"/>
                <w:szCs w:val="21"/>
                <w:highlight w:val="none"/>
              </w:rPr>
              <w:sym w:font="Wingdings 2" w:char="00A3"/>
            </w:r>
            <w:r>
              <w:rPr>
                <w:rFonts w:hint="eastAsia" w:asciiTheme="minorEastAsia" w:hAnsiTheme="minorEastAsia" w:eastAsiaTheme="minorEastAsia"/>
                <w:b/>
                <w:bCs/>
                <w:color w:val="auto"/>
                <w:szCs w:val="21"/>
                <w:highlight w:val="none"/>
                <w:lang w:val="en-US" w:eastAsia="zh-CN"/>
              </w:rPr>
              <w:t xml:space="preserve"> </w:t>
            </w:r>
            <w:r>
              <w:rPr>
                <w:rFonts w:hint="eastAsia" w:asciiTheme="minorEastAsia" w:hAnsiTheme="minorEastAsia" w:eastAsiaTheme="minorEastAsia"/>
                <w:color w:val="auto"/>
                <w:szCs w:val="21"/>
                <w:highlight w:val="none"/>
              </w:rPr>
              <w:t>招标人</w:t>
            </w:r>
            <w:r>
              <w:rPr>
                <w:rFonts w:asciiTheme="minorEastAsia" w:hAnsiTheme="minorEastAsia" w:eastAsiaTheme="minorEastAsia"/>
                <w:color w:val="auto"/>
                <w:szCs w:val="21"/>
                <w:highlight w:val="none"/>
              </w:rPr>
              <w:t xml:space="preserve"> </w:t>
            </w:r>
          </w:p>
          <w:p w14:paraId="471E212A">
            <w:pPr>
              <w:adjustRightInd w:val="0"/>
              <w:snapToGrid w:val="0"/>
              <w:spacing w:line="400" w:lineRule="exact"/>
              <w:ind w:firstLine="2741" w:firstLineChars="1300"/>
              <w:rPr>
                <w:rFonts w:asciiTheme="minorEastAsia" w:hAnsiTheme="minorEastAsia" w:eastAsiaTheme="minorEastAsia"/>
                <w:color w:val="auto"/>
                <w:szCs w:val="21"/>
                <w:highlight w:val="none"/>
              </w:rPr>
            </w:pPr>
            <w:r>
              <w:rPr>
                <w:rFonts w:hint="eastAsia" w:asciiTheme="minorEastAsia" w:hAnsiTheme="minorEastAsia" w:eastAsiaTheme="minorEastAsia"/>
                <w:b/>
                <w:bCs/>
                <w:color w:val="auto"/>
                <w:szCs w:val="21"/>
                <w:highlight w:val="none"/>
              </w:rPr>
              <w:t>□</w:t>
            </w:r>
            <w:r>
              <w:rPr>
                <w:rFonts w:hint="eastAsia" w:asciiTheme="minorEastAsia" w:hAnsiTheme="minorEastAsia" w:eastAsiaTheme="minorEastAsia"/>
                <w:b/>
                <w:bCs/>
                <w:color w:val="auto"/>
                <w:szCs w:val="21"/>
                <w:highlight w:val="none"/>
                <w:lang w:val="en-US" w:eastAsia="zh-CN"/>
              </w:rPr>
              <w:t xml:space="preserve"> </w:t>
            </w:r>
            <w:r>
              <w:rPr>
                <w:rFonts w:hint="eastAsia" w:asciiTheme="minorEastAsia" w:hAnsiTheme="minorEastAsia" w:eastAsiaTheme="minorEastAsia"/>
                <w:color w:val="auto"/>
                <w:szCs w:val="21"/>
                <w:highlight w:val="none"/>
              </w:rPr>
              <w:t>中</w:t>
            </w:r>
            <w:r>
              <w:rPr>
                <w:rFonts w:asciiTheme="minorEastAsia" w:hAnsiTheme="minorEastAsia" w:eastAsiaTheme="minorEastAsia"/>
                <w:color w:val="auto"/>
                <w:szCs w:val="21"/>
                <w:highlight w:val="none"/>
              </w:rPr>
              <w:t>标人</w:t>
            </w:r>
          </w:p>
          <w:p w14:paraId="457576CC">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合同文件的份数（如有）根据需要由招标人与中标人协商确定；在合同协议书签订之前，投标文件和中标通知书将约束双方</w:t>
            </w:r>
          </w:p>
        </w:tc>
      </w:tr>
      <w:tr w14:paraId="43C5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EDF0F27">
            <w:pPr>
              <w:adjustRightInd w:val="0"/>
              <w:snapToGrid w:val="0"/>
              <w:spacing w:line="400" w:lineRule="exact"/>
              <w:jc w:val="center"/>
              <w:rPr>
                <w:rFonts w:hint="eastAsia" w:cs="Times New Roman" w:asciiTheme="minorEastAsia" w:hAnsiTheme="minorEastAsia" w:eastAsiaTheme="minorEastAsia"/>
                <w:kern w:val="2"/>
                <w:sz w:val="21"/>
                <w:szCs w:val="21"/>
                <w:lang w:val="en-US" w:eastAsia="zh-CN" w:bidi="ar-SA"/>
              </w:rPr>
            </w:pPr>
            <w:r>
              <w:rPr>
                <w:rFonts w:cs="宋体" w:asciiTheme="minorEastAsia" w:hAnsiTheme="minorEastAsia" w:eastAsiaTheme="minorEastAsia"/>
                <w:szCs w:val="21"/>
              </w:rPr>
              <w:t>7.</w:t>
            </w:r>
            <w:r>
              <w:rPr>
                <w:rFonts w:hint="eastAsia" w:cs="宋体" w:asciiTheme="minorEastAsia" w:hAnsiTheme="minorEastAsia" w:eastAsiaTheme="minorEastAsia"/>
                <w:szCs w:val="21"/>
                <w:lang w:val="en-US" w:eastAsia="zh-CN"/>
              </w:rPr>
              <w:t>9</w:t>
            </w:r>
          </w:p>
        </w:tc>
        <w:tc>
          <w:tcPr>
            <w:tcW w:w="2126" w:type="dxa"/>
            <w:vAlign w:val="center"/>
          </w:tcPr>
          <w:p w14:paraId="362FE02D">
            <w:pPr>
              <w:adjustRightInd w:val="0"/>
              <w:snapToGrid w:val="0"/>
              <w:spacing w:line="400" w:lineRule="exact"/>
              <w:jc w:val="center"/>
              <w:rPr>
                <w:rFonts w:hint="eastAsia"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lang w:val="en-US" w:eastAsia="zh-CN"/>
              </w:rPr>
              <w:t>合同内容</w:t>
            </w:r>
            <w:r>
              <w:rPr>
                <w:rFonts w:hint="eastAsia" w:cs="宋体" w:asciiTheme="minorEastAsia" w:hAnsiTheme="minorEastAsia" w:eastAsiaTheme="minorEastAsia"/>
                <w:szCs w:val="21"/>
              </w:rPr>
              <w:t>公告媒介</w:t>
            </w:r>
          </w:p>
        </w:tc>
        <w:tc>
          <w:tcPr>
            <w:tcW w:w="5847" w:type="dxa"/>
            <w:vAlign w:val="center"/>
          </w:tcPr>
          <w:p w14:paraId="65DD7FE3">
            <w:pPr>
              <w:wordWrap w:val="0"/>
              <w:adjustRightInd/>
              <w:snapToGrid/>
              <w:spacing w:line="400" w:lineRule="exact"/>
              <w:rPr>
                <w:rFonts w:hint="eastAsia" w:cs="Times New Roman"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szCs w:val="21"/>
              </w:rPr>
              <w:t>公告媒介：全国公共资源交易平台（四川省）</w:t>
            </w:r>
            <w:r>
              <w:rPr>
                <w:rStyle w:val="56"/>
                <w:rFonts w:hint="eastAsia" w:asciiTheme="minorEastAsia" w:hAnsiTheme="minorEastAsia" w:eastAsiaTheme="minorEastAsia"/>
                <w:color w:val="auto"/>
                <w:szCs w:val="21"/>
                <w:u w:val="none"/>
              </w:rPr>
              <w:t>（</w:t>
            </w:r>
            <w:r>
              <w:fldChar w:fldCharType="begin"/>
            </w:r>
            <w:r>
              <w:instrText xml:space="preserve"> HYPERLINK "http://ggzyjy.sc.gov.cn/）、" </w:instrText>
            </w:r>
            <w:r>
              <w:fldChar w:fldCharType="separate"/>
            </w:r>
            <w:r>
              <w:rPr>
                <w:rStyle w:val="56"/>
                <w:rFonts w:hint="eastAsia" w:cs="宋体" w:asciiTheme="minorEastAsia" w:hAnsiTheme="minorEastAsia" w:eastAsiaTheme="minorEastAsia"/>
                <w:color w:val="auto"/>
                <w:szCs w:val="21"/>
                <w:u w:val="none"/>
                <w:lang w:eastAsia="zh-CN"/>
              </w:rPr>
              <w:t>https</w:t>
            </w:r>
            <w:r>
              <w:rPr>
                <w:rStyle w:val="56"/>
                <w:rFonts w:cs="宋体" w:asciiTheme="minorEastAsia" w:hAnsiTheme="minorEastAsia" w:eastAsiaTheme="minorEastAsia"/>
                <w:color w:val="auto"/>
                <w:szCs w:val="21"/>
                <w:u w:val="none"/>
              </w:rPr>
              <w:t>://ggzyjy.sc.gov.cn/）、</w:t>
            </w:r>
            <w:r>
              <w:rPr>
                <w:rStyle w:val="56"/>
                <w:rFonts w:cs="宋体" w:asciiTheme="minorEastAsia" w:hAnsiTheme="minorEastAsia" w:eastAsiaTheme="minorEastAsia"/>
                <w:color w:val="auto"/>
                <w:szCs w:val="21"/>
                <w:u w:val="none"/>
              </w:rPr>
              <w:fldChar w:fldCharType="end"/>
            </w:r>
            <w:r>
              <w:rPr>
                <w:rFonts w:hint="eastAsia" w:cs="宋体" w:asciiTheme="minorEastAsia" w:hAnsiTheme="minorEastAsia" w:eastAsiaTheme="minorEastAsia"/>
                <w:szCs w:val="21"/>
              </w:rPr>
              <w:t>其他：</w:t>
            </w:r>
            <w:r>
              <w:rPr>
                <w:rFonts w:cs="宋体" w:asciiTheme="minorEastAsia" w:hAnsiTheme="minorEastAsia" w:eastAsiaTheme="minorEastAsia"/>
                <w:szCs w:val="21"/>
                <w:u w:val="single"/>
              </w:rPr>
              <w:t xml:space="preserve">           </w:t>
            </w:r>
            <w:r>
              <w:rPr>
                <w:rFonts w:cs="宋体" w:asciiTheme="minorEastAsia" w:hAnsiTheme="minorEastAsia" w:eastAsiaTheme="minorEastAsia"/>
                <w:szCs w:val="21"/>
              </w:rPr>
              <w:t xml:space="preserve"> </w:t>
            </w:r>
          </w:p>
        </w:tc>
      </w:tr>
      <w:tr w14:paraId="0BBE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5324A256">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8.5.1</w:t>
            </w:r>
          </w:p>
        </w:tc>
        <w:tc>
          <w:tcPr>
            <w:tcW w:w="2126" w:type="dxa"/>
            <w:vAlign w:val="center"/>
          </w:tcPr>
          <w:p w14:paraId="5811EFEC">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投诉</w:t>
            </w:r>
          </w:p>
        </w:tc>
        <w:tc>
          <w:tcPr>
            <w:tcW w:w="5847" w:type="dxa"/>
            <w:vAlign w:val="center"/>
          </w:tcPr>
          <w:p w14:paraId="6A30E704">
            <w:pPr>
              <w:pStyle w:val="276"/>
              <w:tabs>
                <w:tab w:val="left" w:pos="1170"/>
              </w:tabs>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行政监督部门：见招标公告。</w:t>
            </w:r>
          </w:p>
          <w:p w14:paraId="25CAFBE8">
            <w:pPr>
              <w:pStyle w:val="276"/>
              <w:tabs>
                <w:tab w:val="left" w:pos="1170"/>
              </w:tabs>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行政监督部门将按照</w:t>
            </w:r>
            <w:r>
              <w:rPr>
                <w:rFonts w:hint="eastAsia" w:ascii="宋体" w:hAnsi="宋体" w:cs="宋体"/>
                <w:color w:val="auto"/>
                <w:szCs w:val="21"/>
                <w:highlight w:val="none"/>
                <w:u w:val="single"/>
              </w:rPr>
              <w:t>《中华人民共和国招标投标法实施条例》、《工程建设项目招标投标活动投诉处理办法》（</w:t>
            </w:r>
            <w:r>
              <w:rPr>
                <w:rFonts w:ascii="宋体" w:hAnsi="宋体" w:cs="宋体"/>
                <w:color w:val="auto"/>
                <w:szCs w:val="21"/>
                <w:highlight w:val="none"/>
                <w:u w:val="single"/>
              </w:rPr>
              <w:t>2013年3月11日国家发展改革委等九部委令第23号修改）、《四川省公路工程建设项目招标投标管理实施细则》（川交发〔2019〕32号）</w:t>
            </w:r>
            <w:r>
              <w:rPr>
                <w:rFonts w:hint="eastAsia" w:ascii="宋体" w:hAnsi="宋体" w:cs="宋体"/>
                <w:color w:val="auto"/>
                <w:szCs w:val="21"/>
                <w:highlight w:val="none"/>
              </w:rPr>
              <w:t>的规定接受投诉。投诉材料要求、投诉受理条件及查处</w:t>
            </w:r>
            <w:r>
              <w:rPr>
                <w:rFonts w:hint="eastAsia" w:ascii="宋体" w:hAnsi="宋体" w:cs="宋体"/>
                <w:color w:val="auto"/>
                <w:szCs w:val="21"/>
                <w:highlight w:val="none"/>
                <w:lang w:val="en-US" w:eastAsia="zh-CN"/>
              </w:rPr>
              <w:t>按照上述</w:t>
            </w:r>
            <w:r>
              <w:rPr>
                <w:rFonts w:hint="eastAsia" w:ascii="宋体" w:hAnsi="宋体" w:cs="宋体"/>
                <w:color w:val="auto"/>
                <w:szCs w:val="21"/>
                <w:highlight w:val="none"/>
              </w:rPr>
              <w:t>规定执行。</w:t>
            </w:r>
          </w:p>
          <w:p w14:paraId="6DC6A66C">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1）投诉人认为招标投标活动不符合法律行政法规规定的，可以在知道或者应当知道之日起10</w:t>
            </w:r>
            <w:r>
              <w:rPr>
                <w:rFonts w:hint="eastAsia" w:ascii="宋体" w:hAnsi="宋体" w:cs="宋体"/>
                <w:color w:val="auto"/>
                <w:szCs w:val="21"/>
                <w:highlight w:val="none"/>
              </w:rPr>
              <w:t>日内提出书面投诉。依法应先提出异议的，异议答复期间不计算在内；异议人对答复不满意，应在异议答复之日起</w:t>
            </w:r>
            <w:r>
              <w:rPr>
                <w:rFonts w:ascii="宋体" w:hAnsi="宋体" w:cs="宋体"/>
                <w:color w:val="auto"/>
                <w:szCs w:val="21"/>
                <w:highlight w:val="none"/>
              </w:rPr>
              <w:t>10</w:t>
            </w:r>
            <w:r>
              <w:rPr>
                <w:rFonts w:hint="eastAsia" w:ascii="宋体" w:hAnsi="宋体" w:cs="宋体"/>
                <w:color w:val="auto"/>
                <w:szCs w:val="21"/>
                <w:highlight w:val="none"/>
              </w:rPr>
              <w:t>日内提出书面投诉</w:t>
            </w:r>
            <w:r>
              <w:rPr>
                <w:rFonts w:hint="eastAsia" w:ascii="宋体" w:hAnsi="宋体" w:cs="宋体"/>
                <w:color w:val="auto"/>
                <w:szCs w:val="21"/>
                <w:highlight w:val="none"/>
                <w:lang w:eastAsia="zh-CN"/>
              </w:rPr>
              <w:t>。</w:t>
            </w:r>
          </w:p>
          <w:p w14:paraId="258CA347">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2）投诉人向行政监督部门提出投诉，应当实名提交投诉书</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投诉书格式见投标人须知附件八</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lang w:eastAsia="zh-CN"/>
              </w:rPr>
              <w:t>。</w:t>
            </w:r>
          </w:p>
          <w:p w14:paraId="76F72AE1">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3）有下列情形之一的投诉，不予受理：</w:t>
            </w:r>
          </w:p>
          <w:p w14:paraId="39D2498E">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①投诉人不是所投诉招标投标活动的参与者，或者与投诉项目无任何利害关系；</w:t>
            </w:r>
          </w:p>
          <w:p w14:paraId="1DD03142">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②投诉事项不具体，且未提供有效的线索、证据，难以查证的；</w:t>
            </w:r>
          </w:p>
          <w:p w14:paraId="22F290A2">
            <w:pPr>
              <w:pStyle w:val="276"/>
              <w:tabs>
                <w:tab w:val="left" w:pos="1170"/>
              </w:tabs>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③投诉书未署有投诉人真实姓名、签字和有效联系方式的；以法人名义投诉的，投诉书未经法定代表人签字并加盖单位章的；委托代理人没有相应的授权委托书和有效身份证明复印件，或者有关委托代理权限和事项不明确的；</w:t>
            </w:r>
          </w:p>
          <w:p w14:paraId="73E8BB04">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④应当在规定时间提出诉求而未提出，超出投诉时效的；</w:t>
            </w:r>
          </w:p>
          <w:p w14:paraId="2F40FFDB">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⑤已经作出处理决定，且投诉人没有提出新的证据的；</w:t>
            </w:r>
          </w:p>
          <w:p w14:paraId="4CED76E7">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⑥投诉事项应先提出异议没有提出异议、已进入行政复议或者司法程序的；</w:t>
            </w:r>
          </w:p>
          <w:p w14:paraId="38F8E749">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⑦其他行政主管部门已经受理的</w:t>
            </w:r>
          </w:p>
        </w:tc>
      </w:tr>
      <w:tr w14:paraId="54D1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4E32C33">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8.5.2</w:t>
            </w:r>
          </w:p>
        </w:tc>
        <w:tc>
          <w:tcPr>
            <w:tcW w:w="2126" w:type="dxa"/>
            <w:vAlign w:val="center"/>
          </w:tcPr>
          <w:p w14:paraId="7435A2AD">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异议</w:t>
            </w:r>
          </w:p>
        </w:tc>
        <w:tc>
          <w:tcPr>
            <w:tcW w:w="5847" w:type="dxa"/>
            <w:vAlign w:val="center"/>
          </w:tcPr>
          <w:p w14:paraId="372F2565">
            <w:pPr>
              <w:pStyle w:val="276"/>
              <w:adjustRightInd w:val="0"/>
              <w:snapToGrid w:val="0"/>
              <w:spacing w:line="400" w:lineRule="exact"/>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投标人或利害关系人认为招标投标活动存在不符合法律、法规和规章规定的，可以依法向招标人提出异议，或者依法向有关行政监督部门投诉。投标人或利害关系人对招标文件、开标、评标结果事项进行投诉的，应当依法先向招标人提出异议。</w:t>
            </w:r>
          </w:p>
          <w:p w14:paraId="55CD2111">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1）异议提出的期限规定如下：</w:t>
            </w:r>
          </w:p>
          <w:p w14:paraId="68F8E826">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①对招标文件有异议的，潜在投标人或者其他利害关系人应当在提交投标文件截止时间</w:t>
            </w:r>
            <w:r>
              <w:rPr>
                <w:rFonts w:ascii="宋体" w:hAnsi="宋体" w:cs="宋体"/>
                <w:color w:val="auto"/>
                <w:szCs w:val="21"/>
                <w:highlight w:val="none"/>
              </w:rPr>
              <w:t>10日前提出</w:t>
            </w:r>
            <w:r>
              <w:rPr>
                <w:rFonts w:hint="eastAsia" w:ascii="宋体" w:hAnsi="宋体" w:cs="宋体"/>
                <w:color w:val="auto"/>
                <w:szCs w:val="21"/>
                <w:highlight w:val="none"/>
                <w:lang w:eastAsia="zh-CN"/>
              </w:rPr>
              <w:t>；</w:t>
            </w:r>
          </w:p>
          <w:p w14:paraId="63144579">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②对提交投标文件的截标时间、开标程序、唱标内容、开标记录、唱标次序等开标有异议的，投标人应当在开标期间当场提出</w:t>
            </w:r>
            <w:r>
              <w:rPr>
                <w:rFonts w:hint="eastAsia" w:ascii="宋体" w:hAnsi="宋体" w:cs="宋体"/>
                <w:color w:val="auto"/>
                <w:szCs w:val="21"/>
                <w:highlight w:val="none"/>
                <w:lang w:eastAsia="zh-CN"/>
              </w:rPr>
              <w:t>；</w:t>
            </w:r>
          </w:p>
          <w:p w14:paraId="375C2FBE">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③对评标有异议的，投标人或其</w:t>
            </w:r>
            <w:r>
              <w:rPr>
                <w:rFonts w:hint="eastAsia" w:ascii="宋体" w:hAnsi="宋体" w:cs="宋体"/>
                <w:color w:val="auto"/>
                <w:szCs w:val="21"/>
                <w:highlight w:val="none"/>
                <w:lang w:val="en-US" w:eastAsia="zh-CN"/>
              </w:rPr>
              <w:t>他</w:t>
            </w:r>
            <w:r>
              <w:rPr>
                <w:rFonts w:hint="eastAsia" w:ascii="宋体" w:hAnsi="宋体" w:cs="宋体"/>
                <w:color w:val="auto"/>
                <w:szCs w:val="21"/>
                <w:highlight w:val="none"/>
              </w:rPr>
              <w:t>利害关系人应当在中标候选人的公示期间提出。</w:t>
            </w:r>
          </w:p>
          <w:p w14:paraId="783E8243">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2）异议人提出异议应当提交异议书</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异议书格式见投标人须知附件七</w:t>
            </w:r>
            <w:r>
              <w:rPr>
                <w:rFonts w:hint="eastAsia" w:ascii="宋体" w:hAnsi="宋体" w:cs="宋体"/>
                <w:color w:val="auto"/>
                <w:szCs w:val="21"/>
                <w:highlight w:val="none"/>
                <w:u w:val="single"/>
                <w:lang w:eastAsia="zh-CN"/>
              </w:rPr>
              <w:t>）</w:t>
            </w:r>
            <w:r>
              <w:rPr>
                <w:rFonts w:ascii="宋体" w:hAnsi="宋体" w:cs="宋体"/>
                <w:color w:val="auto"/>
                <w:szCs w:val="21"/>
                <w:highlight w:val="none"/>
              </w:rPr>
              <w:t>，但异议仅涉及开标的除外</w:t>
            </w:r>
            <w:r>
              <w:rPr>
                <w:rFonts w:hint="eastAsia" w:ascii="宋体" w:hAnsi="宋体" w:cs="宋体"/>
                <w:color w:val="auto"/>
                <w:szCs w:val="21"/>
                <w:highlight w:val="none"/>
                <w:lang w:eastAsia="zh-CN"/>
              </w:rPr>
              <w:t>。</w:t>
            </w:r>
          </w:p>
          <w:p w14:paraId="453E7D34">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3）异议人是法人的，异议书必须由其法定代表人或者授权代表签字并加盖公章；其他组织或者个人提出异议的，异议书必须由其主要负责人或者提出异议的本人签字，并附真实有效身份证明复印件。</w:t>
            </w:r>
          </w:p>
          <w:p w14:paraId="176990E8">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4）有下列情形之一的，招标人可以不予受理异议，并向异议人发出异议不予受理通知书：</w:t>
            </w:r>
          </w:p>
          <w:p w14:paraId="6C546DA2">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①异议人不是投标人、潜在投标人或者其他利害关系人；</w:t>
            </w:r>
          </w:p>
          <w:p w14:paraId="20F0AABD">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②未在法定的异议期限内提出的；</w:t>
            </w:r>
          </w:p>
          <w:p w14:paraId="53D3E109">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③规定应当以书面形式提出但未以书面形式提出的；</w:t>
            </w:r>
          </w:p>
          <w:p w14:paraId="1FB5CB59">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④异议书未按照要求签字盖章的；</w:t>
            </w:r>
          </w:p>
          <w:p w14:paraId="38610CB5">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⑤异议书未提供有效联系人和联系方式的；</w:t>
            </w:r>
          </w:p>
          <w:p w14:paraId="496B3335">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⑥针对依法应当保密的信息和资料提出异议的；</w:t>
            </w:r>
          </w:p>
          <w:p w14:paraId="460D7C36">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⑦开标现场已经投标人确认的事项，开标后投标人又就该事项提出异议的；</w:t>
            </w:r>
          </w:p>
          <w:p w14:paraId="35CB02E4">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⑧招标人已经作出明确答复，无新的事实证据，又就同一问题提出异议的；</w:t>
            </w:r>
          </w:p>
          <w:p w14:paraId="290A5A4B">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⑨异议人违反《中华人民共和国招标投标法》等法律规定，捏造事实、伪造材料或者以非法手段取得证明材料提出异议的。</w:t>
            </w:r>
          </w:p>
          <w:p w14:paraId="200857B6">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ascii="宋体" w:hAnsi="宋体" w:cs="宋体"/>
                <w:color w:val="auto"/>
                <w:szCs w:val="21"/>
                <w:highlight w:val="none"/>
              </w:rPr>
              <w:t xml:space="preserve">  招标人对异议未在规定时限内作出答复的，异议人可以向交通运输行政主管部门申诉，交通运输行政主管部门应当责令招标人依法作出答复。异议人对答复不满意的，可以提起投诉</w:t>
            </w:r>
          </w:p>
        </w:tc>
      </w:tr>
      <w:tr w14:paraId="21E0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7" w:type="dxa"/>
            <w:gridSpan w:val="3"/>
            <w:vAlign w:val="center"/>
          </w:tcPr>
          <w:p w14:paraId="26480E6B">
            <w:pPr>
              <w:pStyle w:val="276"/>
              <w:adjustRightInd w:val="0"/>
              <w:snapToGrid w:val="0"/>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需要补充的其他内容</w:t>
            </w:r>
          </w:p>
        </w:tc>
      </w:tr>
      <w:tr w14:paraId="7A93D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1E796D3B">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10</w:t>
            </w:r>
            <w:r>
              <w:rPr>
                <w:rFonts w:ascii="宋体" w:hAnsi="宋体" w:cs="宋体"/>
                <w:color w:val="auto"/>
                <w:szCs w:val="21"/>
                <w:highlight w:val="none"/>
              </w:rPr>
              <w:t>.1</w:t>
            </w:r>
          </w:p>
        </w:tc>
        <w:tc>
          <w:tcPr>
            <w:tcW w:w="2126" w:type="dxa"/>
            <w:vAlign w:val="center"/>
          </w:tcPr>
          <w:p w14:paraId="625861AD">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投标人的</w:t>
            </w:r>
            <w:r>
              <w:rPr>
                <w:rFonts w:hint="eastAsia" w:ascii="宋体" w:hAnsi="宋体" w:cs="宋体"/>
                <w:color w:val="auto"/>
                <w:szCs w:val="21"/>
                <w:highlight w:val="none"/>
                <w:lang w:eastAsia="zh-CN"/>
              </w:rPr>
              <w:t>通信</w:t>
            </w:r>
            <w:r>
              <w:rPr>
                <w:rFonts w:hint="eastAsia" w:ascii="宋体" w:hAnsi="宋体" w:cs="宋体"/>
                <w:color w:val="auto"/>
                <w:szCs w:val="21"/>
                <w:highlight w:val="none"/>
              </w:rPr>
              <w:t>和其他</w:t>
            </w:r>
          </w:p>
          <w:p w14:paraId="13D32EA4">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要求</w:t>
            </w:r>
          </w:p>
        </w:tc>
        <w:tc>
          <w:tcPr>
            <w:tcW w:w="5847" w:type="dxa"/>
            <w:vAlign w:val="center"/>
          </w:tcPr>
          <w:p w14:paraId="45D28281">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1）投标人在送交投标文件之前无需向招标人登记有关投标人信息，不提供联系方式；</w:t>
            </w:r>
          </w:p>
          <w:p w14:paraId="166BDE15">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r>
              <w:rPr>
                <w:rFonts w:ascii="宋体" w:hAnsi="宋体" w:cs="宋体"/>
                <w:color w:val="auto"/>
                <w:szCs w:val="21"/>
                <w:highlight w:val="none"/>
              </w:rPr>
              <w:t>2）投标人在</w:t>
            </w:r>
            <w:r>
              <w:rPr>
                <w:rFonts w:hint="eastAsia" w:ascii="宋体" w:hAnsi="宋体" w:cs="宋体"/>
                <w:color w:val="auto"/>
                <w:szCs w:val="21"/>
                <w:highlight w:val="none"/>
              </w:rPr>
              <w:t>递交或上传投标文件</w:t>
            </w:r>
            <w:r>
              <w:rPr>
                <w:rFonts w:ascii="宋体" w:hAnsi="宋体" w:cs="宋体"/>
                <w:color w:val="auto"/>
                <w:szCs w:val="21"/>
                <w:highlight w:val="none"/>
              </w:rPr>
              <w:t>时登记的投标人信息及有效的联系方式（电话、传真、电子邮件），至评标结果公示前，必须保证其提供的联系方式处于有效工作状态，</w:t>
            </w:r>
            <w:r>
              <w:rPr>
                <w:rFonts w:hint="eastAsia" w:ascii="宋体" w:hAnsi="宋体" w:cs="宋体"/>
                <w:color w:val="auto"/>
                <w:szCs w:val="21"/>
                <w:highlight w:val="none"/>
              </w:rPr>
              <w:t>否则由此引起的一切后果由投标人承担</w:t>
            </w:r>
          </w:p>
        </w:tc>
      </w:tr>
      <w:tr w14:paraId="2CFC3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975FEAC">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10</w:t>
            </w:r>
            <w:r>
              <w:rPr>
                <w:rFonts w:ascii="宋体" w:hAnsi="宋体" w:cs="宋体"/>
                <w:color w:val="auto"/>
                <w:szCs w:val="21"/>
                <w:highlight w:val="none"/>
              </w:rPr>
              <w:t>.2</w:t>
            </w:r>
          </w:p>
        </w:tc>
        <w:tc>
          <w:tcPr>
            <w:tcW w:w="2126" w:type="dxa"/>
            <w:vAlign w:val="center"/>
          </w:tcPr>
          <w:p w14:paraId="6205C57E">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合同</w:t>
            </w:r>
            <w:r>
              <w:rPr>
                <w:rFonts w:hint="eastAsia" w:ascii="宋体" w:hAnsi="宋体" w:cs="宋体"/>
                <w:color w:val="auto"/>
                <w:szCs w:val="21"/>
                <w:highlight w:val="none"/>
              </w:rPr>
              <w:t>权利义务</w:t>
            </w:r>
            <w:r>
              <w:rPr>
                <w:rFonts w:hint="eastAsia" w:ascii="宋体" w:hAnsi="宋体" w:cs="宋体"/>
                <w:color w:val="auto"/>
                <w:szCs w:val="21"/>
                <w:highlight w:val="none"/>
                <w:lang w:val="en-US" w:eastAsia="zh-CN"/>
              </w:rPr>
              <w:t>要求</w:t>
            </w:r>
          </w:p>
        </w:tc>
        <w:tc>
          <w:tcPr>
            <w:tcW w:w="5847" w:type="dxa"/>
            <w:vAlign w:val="center"/>
          </w:tcPr>
          <w:p w14:paraId="5F5E685B">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1）投标人应接受招标文件规定的风险划分原则，未提出新的风险划分办法；</w:t>
            </w:r>
          </w:p>
          <w:p w14:paraId="362C65DE">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2）投标人未增加委托人的责任范围，或减少投标人义务；</w:t>
            </w:r>
          </w:p>
          <w:p w14:paraId="6C0CCB27">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3）投标人未提出不同的支付办法；</w:t>
            </w:r>
          </w:p>
          <w:p w14:paraId="068CBBBA">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4）投标人对合同纠纷、事故处理办法未提出异议；</w:t>
            </w:r>
          </w:p>
          <w:p w14:paraId="0B34825E">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5）投标人在投标活动中无欺诈行为；</w:t>
            </w:r>
          </w:p>
          <w:p w14:paraId="58A8D155">
            <w:pPr>
              <w:pStyle w:val="276"/>
              <w:adjustRightInd w:val="0"/>
              <w:snapToGrid w:val="0"/>
              <w:spacing w:line="40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r>
              <w:rPr>
                <w:rFonts w:ascii="宋体" w:hAnsi="宋体" w:cs="宋体"/>
                <w:color w:val="auto"/>
                <w:szCs w:val="21"/>
                <w:highlight w:val="none"/>
              </w:rPr>
              <w:t>6）投标人未对合同条款有重要保留</w:t>
            </w:r>
          </w:p>
        </w:tc>
      </w:tr>
      <w:tr w14:paraId="4A25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0A13BD16">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10</w:t>
            </w:r>
            <w:r>
              <w:rPr>
                <w:rFonts w:ascii="宋体" w:hAnsi="宋体" w:cs="宋体"/>
                <w:color w:val="auto"/>
                <w:szCs w:val="21"/>
                <w:highlight w:val="none"/>
              </w:rPr>
              <w:t>.3</w:t>
            </w:r>
          </w:p>
        </w:tc>
        <w:tc>
          <w:tcPr>
            <w:tcW w:w="2126" w:type="dxa"/>
            <w:vAlign w:val="center"/>
          </w:tcPr>
          <w:p w14:paraId="054F326F">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纳入信用</w:t>
            </w:r>
            <w:r>
              <w:rPr>
                <w:rFonts w:hint="eastAsia" w:cs="宋体" w:asciiTheme="minorEastAsia" w:hAnsiTheme="minorEastAsia" w:eastAsiaTheme="minorEastAsia"/>
                <w:color w:val="000000" w:themeColor="text1"/>
                <w:szCs w:val="21"/>
                <w:highlight w:val="none"/>
                <w14:textFill>
                  <w14:solidFill>
                    <w14:schemeClr w14:val="tx1"/>
                  </w14:solidFill>
                </w14:textFill>
              </w:rPr>
              <w:t>处理</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的</w:t>
            </w:r>
            <w:r>
              <w:rPr>
                <w:rFonts w:hint="eastAsia" w:cs="宋体" w:asciiTheme="minorEastAsia" w:hAnsiTheme="minorEastAsia" w:eastAsiaTheme="minorEastAsia"/>
                <w:color w:val="000000" w:themeColor="text1"/>
                <w:szCs w:val="21"/>
                <w:highlight w:val="none"/>
                <w14:textFill>
                  <w14:solidFill>
                    <w14:schemeClr w14:val="tx1"/>
                  </w14:solidFill>
                </w14:textFill>
              </w:rPr>
              <w:t>放弃中标</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行为</w:t>
            </w:r>
          </w:p>
        </w:tc>
        <w:tc>
          <w:tcPr>
            <w:tcW w:w="5847" w:type="dxa"/>
            <w:vAlign w:val="center"/>
          </w:tcPr>
          <w:p w14:paraId="0F7AA107">
            <w:pPr>
              <w:pStyle w:val="276"/>
              <w:adjustRightInd w:val="0"/>
              <w:snapToGrid w:val="0"/>
              <w:spacing w:line="400" w:lineRule="exact"/>
              <w:rPr>
                <w:rFonts w:hint="eastAsia" w:ascii="宋体" w:hAnsi="宋体" w:cs="宋体"/>
                <w:color w:val="auto"/>
                <w:szCs w:val="21"/>
                <w:highlight w:val="none"/>
              </w:rPr>
            </w:pPr>
            <w:r>
              <w:rPr>
                <w:rFonts w:cs="宋体" w:asciiTheme="minorEastAsia" w:hAnsiTheme="minorEastAsia"/>
                <w:szCs w:val="21"/>
              </w:rPr>
              <w:t>投标人有下列</w:t>
            </w:r>
            <w:r>
              <w:rPr>
                <w:rFonts w:hint="eastAsia" w:cs="宋体" w:asciiTheme="minorEastAsia" w:hAnsiTheme="minorEastAsia"/>
                <w:szCs w:val="21"/>
              </w:rPr>
              <w:t>放弃中标</w:t>
            </w:r>
            <w:r>
              <w:rPr>
                <w:rFonts w:cs="宋体" w:asciiTheme="minorEastAsia" w:hAnsiTheme="minorEastAsia"/>
                <w:szCs w:val="21"/>
              </w:rPr>
              <w:t>行为的，</w:t>
            </w:r>
            <w:r>
              <w:rPr>
                <w:rFonts w:hint="eastAsia" w:cs="宋体" w:asciiTheme="minorEastAsia" w:hAnsiTheme="minorEastAsia"/>
                <w:szCs w:val="21"/>
              </w:rPr>
              <w:t>将上报省级</w:t>
            </w:r>
            <w:r>
              <w:rPr>
                <w:rFonts w:hint="eastAsia" w:cs="宋体" w:asciiTheme="minorEastAsia" w:hAnsiTheme="minorEastAsia"/>
                <w:szCs w:val="21"/>
                <w:lang w:eastAsia="zh-CN"/>
              </w:rPr>
              <w:t>交通运输主管部门</w:t>
            </w:r>
            <w:r>
              <w:rPr>
                <w:rFonts w:hint="eastAsia" w:cs="宋体" w:asciiTheme="minorEastAsia" w:hAnsiTheme="minorEastAsia"/>
                <w:szCs w:val="21"/>
              </w:rPr>
              <w:t>建议纳入信用信息管理：</w:t>
            </w:r>
          </w:p>
          <w:p w14:paraId="3660A5DA">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1）投标人</w:t>
            </w:r>
            <w:r>
              <w:rPr>
                <w:rFonts w:hint="eastAsia" w:ascii="宋体" w:hAnsi="宋体" w:cs="宋体"/>
                <w:color w:val="auto"/>
                <w:szCs w:val="21"/>
                <w:highlight w:val="none"/>
                <w:lang w:val="en-US" w:eastAsia="zh-CN"/>
              </w:rPr>
              <w:t>在投标有效期内</w:t>
            </w:r>
            <w:r>
              <w:rPr>
                <w:rFonts w:ascii="宋体" w:hAnsi="宋体" w:cs="宋体"/>
                <w:color w:val="auto"/>
                <w:szCs w:val="21"/>
                <w:highlight w:val="none"/>
              </w:rPr>
              <w:t>撤销投标文件</w:t>
            </w:r>
            <w:r>
              <w:rPr>
                <w:rFonts w:hint="eastAsia" w:ascii="宋体" w:hAnsi="宋体" w:cs="宋体"/>
                <w:color w:val="auto"/>
                <w:szCs w:val="21"/>
                <w:highlight w:val="none"/>
                <w:lang w:val="en-US" w:eastAsia="zh-CN"/>
              </w:rPr>
              <w:t>的；</w:t>
            </w:r>
          </w:p>
          <w:p w14:paraId="7593B80A">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2）中标人在</w:t>
            </w:r>
            <w:r>
              <w:rPr>
                <w:rFonts w:hint="eastAsia" w:ascii="宋体" w:hAnsi="宋体" w:cs="宋体"/>
                <w:color w:val="auto"/>
                <w:szCs w:val="21"/>
                <w:highlight w:val="none"/>
                <w:lang w:val="en-US" w:eastAsia="zh-CN"/>
              </w:rPr>
              <w:t xml:space="preserve"> </w:t>
            </w:r>
            <w:r>
              <w:rPr>
                <w:rFonts w:ascii="宋体" w:hAnsi="宋体" w:cs="宋体"/>
                <w:color w:val="auto"/>
                <w:szCs w:val="21"/>
                <w:highlight w:val="none"/>
              </w:rPr>
              <w:t>收到中标通知书后，无正当理由不与招标人订立合同，在签订合同时向招标人提出附加条件或未按招标文件规定提交履约保证金</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w:t>
            </w:r>
          </w:p>
          <w:p w14:paraId="74AF63C0">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r>
              <w:rPr>
                <w:rFonts w:ascii="宋体" w:hAnsi="宋体" w:cs="宋体"/>
                <w:color w:val="auto"/>
                <w:szCs w:val="21"/>
                <w:highlight w:val="none"/>
              </w:rPr>
              <w:t>3）合同协议书签订后，中标人放弃合同</w:t>
            </w:r>
            <w:r>
              <w:rPr>
                <w:rFonts w:hint="eastAsia" w:ascii="宋体" w:hAnsi="宋体" w:cs="宋体"/>
                <w:color w:val="auto"/>
                <w:szCs w:val="21"/>
                <w:highlight w:val="none"/>
                <w:lang w:val="en-US" w:eastAsia="zh-CN"/>
              </w:rPr>
              <w:t>的</w:t>
            </w:r>
          </w:p>
        </w:tc>
      </w:tr>
      <w:tr w14:paraId="6FEC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B8AAA0D">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10</w:t>
            </w:r>
            <w:r>
              <w:rPr>
                <w:rFonts w:ascii="宋体" w:hAnsi="宋体" w:cs="宋体"/>
                <w:color w:val="auto"/>
                <w:szCs w:val="21"/>
                <w:highlight w:val="none"/>
              </w:rPr>
              <w:t>.4</w:t>
            </w:r>
          </w:p>
        </w:tc>
        <w:tc>
          <w:tcPr>
            <w:tcW w:w="2126" w:type="dxa"/>
            <w:vAlign w:val="center"/>
          </w:tcPr>
          <w:p w14:paraId="6140D56F">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开展扫黑除恶斗争的要求</w:t>
            </w:r>
          </w:p>
        </w:tc>
        <w:tc>
          <w:tcPr>
            <w:tcW w:w="5847" w:type="dxa"/>
            <w:vAlign w:val="center"/>
          </w:tcPr>
          <w:p w14:paraId="0CDDA956">
            <w:pPr>
              <w:pStyle w:val="276"/>
              <w:adjustRightInd w:val="0"/>
              <w:snapToGrid w:val="0"/>
              <w:spacing w:line="400" w:lineRule="exact"/>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为进一步加强在全省公路水运建设领域内开展扫黑除恶专项斗争，依法严厉打击各类黑恶势力违法犯罪活动，有效净化建设市场和环境，维护招标单位和投标单位的合法权益，确保全省重点公路水运项目招标投标活动有序进行。按照有黑扫黑、无黑除恶、无恶治乱的工作要求，各投标单位及从业人员应按照</w:t>
            </w:r>
            <w:r>
              <w:rPr>
                <w:rFonts w:hint="eastAsia" w:ascii="宋体" w:hAnsi="宋体" w:cs="宋体"/>
                <w:color w:val="auto"/>
                <w:szCs w:val="21"/>
                <w:highlight w:val="none"/>
                <w:u w:val="single"/>
              </w:rPr>
              <w:t>《四川省交通运输厅关于开展公路水运建设领域建设环境专项整治工作的通知》（川交函〔</w:t>
            </w:r>
            <w:r>
              <w:rPr>
                <w:rFonts w:ascii="宋体" w:hAnsi="宋体" w:cs="宋体"/>
                <w:color w:val="auto"/>
                <w:szCs w:val="21"/>
                <w:highlight w:val="none"/>
                <w:u w:val="single"/>
              </w:rPr>
              <w:t>2018〕657号）、《四川省交通运输厅关于开展公路水运建设领域恶意竞标专项整治工作的通知》（川交函〔2018〕656号）</w:t>
            </w:r>
            <w:r>
              <w:rPr>
                <w:rFonts w:ascii="宋体" w:hAnsi="宋体" w:cs="宋体"/>
                <w:color w:val="auto"/>
                <w:szCs w:val="21"/>
                <w:highlight w:val="none"/>
              </w:rPr>
              <w:t>文件要求做好相关工作</w:t>
            </w:r>
          </w:p>
        </w:tc>
      </w:tr>
      <w:tr w14:paraId="637C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389A385">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10</w:t>
            </w:r>
            <w:r>
              <w:rPr>
                <w:rFonts w:ascii="宋体" w:hAnsi="宋体" w:cs="宋体"/>
                <w:color w:val="auto"/>
                <w:szCs w:val="21"/>
                <w:highlight w:val="none"/>
              </w:rPr>
              <w:t>.5</w:t>
            </w:r>
          </w:p>
        </w:tc>
        <w:tc>
          <w:tcPr>
            <w:tcW w:w="2126" w:type="dxa"/>
            <w:vAlign w:val="center"/>
          </w:tcPr>
          <w:p w14:paraId="5A5AE4B4">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扫黑除恶</w:t>
            </w:r>
          </w:p>
          <w:p w14:paraId="6D01A430">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举报电话</w:t>
            </w:r>
          </w:p>
        </w:tc>
        <w:tc>
          <w:tcPr>
            <w:tcW w:w="5847" w:type="dxa"/>
            <w:vAlign w:val="center"/>
          </w:tcPr>
          <w:p w14:paraId="101A816F">
            <w:pPr>
              <w:pStyle w:val="276"/>
              <w:adjustRightInd w:val="0"/>
              <w:snapToGrid w:val="0"/>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lang w:val="en-US" w:eastAsia="zh-CN"/>
              </w:rPr>
              <w:t>四川</w:t>
            </w:r>
            <w:r>
              <w:rPr>
                <w:rFonts w:hint="eastAsia" w:ascii="宋体" w:hAnsi="宋体" w:cs="宋体"/>
                <w:color w:val="auto"/>
                <w:szCs w:val="21"/>
                <w:highlight w:val="none"/>
                <w:u w:val="none"/>
              </w:rPr>
              <w:t>省交通运输厅：</w:t>
            </w:r>
          </w:p>
          <w:p w14:paraId="1230E3EF">
            <w:pPr>
              <w:pStyle w:val="276"/>
              <w:adjustRightInd w:val="0"/>
              <w:snapToGrid w:val="0"/>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厅扫黑除恶办公室举报电话：</w:t>
            </w:r>
            <w:r>
              <w:rPr>
                <w:rFonts w:ascii="宋体" w:hAnsi="宋体" w:cs="宋体"/>
                <w:color w:val="auto"/>
                <w:szCs w:val="21"/>
                <w:highlight w:val="none"/>
                <w:u w:val="none"/>
              </w:rPr>
              <w:t>028-85553206</w:t>
            </w:r>
          </w:p>
          <w:p w14:paraId="0809104C">
            <w:pPr>
              <w:pStyle w:val="276"/>
              <w:adjustRightInd w:val="0"/>
              <w:snapToGrid w:val="0"/>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驻厅纪检组举报电话：</w:t>
            </w:r>
            <w:r>
              <w:rPr>
                <w:rFonts w:ascii="宋体" w:hAnsi="宋体" w:cs="宋体"/>
                <w:color w:val="auto"/>
                <w:szCs w:val="21"/>
                <w:highlight w:val="none"/>
                <w:u w:val="none"/>
              </w:rPr>
              <w:t>028-85525235</w:t>
            </w:r>
          </w:p>
          <w:p w14:paraId="333F1B01">
            <w:pPr>
              <w:pStyle w:val="276"/>
              <w:adjustRightInd w:val="0"/>
              <w:snapToGrid w:val="0"/>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厅建设管理处举报电话：</w:t>
            </w:r>
            <w:r>
              <w:rPr>
                <w:rFonts w:ascii="宋体" w:hAnsi="宋体" w:cs="宋体"/>
                <w:color w:val="auto"/>
                <w:szCs w:val="21"/>
                <w:highlight w:val="none"/>
                <w:u w:val="none"/>
              </w:rPr>
              <w:t>028-85525314</w:t>
            </w:r>
          </w:p>
          <w:p w14:paraId="1AE44AFE">
            <w:pPr>
              <w:pStyle w:val="276"/>
              <w:adjustRightInd w:val="0"/>
              <w:snapToGrid w:val="0"/>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厅公路局举报电话：</w:t>
            </w:r>
            <w:r>
              <w:rPr>
                <w:rFonts w:ascii="宋体" w:hAnsi="宋体" w:cs="宋体"/>
                <w:color w:val="auto"/>
                <w:szCs w:val="21"/>
                <w:highlight w:val="none"/>
                <w:u w:val="none"/>
              </w:rPr>
              <w:t>028-8558</w:t>
            </w:r>
            <w:r>
              <w:rPr>
                <w:rFonts w:hint="eastAsia" w:ascii="宋体" w:hAnsi="宋体" w:cs="宋体"/>
                <w:color w:val="auto"/>
                <w:szCs w:val="21"/>
                <w:highlight w:val="none"/>
                <w:u w:val="none"/>
                <w:lang w:val="en-US" w:eastAsia="zh-CN"/>
              </w:rPr>
              <w:t>0</w:t>
            </w:r>
            <w:r>
              <w:rPr>
                <w:rFonts w:ascii="宋体" w:hAnsi="宋体" w:cs="宋体"/>
                <w:color w:val="auto"/>
                <w:szCs w:val="21"/>
                <w:highlight w:val="none"/>
                <w:u w:val="none"/>
              </w:rPr>
              <w:t>140</w:t>
            </w:r>
          </w:p>
          <w:p w14:paraId="36D2CAA0">
            <w:pPr>
              <w:pStyle w:val="276"/>
              <w:adjustRightInd w:val="0"/>
              <w:snapToGrid w:val="0"/>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厅航务海事中心举报电话：</w:t>
            </w:r>
            <w:r>
              <w:rPr>
                <w:rFonts w:ascii="宋体" w:hAnsi="宋体" w:cs="宋体"/>
                <w:color w:val="auto"/>
                <w:szCs w:val="21"/>
                <w:highlight w:val="none"/>
                <w:u w:val="none"/>
              </w:rPr>
              <w:t>028-85525767</w:t>
            </w:r>
          </w:p>
          <w:p w14:paraId="707B365C">
            <w:pPr>
              <w:pStyle w:val="276"/>
              <w:adjustRightInd w:val="0"/>
              <w:snapToGrid w:val="0"/>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举报传真：</w:t>
            </w:r>
            <w:r>
              <w:rPr>
                <w:rFonts w:ascii="宋体" w:hAnsi="宋体" w:cs="宋体"/>
                <w:color w:val="auto"/>
                <w:szCs w:val="21"/>
                <w:highlight w:val="none"/>
                <w:u w:val="none"/>
              </w:rPr>
              <w:t>028-85525338</w:t>
            </w:r>
          </w:p>
          <w:p w14:paraId="64F64F84">
            <w:pPr>
              <w:pStyle w:val="276"/>
              <w:adjustRightInd w:val="0"/>
              <w:snapToGrid w:val="0"/>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举报邮箱：</w:t>
            </w:r>
            <w:r>
              <w:rPr>
                <w:color w:val="auto"/>
                <w:highlight w:val="none"/>
                <w:u w:val="none"/>
              </w:rPr>
              <w:fldChar w:fldCharType="begin"/>
            </w:r>
            <w:r>
              <w:rPr>
                <w:color w:val="auto"/>
                <w:highlight w:val="none"/>
                <w:u w:val="none"/>
              </w:rPr>
              <w:instrText xml:space="preserve"> HYPERLINK "mailto:scjtshce@scjt.gov.cn" </w:instrText>
            </w:r>
            <w:r>
              <w:rPr>
                <w:color w:val="auto"/>
                <w:highlight w:val="none"/>
                <w:u w:val="none"/>
              </w:rPr>
              <w:fldChar w:fldCharType="separate"/>
            </w:r>
            <w:r>
              <w:rPr>
                <w:rFonts w:ascii="宋体" w:hAnsi="宋体" w:cs="宋体"/>
                <w:color w:val="auto"/>
                <w:szCs w:val="21"/>
                <w:highlight w:val="none"/>
                <w:u w:val="none"/>
              </w:rPr>
              <w:t>scjtshce@scjt.gov.cn</w:t>
            </w:r>
            <w:r>
              <w:rPr>
                <w:rFonts w:ascii="宋体" w:hAnsi="宋体" w:cs="宋体"/>
                <w:color w:val="auto"/>
                <w:szCs w:val="21"/>
                <w:highlight w:val="none"/>
                <w:u w:val="none"/>
              </w:rPr>
              <w:fldChar w:fldCharType="end"/>
            </w:r>
          </w:p>
          <w:p w14:paraId="5DDDDB48">
            <w:pPr>
              <w:pStyle w:val="276"/>
              <w:adjustRightInd w:val="0"/>
              <w:snapToGrid w:val="0"/>
              <w:spacing w:line="400" w:lineRule="exact"/>
              <w:rPr>
                <w:rFonts w:ascii="宋体" w:hAnsi="宋体" w:cs="宋体"/>
                <w:color w:val="auto"/>
                <w:szCs w:val="21"/>
                <w:highlight w:val="none"/>
                <w:u w:val="none"/>
              </w:rPr>
            </w:pPr>
            <w:r>
              <w:rPr>
                <w:rFonts w:hint="eastAsia" w:ascii="宋体" w:hAnsi="宋体" w:cs="宋体"/>
                <w:color w:val="auto"/>
                <w:szCs w:val="21"/>
                <w:highlight w:val="none"/>
                <w:u w:val="none"/>
              </w:rPr>
              <w:t>举报地址：四川省成都市武侯祠大街</w:t>
            </w:r>
            <w:r>
              <w:rPr>
                <w:rFonts w:ascii="宋体" w:hAnsi="宋体" w:cs="宋体"/>
                <w:color w:val="auto"/>
                <w:szCs w:val="21"/>
                <w:highlight w:val="none"/>
                <w:u w:val="none"/>
              </w:rPr>
              <w:t>180号四川省交通运输厅二楼扫黑除恶办公室</w:t>
            </w:r>
          </w:p>
          <w:p w14:paraId="49E91E26">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u w:val="none"/>
              </w:rPr>
              <w:t>邮政编码：</w:t>
            </w:r>
            <w:r>
              <w:rPr>
                <w:rFonts w:ascii="宋体" w:hAnsi="宋体" w:cs="宋体"/>
                <w:color w:val="auto"/>
                <w:szCs w:val="21"/>
                <w:highlight w:val="none"/>
                <w:u w:val="none"/>
              </w:rPr>
              <w:t>610041</w:t>
            </w:r>
          </w:p>
        </w:tc>
      </w:tr>
      <w:tr w14:paraId="3F77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76EEE586">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10</w:t>
            </w:r>
            <w:r>
              <w:rPr>
                <w:rFonts w:ascii="宋体" w:hAnsi="宋体" w:cs="宋体"/>
                <w:color w:val="auto"/>
                <w:szCs w:val="21"/>
                <w:highlight w:val="none"/>
              </w:rPr>
              <w:t>.6</w:t>
            </w:r>
          </w:p>
        </w:tc>
        <w:tc>
          <w:tcPr>
            <w:tcW w:w="2126" w:type="dxa"/>
            <w:vAlign w:val="center"/>
          </w:tcPr>
          <w:p w14:paraId="4D4A25F2">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招标代理服务费</w:t>
            </w:r>
          </w:p>
        </w:tc>
        <w:tc>
          <w:tcPr>
            <w:tcW w:w="5847" w:type="dxa"/>
            <w:vAlign w:val="center"/>
          </w:tcPr>
          <w:p w14:paraId="64762685">
            <w:pPr>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color w:val="auto"/>
                <w:szCs w:val="21"/>
                <w:highlight w:val="none"/>
              </w:rPr>
              <w:t>无</w:t>
            </w:r>
          </w:p>
          <w:p w14:paraId="64B75FD2">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b/>
                <w:color w:val="auto"/>
                <w:szCs w:val="21"/>
                <w:highlight w:val="none"/>
              </w:rPr>
              <w:t>□</w:t>
            </w:r>
            <w:r>
              <w:rPr>
                <w:rFonts w:ascii="宋体" w:hAnsi="宋体" w:cs="宋体"/>
                <w:color w:val="auto"/>
                <w:szCs w:val="21"/>
                <w:highlight w:val="none"/>
              </w:rPr>
              <w:t xml:space="preserve"> 有，招标代理服务费金额：</w:t>
            </w:r>
            <w:r>
              <w:rPr>
                <w:rFonts w:ascii="宋体" w:hAnsi="宋体" w:cs="宋体"/>
                <w:color w:val="auto"/>
                <w:szCs w:val="21"/>
                <w:highlight w:val="none"/>
                <w:u w:val="single"/>
              </w:rPr>
              <w:t xml:space="preserve">                 </w:t>
            </w:r>
          </w:p>
          <w:p w14:paraId="0E8462CB">
            <w:pPr>
              <w:pStyle w:val="276"/>
              <w:adjustRightInd w:val="0"/>
              <w:snapToGrid w:val="0"/>
              <w:spacing w:line="400" w:lineRule="exact"/>
              <w:ind w:firstLine="210" w:firstLineChars="100"/>
              <w:rPr>
                <w:rFonts w:ascii="宋体" w:hAnsi="宋体" w:cs="宋体"/>
                <w:color w:val="auto"/>
                <w:szCs w:val="21"/>
                <w:highlight w:val="none"/>
                <w:u w:val="single"/>
              </w:rPr>
            </w:pPr>
            <w:r>
              <w:rPr>
                <w:rFonts w:hint="eastAsia" w:ascii="宋体" w:hAnsi="宋体" w:cs="宋体"/>
                <w:color w:val="auto"/>
                <w:szCs w:val="21"/>
                <w:highlight w:val="none"/>
              </w:rPr>
              <w:t>支付方式：</w:t>
            </w:r>
            <w:r>
              <w:rPr>
                <w:rFonts w:ascii="宋体" w:hAnsi="宋体" w:cs="宋体"/>
                <w:color w:val="auto"/>
                <w:szCs w:val="21"/>
                <w:highlight w:val="none"/>
                <w:u w:val="single"/>
              </w:rPr>
              <w:t xml:space="preserve">                                 </w:t>
            </w:r>
          </w:p>
          <w:p w14:paraId="288B1F14">
            <w:pPr>
              <w:pStyle w:val="276"/>
              <w:adjustRightInd w:val="0"/>
              <w:snapToGrid w:val="0"/>
              <w:spacing w:line="400" w:lineRule="exact"/>
              <w:ind w:firstLine="210" w:firstLineChars="100"/>
              <w:rPr>
                <w:rFonts w:hint="eastAsia" w:ascii="宋体" w:hAnsi="宋体" w:eastAsia="宋体" w:cs="宋体"/>
                <w:color w:val="auto"/>
                <w:kern w:val="2"/>
                <w:sz w:val="21"/>
                <w:szCs w:val="21"/>
                <w:highlight w:val="none"/>
                <w:u w:val="single"/>
                <w:lang w:val="en-US" w:eastAsia="zh-CN" w:bidi="ar-SA"/>
              </w:rPr>
            </w:pPr>
            <w:r>
              <w:rPr>
                <w:rFonts w:hint="eastAsia" w:ascii="宋体" w:hAnsi="宋体" w:cs="宋体"/>
                <w:color w:val="auto"/>
                <w:szCs w:val="21"/>
                <w:highlight w:val="none"/>
              </w:rPr>
              <w:t>支付时间：</w:t>
            </w:r>
            <w:r>
              <w:rPr>
                <w:rFonts w:ascii="宋体" w:hAnsi="宋体" w:cs="宋体"/>
                <w:color w:val="auto"/>
                <w:szCs w:val="21"/>
                <w:highlight w:val="none"/>
                <w:u w:val="single"/>
              </w:rPr>
              <w:t xml:space="preserve">                                 </w:t>
            </w:r>
          </w:p>
        </w:tc>
      </w:tr>
      <w:tr w14:paraId="3D9FF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4" w:type="dxa"/>
            <w:vAlign w:val="center"/>
          </w:tcPr>
          <w:p w14:paraId="2CE0E0C0">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10</w:t>
            </w:r>
            <w:r>
              <w:rPr>
                <w:rFonts w:ascii="宋体" w:hAnsi="宋体" w:cs="宋体"/>
                <w:color w:val="auto"/>
                <w:szCs w:val="21"/>
                <w:highlight w:val="none"/>
              </w:rPr>
              <w:t>.7</w:t>
            </w:r>
          </w:p>
        </w:tc>
        <w:tc>
          <w:tcPr>
            <w:tcW w:w="2126" w:type="dxa"/>
            <w:vAlign w:val="center"/>
          </w:tcPr>
          <w:p w14:paraId="407F5BA7">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本项目技术建议书评审是否采用暗标</w:t>
            </w:r>
            <w:r>
              <w:rPr>
                <w:rStyle w:val="58"/>
                <w:rFonts w:ascii="宋体" w:hAnsi="宋体" w:cs="宋体"/>
                <w:color w:val="auto"/>
                <w:szCs w:val="21"/>
                <w:highlight w:val="none"/>
              </w:rPr>
              <w:footnoteReference w:id="55"/>
            </w:r>
          </w:p>
        </w:tc>
        <w:tc>
          <w:tcPr>
            <w:tcW w:w="5847" w:type="dxa"/>
            <w:vAlign w:val="center"/>
          </w:tcPr>
          <w:p w14:paraId="133DF92B">
            <w:pPr>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color w:val="auto"/>
                <w:szCs w:val="21"/>
                <w:highlight w:val="none"/>
              </w:rPr>
              <w:t>否</w:t>
            </w:r>
          </w:p>
          <w:p w14:paraId="3CB0FBFF">
            <w:pPr>
              <w:adjustRightInd w:val="0"/>
              <w:snapToGrid w:val="0"/>
              <w:spacing w:line="400" w:lineRule="exact"/>
              <w:rPr>
                <w:rFonts w:hint="eastAsia" w:eastAsia="宋体"/>
                <w:color w:val="auto"/>
                <w:highlight w:val="none"/>
                <w:lang w:eastAsia="zh-CN"/>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是，</w:t>
            </w:r>
            <w:r>
              <w:rPr>
                <w:color w:val="auto"/>
                <w:highlight w:val="none"/>
              </w:rPr>
              <w:t>具体编制要求：</w:t>
            </w:r>
          </w:p>
          <w:p w14:paraId="26EE1FFC">
            <w:pPr>
              <w:adjustRightInd w:val="0"/>
              <w:snapToGrid w:val="0"/>
              <w:spacing w:line="400" w:lineRule="exact"/>
              <w:rPr>
                <w:rFonts w:hint="eastAsia" w:eastAsia="宋体"/>
                <w:color w:val="auto"/>
                <w:highlight w:val="none"/>
                <w:lang w:eastAsia="zh-CN"/>
              </w:rPr>
            </w:pPr>
            <w:r>
              <w:rPr>
                <w:color w:val="auto"/>
                <w:highlight w:val="none"/>
              </w:rPr>
              <w:t>（1）如果招标人对技术</w:t>
            </w:r>
            <w:r>
              <w:rPr>
                <w:rFonts w:hint="eastAsia"/>
                <w:color w:val="auto"/>
                <w:highlight w:val="none"/>
              </w:rPr>
              <w:t>建议书</w:t>
            </w:r>
            <w:r>
              <w:rPr>
                <w:color w:val="auto"/>
                <w:highlight w:val="none"/>
              </w:rPr>
              <w:t>评审采用暗标方式的，投标人技术</w:t>
            </w:r>
            <w:r>
              <w:rPr>
                <w:rFonts w:hint="eastAsia"/>
                <w:color w:val="auto"/>
                <w:highlight w:val="none"/>
              </w:rPr>
              <w:t>建议书</w:t>
            </w:r>
            <w:r>
              <w:rPr>
                <w:color w:val="auto"/>
                <w:highlight w:val="none"/>
              </w:rPr>
              <w:t>中不得出现投标人的名称和其他可识别投标人身份的文字、符号、标识等</w:t>
            </w:r>
            <w:r>
              <w:rPr>
                <w:rFonts w:hint="eastAsia"/>
                <w:color w:val="auto"/>
                <w:highlight w:val="none"/>
              </w:rPr>
              <w:t>；</w:t>
            </w:r>
          </w:p>
          <w:p w14:paraId="60F986F8">
            <w:pPr>
              <w:adjustRightInd w:val="0"/>
              <w:snapToGrid w:val="0"/>
              <w:spacing w:line="400" w:lineRule="exact"/>
              <w:rPr>
                <w:rFonts w:hint="eastAsia" w:ascii="宋体" w:hAnsi="宋体" w:eastAsia="宋体" w:cs="宋体"/>
                <w:b/>
                <w:color w:val="auto"/>
                <w:kern w:val="2"/>
                <w:sz w:val="21"/>
                <w:szCs w:val="21"/>
                <w:highlight w:val="none"/>
                <w:lang w:val="en-US" w:eastAsia="zh-CN" w:bidi="ar-SA"/>
              </w:rPr>
            </w:pPr>
            <w:r>
              <w:rPr>
                <w:color w:val="auto"/>
                <w:highlight w:val="none"/>
              </w:rPr>
              <w:t>（2）</w:t>
            </w:r>
            <w:r>
              <w:rPr>
                <w:color w:val="auto"/>
                <w:highlight w:val="none"/>
                <w:u w:val="single"/>
              </w:rPr>
              <w:t>                   </w:t>
            </w:r>
            <w:r>
              <w:rPr>
                <w:color w:val="auto"/>
                <w:highlight w:val="none"/>
              </w:rPr>
              <w:t> </w:t>
            </w:r>
          </w:p>
        </w:tc>
      </w:tr>
      <w:tr w14:paraId="1F5E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024" w:type="dxa"/>
            <w:vAlign w:val="center"/>
          </w:tcPr>
          <w:p w14:paraId="09C7A9E7">
            <w:pPr>
              <w:pStyle w:val="276"/>
              <w:adjustRightInd w:val="0"/>
              <w:snapToGrid w:val="0"/>
              <w:spacing w:line="400" w:lineRule="exact"/>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p>
        </w:tc>
        <w:tc>
          <w:tcPr>
            <w:tcW w:w="2126" w:type="dxa"/>
            <w:vAlign w:val="center"/>
          </w:tcPr>
          <w:p w14:paraId="4E078BD0">
            <w:pPr>
              <w:pStyle w:val="276"/>
              <w:adjustRightInd w:val="0"/>
              <w:snapToGrid w:val="0"/>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p>
        </w:tc>
        <w:tc>
          <w:tcPr>
            <w:tcW w:w="5847" w:type="dxa"/>
            <w:vAlign w:val="center"/>
          </w:tcPr>
          <w:p w14:paraId="07C0FDBA">
            <w:pPr>
              <w:pStyle w:val="276"/>
              <w:adjustRightInd w:val="0"/>
              <w:snapToGrid w:val="0"/>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w:t>
            </w:r>
          </w:p>
        </w:tc>
      </w:tr>
    </w:tbl>
    <w:p w14:paraId="6BBDDA9E">
      <w:pPr>
        <w:rPr>
          <w:color w:val="auto"/>
          <w:highlight w:val="none"/>
        </w:rPr>
        <w:sectPr>
          <w:footerReference r:id="rId7" w:type="default"/>
          <w:footnotePr>
            <w:numFmt w:val="decimalEnclosedCircleChinese"/>
            <w:numRestart w:val="eachPage"/>
          </w:footnotePr>
          <w:pgSz w:w="11907" w:h="16839"/>
          <w:pgMar w:top="1418" w:right="1418" w:bottom="1418" w:left="1701" w:header="720" w:footer="720" w:gutter="0"/>
          <w:pgNumType w:start="1"/>
          <w:cols w:space="720" w:num="1"/>
          <w:docGrid w:linePitch="286" w:charSpace="0"/>
        </w:sectPr>
      </w:pPr>
    </w:p>
    <w:p w14:paraId="60329D31">
      <w:pPr>
        <w:pStyle w:val="6"/>
        <w:spacing w:before="0" w:after="0" w:line="360" w:lineRule="auto"/>
        <w:ind w:firstLine="1968" w:firstLineChars="700"/>
        <w:rPr>
          <w:rFonts w:hint="eastAsia" w:ascii="黑体" w:hAnsi="黑体" w:eastAsia="黑体" w:cs="黑体"/>
          <w:sz w:val="28"/>
          <w:szCs w:val="28"/>
        </w:rPr>
      </w:pPr>
      <w:bookmarkStart w:id="65" w:name="_Toc28187711"/>
      <w:bookmarkStart w:id="66" w:name="_Toc523921588"/>
      <w:bookmarkStart w:id="67" w:name="_Toc74760814"/>
      <w:r>
        <w:rPr>
          <w:rFonts w:hint="eastAsia" w:ascii="黑体" w:hAnsi="黑体" w:eastAsia="黑体" w:cs="黑体"/>
          <w:sz w:val="28"/>
          <w:szCs w:val="28"/>
        </w:rPr>
        <w:t>附录1  资格审查条件（资质最低要求）</w:t>
      </w:r>
      <w:bookmarkEnd w:id="65"/>
      <w:bookmarkEnd w:id="66"/>
      <w:bookmarkEnd w:id="67"/>
    </w:p>
    <w:tbl>
      <w:tblPr>
        <w:tblStyle w:val="4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797"/>
      </w:tblGrid>
      <w:tr w14:paraId="291B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29" w:type="dxa"/>
            <w:vAlign w:val="center"/>
          </w:tcPr>
          <w:p w14:paraId="6DD837B2">
            <w:pPr>
              <w:pStyle w:val="276"/>
              <w:adjustRightInd w:val="0"/>
              <w:snapToGrid w:val="0"/>
              <w:spacing w:line="400" w:lineRule="exact"/>
              <w:jc w:val="center"/>
              <w:rPr>
                <w:rFonts w:ascii="宋体" w:hAnsi="宋体" w:cs="宋体"/>
                <w:color w:val="auto"/>
                <w:szCs w:val="21"/>
                <w:highlight w:val="none"/>
                <w:u w:val="single"/>
              </w:rPr>
            </w:pPr>
            <w:r>
              <w:rPr>
                <w:rFonts w:hint="eastAsia" w:ascii="宋体" w:hAnsi="宋体" w:cs="宋体"/>
                <w:color w:val="auto"/>
                <w:szCs w:val="21"/>
                <w:highlight w:val="none"/>
              </w:rPr>
              <w:t>标段</w:t>
            </w:r>
          </w:p>
        </w:tc>
        <w:tc>
          <w:tcPr>
            <w:tcW w:w="7797" w:type="dxa"/>
            <w:vAlign w:val="center"/>
          </w:tcPr>
          <w:p w14:paraId="669CDFDE">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监理试验室企业资质等级要求</w:t>
            </w:r>
            <w:r>
              <w:rPr>
                <w:rStyle w:val="58"/>
                <w:rFonts w:ascii="宋体" w:hAnsi="宋体" w:cs="宋体"/>
                <w:color w:val="auto"/>
                <w:szCs w:val="21"/>
                <w:highlight w:val="none"/>
              </w:rPr>
              <w:footnoteReference w:id="56"/>
            </w:r>
          </w:p>
        </w:tc>
      </w:tr>
      <w:tr w14:paraId="7DDC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5" w:hRule="atLeast"/>
          <w:jc w:val="center"/>
        </w:trPr>
        <w:tc>
          <w:tcPr>
            <w:tcW w:w="1129" w:type="dxa"/>
            <w:vAlign w:val="center"/>
          </w:tcPr>
          <w:p w14:paraId="77EB9C86">
            <w:pPr>
              <w:pStyle w:val="276"/>
              <w:adjustRightInd w:val="0"/>
              <w:snapToGrid w:val="0"/>
              <w:spacing w:line="400" w:lineRule="exact"/>
              <w:jc w:val="center"/>
              <w:rPr>
                <w:rFonts w:ascii="宋体" w:hAnsi="宋体" w:cs="宋体"/>
                <w:color w:val="auto"/>
                <w:szCs w:val="21"/>
                <w:highlight w:val="none"/>
              </w:rPr>
            </w:pPr>
          </w:p>
        </w:tc>
        <w:tc>
          <w:tcPr>
            <w:tcW w:w="7797" w:type="dxa"/>
            <w:vAlign w:val="center"/>
          </w:tcPr>
          <w:p w14:paraId="719517F5">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1）独立法人资格，持有有效的营业执照</w:t>
            </w:r>
            <w:bookmarkStart w:id="68" w:name="_Hlk55294155"/>
            <w:r>
              <w:rPr>
                <w:rFonts w:hint="eastAsia" w:ascii="宋体" w:hAnsi="宋体" w:cs="宋体"/>
                <w:color w:val="auto"/>
                <w:szCs w:val="21"/>
                <w:highlight w:val="none"/>
              </w:rPr>
              <w:t>或事业单位法人证书</w:t>
            </w:r>
            <w:bookmarkEnd w:id="68"/>
            <w:r>
              <w:rPr>
                <w:rFonts w:hint="eastAsia" w:ascii="宋体" w:hAnsi="宋体" w:cs="宋体"/>
                <w:color w:val="auto"/>
                <w:szCs w:val="21"/>
                <w:highlight w:val="none"/>
              </w:rPr>
              <w:t>、开户许可证</w:t>
            </w:r>
            <w:r>
              <w:rPr>
                <w:rFonts w:hint="eastAsia" w:ascii="宋体" w:hAnsi="宋体" w:cs="宋体"/>
                <w:color w:val="auto"/>
                <w:szCs w:val="21"/>
                <w:highlight w:val="none"/>
                <w:lang w:eastAsia="zh-CN"/>
              </w:rPr>
              <w:t>（</w:t>
            </w:r>
            <w:r>
              <w:rPr>
                <w:rFonts w:hint="eastAsia" w:ascii="宋体" w:hAnsi="宋体" w:cs="宋体"/>
                <w:color w:val="auto"/>
                <w:szCs w:val="21"/>
                <w:highlight w:val="none"/>
              </w:rPr>
              <w:t>基本账户</w:t>
            </w:r>
            <w:r>
              <w:rPr>
                <w:rFonts w:hint="eastAsia" w:ascii="宋体" w:hAnsi="宋体" w:cs="宋体"/>
                <w:color w:val="auto"/>
                <w:szCs w:val="21"/>
                <w:highlight w:val="none"/>
                <w:lang w:val="en-US" w:eastAsia="zh-CN"/>
              </w:rPr>
              <w:t>或基本存款账户</w:t>
            </w:r>
            <w:r>
              <w:rPr>
                <w:rFonts w:hint="eastAsia" w:ascii="宋体" w:hAnsi="宋体" w:cs="宋体"/>
                <w:color w:val="auto"/>
                <w:szCs w:val="21"/>
                <w:highlight w:val="none"/>
                <w:lang w:eastAsia="zh-CN"/>
              </w:rPr>
              <w:t>）</w:t>
            </w:r>
            <w:r>
              <w:rPr>
                <w:rFonts w:hint="eastAsia" w:ascii="宋体" w:hAnsi="宋体" w:cs="宋体"/>
                <w:color w:val="auto"/>
                <w:szCs w:val="21"/>
                <w:highlight w:val="none"/>
              </w:rPr>
              <w:t>或基本存款账户信息表。</w:t>
            </w:r>
          </w:p>
          <w:p w14:paraId="7C84FA5E">
            <w:pPr>
              <w:pStyle w:val="276"/>
              <w:adjustRightInd w:val="0"/>
              <w:snapToGrid w:val="0"/>
              <w:spacing w:line="40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lang w:val="en-US" w:eastAsia="zh-CN"/>
              </w:rPr>
              <w:t>具有</w:t>
            </w:r>
            <w:r>
              <w:rPr>
                <w:rFonts w:ascii="宋体" w:hAnsi="宋体" w:cs="宋体"/>
                <w:color w:val="auto"/>
                <w:szCs w:val="21"/>
                <w:highlight w:val="none"/>
              </w:rPr>
              <w:t>交通运输</w:t>
            </w:r>
            <w:r>
              <w:rPr>
                <w:rFonts w:hint="eastAsia" w:ascii="宋体" w:hAnsi="宋体" w:cs="宋体"/>
                <w:color w:val="auto"/>
                <w:szCs w:val="21"/>
                <w:highlight w:val="none"/>
                <w:lang w:val="en-US" w:eastAsia="zh-CN"/>
              </w:rPr>
              <w:t>主管</w:t>
            </w:r>
            <w:r>
              <w:rPr>
                <w:rFonts w:hint="eastAsia" w:ascii="宋体" w:hAnsi="宋体" w:cs="宋体"/>
                <w:color w:val="auto"/>
                <w:szCs w:val="21"/>
                <w:highlight w:val="none"/>
              </w:rPr>
              <w:t>部门颁发的</w:t>
            </w:r>
            <w:r>
              <w:rPr>
                <w:rFonts w:hint="eastAsia" w:ascii="宋体" w:hAnsi="宋体" w:cs="宋体"/>
                <w:color w:val="auto"/>
                <w:szCs w:val="21"/>
                <w:highlight w:val="none"/>
                <w:lang w:val="en-US" w:eastAsia="zh-CN"/>
              </w:rPr>
              <w:t>公路水运工程试验检测机构</w:t>
            </w:r>
          </w:p>
          <w:p w14:paraId="68959025">
            <w:pPr>
              <w:pStyle w:val="276"/>
              <w:adjustRightInd w:val="0"/>
              <w:snapToGrid w:val="0"/>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 xml:space="preserve"> □ </w:t>
            </w:r>
            <w:r>
              <w:rPr>
                <w:rFonts w:hint="eastAsia" w:ascii="宋体" w:hAnsi="宋体" w:cs="宋体"/>
                <w:color w:val="auto"/>
                <w:szCs w:val="21"/>
                <w:highlight w:val="none"/>
              </w:rPr>
              <w:t>公路工程综合（□甲级；□乙级及以上）资质；□和</w:t>
            </w:r>
            <w:r>
              <w:rPr>
                <w:rFonts w:ascii="宋体" w:hAnsi="宋体" w:cs="宋体"/>
                <w:color w:val="auto"/>
                <w:szCs w:val="21"/>
                <w:highlight w:val="none"/>
              </w:rPr>
              <w:t xml:space="preserve">  </w:t>
            </w:r>
            <w:r>
              <w:rPr>
                <w:rFonts w:hint="eastAsia" w:ascii="宋体" w:hAnsi="宋体" w:cs="宋体"/>
                <w:color w:val="auto"/>
                <w:szCs w:val="21"/>
                <w:highlight w:val="none"/>
              </w:rPr>
              <w:t>□或</w:t>
            </w:r>
          </w:p>
          <w:p w14:paraId="1D2BFEA0">
            <w:pPr>
              <w:pStyle w:val="276"/>
              <w:adjustRightInd w:val="0"/>
              <w:snapToGrid w:val="0"/>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公路工程</w:t>
            </w:r>
            <w:r>
              <w:rPr>
                <w:rFonts w:hint="eastAsia" w:ascii="宋体" w:hAnsi="宋体" w:cs="宋体"/>
                <w:color w:val="auto"/>
                <w:szCs w:val="21"/>
                <w:highlight w:val="none"/>
              </w:rPr>
              <w:t>桥梁隧道工程专项资质；□和</w:t>
            </w:r>
            <w:r>
              <w:rPr>
                <w:rFonts w:ascii="宋体" w:hAnsi="宋体" w:cs="宋体"/>
                <w:color w:val="auto"/>
                <w:szCs w:val="21"/>
                <w:highlight w:val="none"/>
              </w:rPr>
              <w:t xml:space="preserve">  </w:t>
            </w:r>
            <w:r>
              <w:rPr>
                <w:rFonts w:hint="eastAsia" w:ascii="宋体" w:hAnsi="宋体" w:cs="宋体"/>
                <w:color w:val="auto"/>
                <w:szCs w:val="21"/>
                <w:highlight w:val="none"/>
              </w:rPr>
              <w:t>□或</w:t>
            </w:r>
          </w:p>
          <w:p w14:paraId="397F448D">
            <w:pPr>
              <w:pStyle w:val="276"/>
              <w:adjustRightInd w:val="0"/>
              <w:snapToGrid w:val="0"/>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交通工程专项资质。</w:t>
            </w:r>
          </w:p>
          <w:p w14:paraId="5517C47C">
            <w:pPr>
              <w:pStyle w:val="276"/>
              <w:adjustRightInd w:val="0"/>
              <w:snapToGrid w:val="0"/>
              <w:spacing w:line="400" w:lineRule="exact"/>
              <w:rPr>
                <w:rFonts w:ascii="宋体" w:hAnsi="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具有</w:t>
            </w:r>
            <w:r>
              <w:rPr>
                <w:rFonts w:hint="eastAsia" w:asciiTheme="minorEastAsia" w:hAnsiTheme="minorEastAsia" w:eastAsiaTheme="minorEastAsia"/>
                <w:color w:val="auto"/>
                <w:highlight w:val="none"/>
              </w:rPr>
              <w:t>市场</w:t>
            </w:r>
            <w:r>
              <w:rPr>
                <w:rFonts w:asciiTheme="minorEastAsia" w:hAnsiTheme="minorEastAsia" w:eastAsiaTheme="minorEastAsia"/>
                <w:color w:val="auto"/>
                <w:highlight w:val="none"/>
              </w:rPr>
              <w:t>监管</w:t>
            </w:r>
            <w:r>
              <w:rPr>
                <w:rFonts w:hint="eastAsia" w:asciiTheme="minorEastAsia" w:hAnsiTheme="minorEastAsia" w:eastAsiaTheme="minorEastAsia"/>
                <w:color w:val="auto"/>
                <w:highlight w:val="none"/>
              </w:rPr>
              <w:t>或技术监督部门</w:t>
            </w:r>
            <w:r>
              <w:rPr>
                <w:rFonts w:hint="eastAsia" w:ascii="宋体" w:hAnsi="宋体" w:cs="宋体"/>
                <w:color w:val="auto"/>
                <w:szCs w:val="21"/>
                <w:highlight w:val="none"/>
              </w:rPr>
              <w:t>颁发的检验检测机构资质认定证书</w:t>
            </w:r>
            <w:r>
              <w:rPr>
                <w:rFonts w:hint="eastAsia" w:ascii="宋体" w:hAnsi="宋体" w:cs="宋体"/>
                <w:color w:val="auto"/>
                <w:szCs w:val="21"/>
                <w:highlight w:val="none"/>
                <w:lang w:eastAsia="zh-CN"/>
              </w:rPr>
              <w:t>。</w:t>
            </w:r>
            <w:r>
              <w:rPr>
                <w:rFonts w:ascii="宋体" w:hAnsi="宋体"/>
                <w:color w:val="auto"/>
                <w:szCs w:val="21"/>
                <w:highlight w:val="none"/>
              </w:rPr>
              <w:t xml:space="preserve"> </w:t>
            </w:r>
          </w:p>
          <w:p w14:paraId="3560D35D">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（4）</w:t>
            </w:r>
            <w:r>
              <w:rPr>
                <w:rFonts w:ascii="宋体" w:hAnsi="宋体" w:cs="宋体"/>
                <w:color w:val="auto"/>
                <w:szCs w:val="21"/>
                <w:highlight w:val="none"/>
              </w:rPr>
              <w:t>其他</w:t>
            </w:r>
            <w:r>
              <w:rPr>
                <w:rStyle w:val="58"/>
                <w:rFonts w:ascii="宋体" w:hAnsi="宋体" w:cs="宋体"/>
                <w:color w:val="auto"/>
                <w:szCs w:val="21"/>
                <w:highlight w:val="none"/>
              </w:rPr>
              <w:footnoteReference w:id="57"/>
            </w:r>
            <w:r>
              <w:rPr>
                <w:rFonts w:ascii="宋体" w:hAnsi="宋体" w:cs="宋体"/>
                <w:color w:val="auto"/>
                <w:szCs w:val="21"/>
                <w:highlight w:val="none"/>
              </w:rPr>
              <w:t>：</w:t>
            </w:r>
            <w:r>
              <w:rPr>
                <w:rFonts w:ascii="宋体" w:hAnsi="宋体" w:cs="宋体"/>
                <w:color w:val="auto"/>
                <w:szCs w:val="21"/>
                <w:highlight w:val="none"/>
                <w:u w:val="single"/>
              </w:rPr>
              <w:t xml:space="preserve">            </w:t>
            </w:r>
          </w:p>
          <w:p w14:paraId="2C811699">
            <w:pPr>
              <w:pStyle w:val="276"/>
              <w:adjustRightInd w:val="0"/>
              <w:snapToGrid w:val="0"/>
              <w:spacing w:line="400" w:lineRule="exact"/>
              <w:jc w:val="lef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）联合体应满足下列要求：</w:t>
            </w:r>
            <w:r>
              <w:rPr>
                <w:rFonts w:ascii="宋体" w:hAnsi="宋体" w:cs="宋体"/>
                <w:color w:val="auto"/>
                <w:szCs w:val="21"/>
                <w:highlight w:val="none"/>
                <w:u w:val="single"/>
              </w:rPr>
              <w:t xml:space="preserve">                         </w:t>
            </w:r>
          </w:p>
        </w:tc>
      </w:tr>
      <w:tr w14:paraId="470E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129" w:type="dxa"/>
            <w:vAlign w:val="center"/>
          </w:tcPr>
          <w:p w14:paraId="62FF7C78">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797" w:type="dxa"/>
            <w:vAlign w:val="center"/>
          </w:tcPr>
          <w:p w14:paraId="31B00244">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p>
        </w:tc>
      </w:tr>
    </w:tbl>
    <w:p w14:paraId="3A8151AF">
      <w:pPr>
        <w:pStyle w:val="276"/>
        <w:rPr>
          <w:rFonts w:ascii="宋体" w:hAnsi="宋体" w:cs="宋体"/>
          <w:color w:val="auto"/>
          <w:highlight w:val="none"/>
        </w:rPr>
      </w:pPr>
    </w:p>
    <w:p w14:paraId="7A0BCF62">
      <w:pPr>
        <w:rPr>
          <w:color w:val="auto"/>
          <w:highlight w:val="none"/>
        </w:rPr>
      </w:pPr>
    </w:p>
    <w:p w14:paraId="5626FD6B">
      <w:pPr>
        <w:rPr>
          <w:color w:val="auto"/>
          <w:highlight w:val="none"/>
        </w:rPr>
      </w:pPr>
    </w:p>
    <w:p w14:paraId="4E58E9CD">
      <w:pPr>
        <w:pStyle w:val="6"/>
        <w:spacing w:before="0" w:after="0" w:line="360" w:lineRule="auto"/>
        <w:jc w:val="center"/>
        <w:outlineLvl w:val="2"/>
        <w:rPr>
          <w:rStyle w:val="111"/>
          <w:b/>
          <w:bCs/>
        </w:rPr>
      </w:pPr>
      <w:bookmarkStart w:id="69" w:name="_Toc523921589"/>
      <w:r>
        <w:rPr>
          <w:color w:val="auto"/>
          <w:highlight w:val="none"/>
        </w:rPr>
        <w:br w:type="page"/>
      </w:r>
      <w:bookmarkStart w:id="70" w:name="_Toc74760815"/>
      <w:bookmarkStart w:id="71" w:name="_Toc28187712"/>
      <w:r>
        <w:rPr>
          <w:rFonts w:hint="eastAsia" w:ascii="黑体" w:hAnsi="黑体" w:eastAsia="黑体" w:cs="黑体"/>
          <w:b/>
          <w:bCs/>
          <w:szCs w:val="28"/>
        </w:rPr>
        <w:t>附录2  资格审查条件（业绩最低要求）</w:t>
      </w:r>
      <w:bookmarkEnd w:id="69"/>
      <w:bookmarkEnd w:id="70"/>
      <w:bookmarkEnd w:id="71"/>
    </w:p>
    <w:tbl>
      <w:tblPr>
        <w:tblStyle w:val="4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7820"/>
      </w:tblGrid>
      <w:tr w14:paraId="1A13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964" w:type="dxa"/>
          </w:tcPr>
          <w:p w14:paraId="538CD0AA">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标段</w:t>
            </w:r>
          </w:p>
        </w:tc>
        <w:tc>
          <w:tcPr>
            <w:tcW w:w="7820" w:type="dxa"/>
            <w:vAlign w:val="center"/>
          </w:tcPr>
          <w:p w14:paraId="5E4ADF3F">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业绩要求</w:t>
            </w:r>
            <w:r>
              <w:rPr>
                <w:rStyle w:val="58"/>
                <w:rFonts w:ascii="宋体" w:hAnsi="宋体" w:cs="宋体"/>
                <w:color w:val="auto"/>
                <w:szCs w:val="21"/>
                <w:highlight w:val="none"/>
              </w:rPr>
              <w:footnoteReference w:id="58"/>
            </w:r>
          </w:p>
        </w:tc>
      </w:tr>
      <w:tr w14:paraId="53FD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2" w:hRule="atLeast"/>
          <w:jc w:val="center"/>
        </w:trPr>
        <w:tc>
          <w:tcPr>
            <w:tcW w:w="964" w:type="dxa"/>
            <w:vAlign w:val="center"/>
          </w:tcPr>
          <w:p w14:paraId="285D2109">
            <w:pPr>
              <w:pStyle w:val="276"/>
              <w:adjustRightInd w:val="0"/>
              <w:snapToGrid w:val="0"/>
              <w:spacing w:line="400" w:lineRule="exact"/>
              <w:ind w:firstLine="420" w:firstLineChars="200"/>
              <w:jc w:val="center"/>
              <w:rPr>
                <w:rFonts w:ascii="宋体" w:hAnsi="宋体" w:cs="宋体"/>
                <w:color w:val="auto"/>
                <w:szCs w:val="21"/>
                <w:highlight w:val="none"/>
              </w:rPr>
            </w:pPr>
          </w:p>
        </w:tc>
        <w:tc>
          <w:tcPr>
            <w:tcW w:w="7820" w:type="dxa"/>
          </w:tcPr>
          <w:p w14:paraId="686E883F">
            <w:pPr>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投标人近</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（指</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cs="宋体" w:asciiTheme="minorEastAsia" w:hAnsiTheme="minorEastAsia" w:eastAsiaTheme="minorEastAsia"/>
                <w:color w:val="auto"/>
                <w:szCs w:val="21"/>
                <w:highlight w:val="none"/>
              </w:rPr>
              <w:t>～</w:t>
            </w:r>
            <w:r>
              <w:rPr>
                <w:rFonts w:hint="eastAsia" w:ascii="宋体" w:hAnsi="宋体" w:cs="宋体"/>
                <w:color w:val="auto"/>
                <w:szCs w:val="21"/>
                <w:highlight w:val="none"/>
              </w:rPr>
              <w:t>投标截止日，以项目交工验收时间为准）的已完工程业绩应同时满足：</w:t>
            </w:r>
            <w:r>
              <w:rPr>
                <w:rFonts w:ascii="宋体" w:hAnsi="宋体" w:cs="宋体"/>
                <w:color w:val="auto"/>
                <w:szCs w:val="21"/>
                <w:highlight w:val="none"/>
              </w:rPr>
              <w:t xml:space="preserve"> </w:t>
            </w:r>
          </w:p>
          <w:p w14:paraId="189ED5E6">
            <w:pPr>
              <w:adjustRightInd w:val="0"/>
              <w:snapToGrid w:val="0"/>
              <w:spacing w:line="400" w:lineRule="exact"/>
              <w:jc w:val="lef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完成</w:t>
            </w:r>
            <w:r>
              <w:rPr>
                <w:rFonts w:ascii="宋体" w:hAnsi="宋体" w:cs="宋体"/>
                <w:color w:val="auto"/>
                <w:szCs w:val="21"/>
                <w:highlight w:val="none"/>
                <w:u w:val="single"/>
              </w:rPr>
              <w:t xml:space="preserve">   </w:t>
            </w:r>
            <w:r>
              <w:rPr>
                <w:rFonts w:hint="eastAsia" w:ascii="宋体" w:hAnsi="宋体" w:cs="宋体"/>
                <w:color w:val="auto"/>
                <w:szCs w:val="21"/>
                <w:highlight w:val="none"/>
              </w:rPr>
              <w:t>个国内新建或改扩建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公路标段长度</w:t>
            </w:r>
            <w:r>
              <w:rPr>
                <w:rFonts w:ascii="宋体" w:hAnsi="宋体" w:cs="宋体"/>
                <w:color w:val="auto"/>
                <w:szCs w:val="21"/>
                <w:highlight w:val="none"/>
                <w:u w:val="single"/>
              </w:rPr>
              <w:t xml:space="preserve">      </w:t>
            </w:r>
            <w:r>
              <w:rPr>
                <w:rStyle w:val="58"/>
                <w:rFonts w:ascii="宋体" w:hAnsi="宋体" w:cs="宋体"/>
                <w:color w:val="auto"/>
                <w:szCs w:val="21"/>
                <w:highlight w:val="none"/>
                <w:u w:val="single"/>
              </w:rPr>
              <w:footnoteReference w:id="59"/>
            </w:r>
            <w:r>
              <w:rPr>
                <w:rFonts w:hint="eastAsia" w:ascii="宋体" w:hAnsi="宋体" w:cs="宋体"/>
                <w:color w:val="auto"/>
                <w:szCs w:val="21"/>
                <w:highlight w:val="none"/>
              </w:rPr>
              <w:t>公里及以</w:t>
            </w:r>
          </w:p>
          <w:p w14:paraId="4EF18558">
            <w:pPr>
              <w:adjustRightInd w:val="0"/>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上的路基土建工程</w:t>
            </w:r>
            <w:r>
              <w:rPr>
                <w:rStyle w:val="58"/>
                <w:rFonts w:ascii="宋体" w:hAnsi="宋体" w:cs="宋体"/>
                <w:color w:val="auto"/>
                <w:szCs w:val="21"/>
                <w:highlight w:val="none"/>
              </w:rPr>
              <w:footnoteReference w:id="60"/>
            </w:r>
            <w:r>
              <w:rPr>
                <w:rFonts w:hint="eastAsia" w:ascii="宋体" w:hAnsi="宋体" w:cs="宋体"/>
                <w:color w:val="auto"/>
                <w:szCs w:val="21"/>
                <w:highlight w:val="none"/>
              </w:rPr>
              <w:t>监理试验室项目；</w:t>
            </w:r>
          </w:p>
          <w:p w14:paraId="35847385">
            <w:pPr>
              <w:adjustRightInd w:val="0"/>
              <w:snapToGrid w:val="0"/>
              <w:spacing w:line="400" w:lineRule="exact"/>
              <w:ind w:left="0" w:firstLine="0" w:firstLineChars="0"/>
              <w:jc w:val="lef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完成</w:t>
            </w:r>
            <w:r>
              <w:rPr>
                <w:rFonts w:ascii="宋体" w:hAnsi="宋体" w:cs="宋体"/>
                <w:color w:val="auto"/>
                <w:szCs w:val="21"/>
                <w:highlight w:val="none"/>
                <w:u w:val="single"/>
              </w:rPr>
              <w:t xml:space="preserve">   </w:t>
            </w:r>
            <w:r>
              <w:rPr>
                <w:rFonts w:hint="eastAsia" w:ascii="宋体" w:hAnsi="宋体" w:cs="宋体"/>
                <w:color w:val="auto"/>
                <w:szCs w:val="21"/>
                <w:highlight w:val="none"/>
              </w:rPr>
              <w:t>个国内新建或改扩建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公路标段长度</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公里及以上</w:t>
            </w:r>
          </w:p>
          <w:p w14:paraId="383CE611">
            <w:pPr>
              <w:adjustRightInd w:val="0"/>
              <w:snapToGrid w:val="0"/>
              <w:spacing w:line="400" w:lineRule="exact"/>
              <w:ind w:left="0" w:firstLine="0" w:firstLineChars="0"/>
              <w:jc w:val="left"/>
              <w:rPr>
                <w:rFonts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的路面工程监理试验室项目；</w:t>
            </w:r>
            <w:r>
              <w:rPr>
                <w:rFonts w:ascii="宋体" w:hAnsi="宋体" w:cs="宋体"/>
                <w:color w:val="auto"/>
                <w:szCs w:val="21"/>
                <w:highlight w:val="none"/>
              </w:rPr>
              <w:t xml:space="preserve"> </w:t>
            </w:r>
          </w:p>
          <w:p w14:paraId="286247CA">
            <w:pPr>
              <w:adjustRightInd w:val="0"/>
              <w:snapToGrid w:val="0"/>
              <w:spacing w:line="400" w:lineRule="exact"/>
              <w:rPr>
                <w:rFonts w:ascii="宋体" w:hAnsi="宋体" w:cs="宋体"/>
                <w:color w:val="auto"/>
                <w:szCs w:val="21"/>
                <w:highlight w:val="none"/>
                <w:u w:val="singl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其他</w:t>
            </w:r>
            <w:r>
              <w:rPr>
                <w:rStyle w:val="58"/>
                <w:rFonts w:ascii="宋体" w:hAnsi="宋体" w:cs="宋体"/>
                <w:color w:val="auto"/>
                <w:szCs w:val="21"/>
                <w:highlight w:val="none"/>
              </w:rPr>
              <w:footnoteReference w:id="61"/>
            </w:r>
            <w:r>
              <w:rPr>
                <w:rFonts w:hint="eastAsia" w:ascii="宋体" w:hAnsi="宋体" w:cs="宋体"/>
                <w:color w:val="auto"/>
                <w:szCs w:val="21"/>
                <w:highlight w:val="none"/>
              </w:rPr>
              <w:t>：</w:t>
            </w:r>
            <w:r>
              <w:rPr>
                <w:rFonts w:ascii="宋体" w:hAnsi="宋体" w:cs="宋体"/>
                <w:color w:val="auto"/>
                <w:szCs w:val="21"/>
                <w:highlight w:val="none"/>
                <w:u w:val="single"/>
              </w:rPr>
              <w:t xml:space="preserve">                       </w:t>
            </w:r>
          </w:p>
          <w:p w14:paraId="13C31DCC">
            <w:pPr>
              <w:adjustRightInd w:val="0"/>
              <w:snapToGrid w:val="0"/>
              <w:spacing w:line="400" w:lineRule="exact"/>
              <w:ind w:firstLine="0"/>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联合体应满足下列要求：</w:t>
            </w:r>
            <w:r>
              <w:rPr>
                <w:rFonts w:ascii="宋体" w:hAnsi="宋体" w:cs="宋体"/>
                <w:color w:val="auto"/>
                <w:szCs w:val="21"/>
                <w:highlight w:val="none"/>
                <w:u w:val="single"/>
              </w:rPr>
              <w:t xml:space="preserve">                                      </w:t>
            </w:r>
          </w:p>
        </w:tc>
      </w:tr>
      <w:tr w14:paraId="5621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964" w:type="dxa"/>
            <w:vAlign w:val="center"/>
          </w:tcPr>
          <w:p w14:paraId="02FBA1BF">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820" w:type="dxa"/>
            <w:vAlign w:val="center"/>
          </w:tcPr>
          <w:p w14:paraId="02164C7C">
            <w:pPr>
              <w:pStyle w:val="276"/>
              <w:adjustRightInd w:val="0"/>
              <w:snapToGrid w:val="0"/>
              <w:spacing w:line="400" w:lineRule="exact"/>
              <w:ind w:firstLine="0" w:firstLineChars="0"/>
              <w:jc w:val="left"/>
              <w:rPr>
                <w:rFonts w:ascii="宋体" w:hAnsi="宋体" w:cs="宋体"/>
                <w:color w:val="auto"/>
                <w:szCs w:val="21"/>
                <w:highlight w:val="none"/>
              </w:rPr>
            </w:pPr>
            <w:r>
              <w:rPr>
                <w:rFonts w:hint="eastAsia" w:ascii="宋体" w:hAnsi="宋体" w:cs="宋体"/>
                <w:color w:val="auto"/>
                <w:szCs w:val="21"/>
                <w:highlight w:val="none"/>
              </w:rPr>
              <w:t>……</w:t>
            </w:r>
          </w:p>
        </w:tc>
      </w:tr>
    </w:tbl>
    <w:p w14:paraId="07EF4C35">
      <w:pPr>
        <w:rPr>
          <w:rFonts w:ascii="宋体" w:hAnsi="宋体" w:eastAsia="宋体" w:cs="宋体"/>
          <w:color w:val="auto"/>
          <w:highlight w:val="none"/>
        </w:rPr>
      </w:pPr>
      <w:r>
        <w:rPr>
          <w:rFonts w:ascii="宋体" w:hAnsi="宋体" w:eastAsia="宋体" w:cs="宋体"/>
          <w:color w:val="auto"/>
          <w:highlight w:val="none"/>
        </w:rPr>
        <w:br w:type="page"/>
      </w:r>
    </w:p>
    <w:p w14:paraId="0217F01B">
      <w:pPr>
        <w:pStyle w:val="6"/>
        <w:ind w:firstLine="1968" w:firstLineChars="700"/>
        <w:rPr>
          <w:rFonts w:hint="eastAsia" w:ascii="宋体" w:hAnsi="宋体" w:eastAsia="宋体" w:cs="宋体"/>
          <w:color w:val="auto"/>
          <w:szCs w:val="28"/>
          <w:highlight w:val="none"/>
        </w:rPr>
      </w:pPr>
      <w:bookmarkStart w:id="72" w:name="_Toc523921590"/>
      <w:bookmarkStart w:id="73" w:name="_Toc74760816"/>
      <w:bookmarkStart w:id="74" w:name="_Toc28187713"/>
      <w:r>
        <w:rPr>
          <w:rFonts w:hint="eastAsia" w:ascii="黑体" w:hAnsi="黑体" w:eastAsia="黑体" w:cs="黑体"/>
          <w:color w:val="auto"/>
          <w:szCs w:val="28"/>
          <w:highlight w:val="none"/>
        </w:rPr>
        <w:t>附录3  资格审查条件（信誉最低要求）</w:t>
      </w:r>
      <w:bookmarkEnd w:id="72"/>
      <w:bookmarkEnd w:id="73"/>
      <w:bookmarkEnd w:id="74"/>
    </w:p>
    <w:tbl>
      <w:tblPr>
        <w:tblStyle w:val="4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7807"/>
      </w:tblGrid>
      <w:tr w14:paraId="32C0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977" w:type="dxa"/>
          </w:tcPr>
          <w:p w14:paraId="63E6A158">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标段</w:t>
            </w:r>
          </w:p>
        </w:tc>
        <w:tc>
          <w:tcPr>
            <w:tcW w:w="7807" w:type="dxa"/>
            <w:vAlign w:val="center"/>
          </w:tcPr>
          <w:p w14:paraId="56EB6945">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信誉要求</w:t>
            </w:r>
            <w:r>
              <w:rPr>
                <w:rStyle w:val="58"/>
                <w:rFonts w:ascii="宋体" w:hAnsi="宋体" w:cs="宋体"/>
                <w:color w:val="auto"/>
                <w:szCs w:val="21"/>
                <w:highlight w:val="none"/>
              </w:rPr>
              <w:footnoteReference w:id="62"/>
            </w:r>
          </w:p>
        </w:tc>
      </w:tr>
      <w:tr w14:paraId="6A90D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1" w:hRule="atLeast"/>
          <w:jc w:val="center"/>
        </w:trPr>
        <w:tc>
          <w:tcPr>
            <w:tcW w:w="977" w:type="dxa"/>
            <w:vAlign w:val="center"/>
          </w:tcPr>
          <w:p w14:paraId="319E1636">
            <w:pPr>
              <w:adjustRightInd w:val="0"/>
              <w:snapToGrid w:val="0"/>
              <w:spacing w:line="400" w:lineRule="exact"/>
              <w:ind w:firstLine="420" w:firstLineChars="200"/>
              <w:jc w:val="center"/>
              <w:rPr>
                <w:rFonts w:ascii="宋体" w:hAnsi="宋体" w:cs="宋体"/>
                <w:color w:val="auto"/>
                <w:szCs w:val="21"/>
                <w:highlight w:val="none"/>
              </w:rPr>
            </w:pPr>
          </w:p>
        </w:tc>
        <w:tc>
          <w:tcPr>
            <w:tcW w:w="7807" w:type="dxa"/>
            <w:vAlign w:val="top"/>
          </w:tcPr>
          <w:p w14:paraId="08DB5E4A">
            <w:pPr>
              <w:keepNext w:val="0"/>
              <w:keepLines w:val="0"/>
              <w:pageBreakBefore w:val="0"/>
              <w:widowControl/>
              <w:kinsoku/>
              <w:wordWrap/>
              <w:overflowPunct/>
              <w:topLinePunct w:val="0"/>
              <w:autoSpaceDE/>
              <w:autoSpaceDN/>
              <w:bidi w:val="0"/>
              <w:spacing w:line="400" w:lineRule="exact"/>
              <w:textAlignment w:val="auto"/>
              <w:rPr>
                <w:rFonts w:hint="eastAsia" w:ascii="宋体" w:hAnsi="宋体" w:eastAsia="宋体"/>
                <w:color w:val="auto"/>
                <w:kern w:val="0"/>
                <w:sz w:val="21"/>
                <w:szCs w:val="21"/>
                <w:highlight w:val="none"/>
                <w:u w:val="single"/>
                <w:lang w:eastAsia="zh-CN"/>
              </w:rPr>
            </w:pPr>
            <w:r>
              <w:rPr>
                <w:rFonts w:hint="eastAsia" w:ascii="宋体" w:hAnsi="宋体" w:cs="宋体"/>
                <w:bCs/>
                <w:color w:val="auto"/>
                <w:szCs w:val="21"/>
                <w:highlight w:val="none"/>
              </w:rPr>
              <w:t>（</w:t>
            </w:r>
            <w:r>
              <w:rPr>
                <w:rFonts w:ascii="宋体" w:hAnsi="宋体" w:cs="宋体"/>
                <w:bCs/>
                <w:color w:val="auto"/>
                <w:szCs w:val="21"/>
                <w:highlight w:val="none"/>
              </w:rPr>
              <w:t>1）投标人在</w:t>
            </w:r>
            <w:r>
              <w:rPr>
                <w:rFonts w:hint="eastAsia" w:ascii="宋体" w:hAnsi="宋体" w:cs="宋体"/>
                <w:bCs/>
                <w:color w:val="auto"/>
                <w:szCs w:val="21"/>
                <w:highlight w:val="none"/>
              </w:rPr>
              <w:t>四川省交通运输厅网站公布的</w:t>
            </w:r>
            <w:r>
              <w:rPr>
                <w:rFonts w:hint="eastAsia" w:ascii="宋体" w:hAnsi="宋体" w:cs="宋体"/>
                <w:bCs/>
                <w:color w:val="auto"/>
                <w:szCs w:val="21"/>
                <w:highlight w:val="none"/>
                <w:lang w:val="en-US" w:eastAsia="zh-CN"/>
              </w:rPr>
              <w:t>下述</w:t>
            </w:r>
            <w:r>
              <w:rPr>
                <w:rFonts w:hint="eastAsia" w:ascii="宋体" w:hAnsi="宋体" w:cs="宋体"/>
                <w:bCs/>
                <w:color w:val="auto"/>
                <w:szCs w:val="21"/>
                <w:highlight w:val="none"/>
              </w:rPr>
              <w:t>信用评价等级</w:t>
            </w:r>
            <w:r>
              <w:rPr>
                <w:rFonts w:ascii="宋体" w:hAnsi="宋体" w:cs="宋体"/>
                <w:bCs/>
                <w:color w:val="auto"/>
                <w:szCs w:val="21"/>
                <w:highlight w:val="none"/>
              </w:rPr>
              <w:t>评定为</w:t>
            </w:r>
            <w:r>
              <w:rPr>
                <w:rFonts w:hint="eastAsia" w:ascii="宋体" w:hAnsi="宋体" w:cs="宋体"/>
                <w:bCs/>
                <w:color w:val="auto"/>
                <w:szCs w:val="21"/>
                <w:highlight w:val="none"/>
                <w:lang w:val="en-US" w:eastAsia="zh-CN"/>
              </w:rPr>
              <w:t>C级</w:t>
            </w:r>
            <w:r>
              <w:rPr>
                <w:rFonts w:hint="eastAsia" w:ascii="宋体" w:hAnsi="宋体" w:cs="宋体"/>
                <w:bCs/>
                <w:color w:val="auto"/>
                <w:szCs w:val="21"/>
                <w:highlight w:val="none"/>
              </w:rPr>
              <w:t>及以上</w:t>
            </w:r>
            <w:r>
              <w:rPr>
                <w:rFonts w:ascii="宋体" w:hAnsi="宋体" w:cs="宋体"/>
                <w:bCs/>
                <w:color w:val="auto"/>
                <w:szCs w:val="21"/>
                <w:highlight w:val="none"/>
              </w:rPr>
              <w:t>，</w:t>
            </w:r>
            <w:r>
              <w:rPr>
                <w:rFonts w:ascii="宋体" w:hAnsi="宋体" w:cs="宋体"/>
                <w:bCs/>
                <w:color w:val="auto"/>
                <w:sz w:val="21"/>
                <w:szCs w:val="21"/>
                <w:highlight w:val="none"/>
              </w:rPr>
              <w:t>且不得处</w:t>
            </w:r>
            <w:r>
              <w:rPr>
                <w:rFonts w:hint="eastAsia" w:ascii="宋体" w:hAnsi="宋体" w:cs="宋体"/>
                <w:bCs/>
                <w:color w:val="auto"/>
                <w:sz w:val="21"/>
                <w:szCs w:val="21"/>
                <w:highlight w:val="none"/>
              </w:rPr>
              <w:t>于禁止投标行政处罚期内</w:t>
            </w:r>
            <w:r>
              <w:rPr>
                <w:rFonts w:hint="eastAsia" w:ascii="宋体" w:hAnsi="宋体" w:cs="宋体"/>
                <w:bCs/>
                <w:color w:val="auto"/>
                <w:sz w:val="21"/>
                <w:szCs w:val="21"/>
                <w:highlight w:val="none"/>
                <w:lang w:eastAsia="zh-CN"/>
              </w:rPr>
              <w:t>。</w:t>
            </w:r>
          </w:p>
          <w:p w14:paraId="7D738482">
            <w:pPr>
              <w:keepNext w:val="0"/>
              <w:keepLines w:val="0"/>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olor w:val="auto"/>
                <w:sz w:val="21"/>
                <w:szCs w:val="21"/>
                <w:highlight w:val="none"/>
                <w:lang w:eastAsia="zh-CN"/>
              </w:rPr>
            </w:pPr>
            <w:r>
              <w:rPr>
                <w:rFonts w:hint="eastAsia" w:ascii="宋体" w:hAnsi="宋体"/>
                <w:b w:val="0"/>
                <w:bCs/>
                <w:color w:val="auto"/>
                <w:sz w:val="21"/>
                <w:szCs w:val="21"/>
                <w:highlight w:val="none"/>
              </w:rPr>
              <w:sym w:font="Wingdings 2" w:char="00A3"/>
            </w:r>
            <w:r>
              <w:rPr>
                <w:rFonts w:hint="eastAsia" w:ascii="宋体" w:hAnsi="宋体"/>
                <w:b w:val="0"/>
                <w:bCs/>
                <w:color w:val="auto"/>
                <w:sz w:val="21"/>
                <w:szCs w:val="21"/>
                <w:highlight w:val="none"/>
                <w:lang w:val="en-US" w:eastAsia="zh-CN"/>
              </w:rPr>
              <w:t xml:space="preserve"> </w:t>
            </w:r>
            <w:r>
              <w:rPr>
                <w:rFonts w:hint="eastAsia" w:ascii="宋体" w:hAnsi="宋体"/>
                <w:color w:val="auto"/>
                <w:sz w:val="21"/>
                <w:szCs w:val="21"/>
                <w:highlight w:val="none"/>
              </w:rPr>
              <w:t>四川省重点公路建设从业单位信用评价等级</w:t>
            </w:r>
            <w:r>
              <w:rPr>
                <w:rFonts w:hint="eastAsia" w:ascii="宋体" w:hAnsi="宋体"/>
                <w:color w:val="auto"/>
                <w:sz w:val="21"/>
                <w:szCs w:val="21"/>
                <w:highlight w:val="none"/>
                <w:lang w:eastAsia="zh-CN"/>
              </w:rPr>
              <w:t>；</w:t>
            </w:r>
            <w:r>
              <w:rPr>
                <w:rFonts w:hint="eastAsia" w:ascii="宋体" w:hAnsi="宋体"/>
                <w:b w:val="0"/>
                <w:bCs/>
                <w:color w:val="auto"/>
                <w:sz w:val="21"/>
                <w:szCs w:val="21"/>
                <w:highlight w:val="none"/>
              </w:rPr>
              <w:sym w:font="Wingdings 2" w:char="00A3"/>
            </w:r>
            <w:r>
              <w:rPr>
                <w:rFonts w:hint="eastAsia" w:ascii="宋体" w:hAnsi="宋体"/>
                <w:b w:val="0"/>
                <w:bCs/>
                <w:color w:val="auto"/>
                <w:sz w:val="21"/>
                <w:szCs w:val="21"/>
                <w:highlight w:val="none"/>
                <w:lang w:val="en-US" w:eastAsia="zh-CN"/>
              </w:rPr>
              <w:t xml:space="preserve"> 或</w:t>
            </w:r>
            <w:r>
              <w:rPr>
                <w:rStyle w:val="58"/>
                <w:rFonts w:hint="eastAsia" w:ascii="宋体" w:hAnsi="宋体" w:cs="宋体"/>
                <w:color w:val="auto"/>
                <w:szCs w:val="21"/>
                <w:highlight w:val="none"/>
                <w:lang w:eastAsia="zh-CN"/>
              </w:rPr>
              <w:footnoteReference w:id="63"/>
            </w:r>
          </w:p>
          <w:p w14:paraId="7148477E">
            <w:pPr>
              <w:keepNext w:val="0"/>
              <w:keepLines w:val="0"/>
              <w:pageBreakBefore w:val="0"/>
              <w:kinsoku/>
              <w:wordWrap/>
              <w:overflowPunct/>
              <w:topLinePunct w:val="0"/>
              <w:autoSpaceDE/>
              <w:autoSpaceDN/>
              <w:bidi w:val="0"/>
              <w:adjustRightInd w:val="0"/>
              <w:snapToGrid w:val="0"/>
              <w:spacing w:line="400" w:lineRule="exact"/>
              <w:ind w:left="0" w:leftChars="0" w:firstLine="420" w:firstLineChars="200"/>
              <w:textAlignment w:val="auto"/>
              <w:rPr>
                <w:rFonts w:ascii="宋体" w:hAnsi="宋体" w:cs="宋体"/>
                <w:bCs/>
                <w:color w:val="auto"/>
                <w:szCs w:val="21"/>
                <w:highlight w:val="none"/>
              </w:rPr>
            </w:pPr>
            <w:r>
              <w:rPr>
                <w:rFonts w:hint="eastAsia" w:ascii="宋体" w:hAnsi="宋体"/>
                <w:b w:val="0"/>
                <w:bCs/>
                <w:color w:val="auto"/>
                <w:sz w:val="21"/>
                <w:szCs w:val="21"/>
                <w:highlight w:val="none"/>
              </w:rPr>
              <w:sym w:font="Wingdings 2" w:char="00A3"/>
            </w:r>
            <w:r>
              <w:rPr>
                <w:rFonts w:hint="eastAsia" w:ascii="宋体" w:hAnsi="宋体"/>
                <w:b w:val="0"/>
                <w:bCs/>
                <w:color w:val="auto"/>
                <w:sz w:val="21"/>
                <w:szCs w:val="21"/>
                <w:highlight w:val="none"/>
                <w:lang w:val="en-US" w:eastAsia="zh-CN"/>
              </w:rPr>
              <w:t xml:space="preserve"> </w:t>
            </w:r>
            <w:r>
              <w:rPr>
                <w:rFonts w:hint="eastAsia" w:ascii="宋体" w:hAnsi="宋体"/>
                <w:color w:val="auto"/>
                <w:sz w:val="21"/>
                <w:szCs w:val="21"/>
                <w:highlight w:val="none"/>
              </w:rPr>
              <w:t>四川省</w:t>
            </w:r>
            <w:r>
              <w:rPr>
                <w:rFonts w:hint="eastAsia" w:ascii="宋体" w:hAnsi="宋体"/>
                <w:color w:val="auto"/>
                <w:sz w:val="21"/>
                <w:szCs w:val="21"/>
                <w:highlight w:val="none"/>
                <w:lang w:val="en-US" w:eastAsia="zh-CN"/>
              </w:rPr>
              <w:t>农村公路建设从业单位信用评价等级。</w:t>
            </w:r>
          </w:p>
          <w:p w14:paraId="57B75D7B">
            <w:pPr>
              <w:adjustRightInd w:val="0"/>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2）在国家企业信用信息公示系统</w:t>
            </w:r>
            <w:r>
              <w:rPr>
                <w:rFonts w:ascii="宋体" w:hAnsi="宋体" w:cs="宋体"/>
                <w:bCs/>
                <w:color w:val="auto"/>
                <w:szCs w:val="21"/>
                <w:highlight w:val="none"/>
                <w:u w:val="none"/>
              </w:rPr>
              <w:t>（</w:t>
            </w:r>
            <w:r>
              <w:rPr>
                <w:rFonts w:hint="eastAsia" w:ascii="宋体" w:hAnsi="宋体" w:cs="宋体"/>
                <w:bCs/>
                <w:color w:val="auto"/>
                <w:szCs w:val="21"/>
                <w:highlight w:val="none"/>
                <w:u w:val="none"/>
                <w:lang w:eastAsia="zh-CN"/>
              </w:rPr>
              <w:t>https</w:t>
            </w:r>
            <w:r>
              <w:rPr>
                <w:rFonts w:ascii="宋体" w:hAnsi="宋体" w:cs="宋体"/>
                <w:bCs/>
                <w:color w:val="auto"/>
                <w:szCs w:val="21"/>
                <w:highlight w:val="none"/>
                <w:u w:val="none"/>
              </w:rPr>
              <w:t>：//www.gsxt.gov.cn/</w:t>
            </w:r>
            <w:r>
              <w:rPr>
                <w:rFonts w:hint="eastAsia" w:ascii="宋体" w:hAnsi="宋体" w:cs="宋体"/>
                <w:bCs/>
                <w:color w:val="auto"/>
                <w:szCs w:val="21"/>
                <w:highlight w:val="none"/>
                <w:u w:val="none"/>
              </w:rPr>
              <w:t>）</w:t>
            </w:r>
            <w:r>
              <w:rPr>
                <w:rFonts w:hint="eastAsia" w:ascii="宋体" w:hAnsi="宋体" w:cs="宋体"/>
                <w:bCs/>
                <w:color w:val="auto"/>
                <w:szCs w:val="21"/>
                <w:highlight w:val="none"/>
              </w:rPr>
              <w:t>中被列入严重违法失信企业名单，不得参加投标。（事业单位除外）</w:t>
            </w:r>
          </w:p>
          <w:p w14:paraId="43AC53B4">
            <w:pPr>
              <w:adjustRightInd w:val="0"/>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3）</w:t>
            </w:r>
            <w:r>
              <w:rPr>
                <w:rFonts w:hint="eastAsia" w:asciiTheme="minorEastAsia" w:hAnsiTheme="minorEastAsia" w:eastAsiaTheme="minorEastAsia"/>
                <w:color w:val="auto"/>
                <w:spacing w:val="-4"/>
                <w:highlight w:val="none"/>
              </w:rPr>
              <w:t>对通过“信用中国”网站（</w:t>
            </w:r>
            <w:r>
              <w:rPr>
                <w:rFonts w:hint="eastAsia" w:asciiTheme="minorEastAsia" w:hAnsiTheme="minorEastAsia" w:eastAsiaTheme="minorEastAsia"/>
                <w:color w:val="auto"/>
                <w:spacing w:val="-4"/>
                <w:highlight w:val="none"/>
                <w:lang w:eastAsia="zh-CN"/>
              </w:rPr>
              <w:t>https</w:t>
            </w:r>
            <w:r>
              <w:rPr>
                <w:rFonts w:hint="eastAsia" w:asciiTheme="minorEastAsia" w:hAnsiTheme="minorEastAsia" w:eastAsiaTheme="minorEastAsia"/>
                <w:color w:val="auto"/>
                <w:spacing w:val="-4"/>
                <w:highlight w:val="none"/>
              </w:rPr>
              <w:t>://www.creditchina.gov.cn</w:t>
            </w:r>
            <w:r>
              <w:rPr>
                <w:rFonts w:hint="eastAsia" w:cs="宋体" w:asciiTheme="minorEastAsia" w:hAnsiTheme="minorEastAsia" w:eastAsiaTheme="minorEastAsia"/>
                <w:bCs/>
                <w:color w:val="auto"/>
                <w:highlight w:val="none"/>
              </w:rPr>
              <w:t>/</w:t>
            </w:r>
            <w:r>
              <w:rPr>
                <w:rFonts w:hint="eastAsia" w:asciiTheme="minorEastAsia" w:hAnsiTheme="minorEastAsia" w:eastAsiaTheme="minorEastAsia"/>
                <w:color w:val="auto"/>
                <w:spacing w:val="-4"/>
                <w:highlight w:val="none"/>
              </w:rPr>
              <w:t>）</w:t>
            </w:r>
            <w:r>
              <w:rPr>
                <w:rFonts w:asciiTheme="minorEastAsia" w:hAnsiTheme="minorEastAsia" w:eastAsiaTheme="minorEastAsia"/>
                <w:color w:val="auto"/>
                <w:highlight w:val="none"/>
              </w:rPr>
              <w:t xml:space="preserve"> </w:t>
            </w:r>
            <w:r>
              <w:rPr>
                <w:rFonts w:hint="eastAsia" w:asciiTheme="minorEastAsia" w:hAnsiTheme="minorEastAsia" w:eastAsiaTheme="minorEastAsia"/>
                <w:color w:val="auto"/>
                <w:highlight w:val="none"/>
              </w:rPr>
              <w:t>查询</w:t>
            </w:r>
            <w:r>
              <w:rPr>
                <w:rFonts w:asciiTheme="minorEastAsia" w:hAnsiTheme="minorEastAsia" w:eastAsiaTheme="minorEastAsia"/>
                <w:color w:val="auto"/>
                <w:highlight w:val="none"/>
              </w:rPr>
              <w:t>“失信被执行人”链接</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中国执行信息公开网</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http://zxgk.court.gov.cn/shixin/</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spacing w:val="-4"/>
                <w:highlight w:val="none"/>
              </w:rPr>
              <w:t>中列为失信被执行人的投标人，</w:t>
            </w:r>
            <w:r>
              <w:rPr>
                <w:rFonts w:hint="eastAsia" w:asciiTheme="minorEastAsia" w:hAnsiTheme="minorEastAsia" w:eastAsiaTheme="minorEastAsia"/>
                <w:color w:val="auto"/>
                <w:highlight w:val="none"/>
              </w:rPr>
              <w:t>不得参加投标</w:t>
            </w:r>
            <w:r>
              <w:rPr>
                <w:rFonts w:hint="eastAsia" w:ascii="宋体" w:hAnsi="宋体" w:cs="宋体"/>
                <w:bCs/>
                <w:color w:val="auto"/>
                <w:szCs w:val="21"/>
                <w:highlight w:val="none"/>
              </w:rPr>
              <w:t>。</w:t>
            </w:r>
          </w:p>
          <w:p w14:paraId="19E59873">
            <w:pPr>
              <w:adjustRightInd w:val="0"/>
              <w:snapToGrid w:val="0"/>
              <w:spacing w:line="400" w:lineRule="exact"/>
              <w:rPr>
                <w:rFonts w:ascii="宋体" w:hAnsi="宋体" w:cs="宋体"/>
                <w:color w:val="auto"/>
                <w:szCs w:val="21"/>
                <w:highlight w:val="none"/>
              </w:rPr>
            </w:pPr>
            <w:r>
              <w:rPr>
                <w:rFonts w:hint="eastAsia" w:ascii="宋体" w:hAnsi="宋体" w:cs="宋体"/>
                <w:bCs/>
                <w:color w:val="auto"/>
                <w:szCs w:val="21"/>
                <w:highlight w:val="none"/>
              </w:rPr>
              <w:t>（</w:t>
            </w:r>
            <w:r>
              <w:rPr>
                <w:rFonts w:ascii="宋体" w:hAnsi="宋体" w:cs="宋体"/>
                <w:bCs/>
                <w:color w:val="auto"/>
                <w:szCs w:val="21"/>
                <w:highlight w:val="none"/>
              </w:rPr>
              <w:t>4）在</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日至本项目投标截止日期间，投标人（单位）、法定代表人、</w:t>
            </w:r>
            <w:r>
              <w:rPr>
                <w:rFonts w:hint="eastAsia" w:ascii="宋体" w:hAnsi="宋体" w:cs="宋体"/>
                <w:color w:val="auto"/>
                <w:szCs w:val="21"/>
                <w:highlight w:val="none"/>
                <w:lang w:val="en-US" w:eastAsia="zh-CN"/>
              </w:rPr>
              <w:t>主要人员</w:t>
            </w:r>
            <w:r>
              <w:rPr>
                <w:rFonts w:hint="eastAsia" w:ascii="宋体" w:hAnsi="宋体" w:cs="宋体"/>
                <w:color w:val="auto"/>
                <w:szCs w:val="21"/>
                <w:highlight w:val="none"/>
                <w:lang w:eastAsia="zh-CN"/>
              </w:rPr>
              <w:t>（</w:t>
            </w:r>
            <w:r>
              <w:rPr>
                <w:rFonts w:hint="eastAsia" w:ascii="宋体" w:hAnsi="宋体" w:cs="宋体"/>
                <w:color w:val="auto"/>
                <w:szCs w:val="21"/>
                <w:highlight w:val="none"/>
              </w:rPr>
              <w:sym w:font="Wingdings 2" w:char="00A3"/>
            </w:r>
            <w:r>
              <w:rPr>
                <w:rFonts w:hint="eastAsia" w:ascii="宋体" w:hAnsi="宋体" w:cs="宋体"/>
                <w:color w:val="auto"/>
                <w:szCs w:val="21"/>
                <w:highlight w:val="none"/>
              </w:rPr>
              <w:t>试验室主任、□技术负责人</w:t>
            </w:r>
            <w:r>
              <w:rPr>
                <w:rFonts w:hint="eastAsia" w:ascii="宋体" w:hAnsi="宋体" w:cs="宋体"/>
                <w:color w:val="auto"/>
                <w:szCs w:val="21"/>
                <w:highlight w:val="none"/>
                <w:lang w:eastAsia="zh-CN"/>
              </w:rPr>
              <w:t>）</w:t>
            </w:r>
            <w:r>
              <w:rPr>
                <w:rFonts w:hint="eastAsia" w:ascii="宋体" w:hAnsi="宋体" w:cs="宋体"/>
                <w:color w:val="auto"/>
                <w:szCs w:val="21"/>
                <w:highlight w:val="none"/>
              </w:rPr>
              <w:t>被人民法院生效判决</w:t>
            </w:r>
            <w:r>
              <w:rPr>
                <w:rFonts w:hint="eastAsia" w:ascii="宋体" w:hAnsi="宋体" w:cs="宋体"/>
                <w:color w:val="auto"/>
                <w:szCs w:val="21"/>
                <w:highlight w:val="none"/>
                <w:lang w:val="en-US" w:eastAsia="zh-CN"/>
              </w:rPr>
              <w:t>或裁定认定</w:t>
            </w:r>
            <w:r>
              <w:rPr>
                <w:rFonts w:hint="eastAsia" w:ascii="宋体" w:hAnsi="宋体" w:cs="宋体"/>
                <w:color w:val="auto"/>
                <w:szCs w:val="21"/>
                <w:highlight w:val="none"/>
              </w:rPr>
              <w:t>为行贿犯罪的，不得参加投标</w:t>
            </w:r>
            <w:r>
              <w:rPr>
                <w:rStyle w:val="58"/>
                <w:rFonts w:ascii="宋体" w:hAnsi="宋体" w:cs="宋体"/>
                <w:color w:val="auto"/>
                <w:szCs w:val="21"/>
                <w:highlight w:val="none"/>
              </w:rPr>
              <w:footnoteReference w:id="64"/>
            </w:r>
            <w:r>
              <w:rPr>
                <w:rFonts w:hint="eastAsia" w:ascii="宋体" w:hAnsi="宋体" w:cs="宋体"/>
                <w:color w:val="auto"/>
                <w:szCs w:val="21"/>
                <w:highlight w:val="none"/>
              </w:rPr>
              <w:t>。</w:t>
            </w:r>
          </w:p>
          <w:p w14:paraId="77211BBC">
            <w:pPr>
              <w:adjustRightInd w:val="0"/>
              <w:snapToGrid w:val="0"/>
              <w:spacing w:line="400" w:lineRule="exact"/>
              <w:rPr>
                <w:rFonts w:hint="eastAsia"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bCs/>
                <w:color w:val="auto"/>
                <w:szCs w:val="21"/>
                <w:highlight w:val="none"/>
              </w:rPr>
              <w:t>（</w:t>
            </w:r>
            <w:r>
              <w:rPr>
                <w:rFonts w:ascii="宋体" w:hAnsi="宋体" w:cs="宋体"/>
                <w:bCs/>
                <w:color w:val="auto"/>
                <w:szCs w:val="21"/>
                <w:highlight w:val="none"/>
              </w:rPr>
              <w:t>5）</w:t>
            </w:r>
            <w:r>
              <w:rPr>
                <w:rFonts w:ascii="宋体" w:hAnsi="宋体" w:cs="宋体"/>
                <w:color w:val="auto"/>
                <w:szCs w:val="21"/>
                <w:highlight w:val="none"/>
              </w:rPr>
              <w:t>其他：</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1E70070D">
            <w:pPr>
              <w:adjustRightInd w:val="0"/>
              <w:snapToGrid w:val="0"/>
              <w:spacing w:line="400" w:lineRule="exact"/>
              <w:ind w:firstLine="0"/>
              <w:rPr>
                <w:rFonts w:ascii="宋体" w:hAnsi="宋体" w:cs="宋体"/>
                <w:color w:val="auto"/>
                <w:szCs w:val="21"/>
                <w:highlight w:val="none"/>
                <w:u w:val="single"/>
              </w:rPr>
            </w:pPr>
            <w:r>
              <w:rPr>
                <w:rFonts w:hint="eastAsia" w:ascii="宋体" w:hAnsi="宋体" w:cs="宋体"/>
                <w:b/>
                <w:color w:val="auto"/>
                <w:szCs w:val="21"/>
                <w:highlight w:val="none"/>
              </w:rPr>
              <w:t>□</w:t>
            </w:r>
            <w:r>
              <w:rPr>
                <w:rFonts w:ascii="宋体" w:hAnsi="宋体" w:cs="宋体"/>
                <w:color w:val="auto"/>
                <w:szCs w:val="21"/>
                <w:highlight w:val="none"/>
              </w:rPr>
              <w:t xml:space="preserve"> 联合体应满足下列要求：</w:t>
            </w:r>
            <w:r>
              <w:rPr>
                <w:rFonts w:ascii="宋体" w:hAnsi="宋体" w:cs="宋体"/>
                <w:color w:val="auto"/>
                <w:szCs w:val="21"/>
                <w:highlight w:val="none"/>
                <w:u w:val="single"/>
              </w:rPr>
              <w:t xml:space="preserve">                                 </w:t>
            </w:r>
          </w:p>
          <w:p w14:paraId="1335A77C">
            <w:pPr>
              <w:adjustRightInd w:val="0"/>
              <w:snapToGrid w:val="0"/>
              <w:spacing w:line="400" w:lineRule="exact"/>
              <w:ind w:firstLine="420"/>
              <w:rPr>
                <w:rFonts w:ascii="宋体" w:hAnsi="宋体" w:cs="宋体"/>
                <w:color w:val="auto"/>
                <w:szCs w:val="21"/>
                <w:highlight w:val="none"/>
                <w:u w:val="single"/>
              </w:rPr>
            </w:pPr>
          </w:p>
          <w:p w14:paraId="0C60E515">
            <w:pPr>
              <w:keepNext w:val="0"/>
              <w:keepLines w:val="0"/>
              <w:pageBreakBefore w:val="0"/>
              <w:kinsoku/>
              <w:wordWrap/>
              <w:overflowPunct/>
              <w:topLinePunct w:val="0"/>
              <w:autoSpaceDE/>
              <w:autoSpaceDN/>
              <w:bidi w:val="0"/>
              <w:adjustRightInd w:val="0"/>
              <w:snapToGrid w:val="0"/>
              <w:spacing w:line="400" w:lineRule="exact"/>
              <w:textAlignment w:val="auto"/>
              <w:rPr>
                <w:rFonts w:ascii="宋体" w:hAns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w:t>
            </w:r>
          </w:p>
          <w:p w14:paraId="53E85A54">
            <w:pPr>
              <w:keepNext w:val="0"/>
              <w:keepLines w:val="0"/>
              <w:pageBreakBefore w:val="0"/>
              <w:kinsoku/>
              <w:wordWrap/>
              <w:overflowPunct/>
              <w:topLinePunct w:val="0"/>
              <w:autoSpaceDE/>
              <w:autoSpaceDN/>
              <w:bidi w:val="0"/>
              <w:adjustRightInd w:val="0"/>
              <w:snapToGrid w:val="0"/>
              <w:spacing w:line="400" w:lineRule="exact"/>
              <w:ind w:firstLine="210" w:firstLineChars="1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投标人</w:t>
            </w:r>
            <w:r>
              <w:rPr>
                <w:rFonts w:hint="eastAsia" w:ascii="宋体" w:hAnsi="宋体" w:cs="宋体"/>
                <w:color w:val="auto"/>
                <w:szCs w:val="21"/>
                <w:highlight w:val="none"/>
                <w:lang w:val="en-US" w:eastAsia="zh-CN"/>
              </w:rPr>
              <w:t>信誉要求中第（1）</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（3）项</w:t>
            </w:r>
            <w:r>
              <w:rPr>
                <w:rFonts w:ascii="宋体" w:hAnsi="宋体" w:cs="宋体"/>
                <w:color w:val="auto"/>
                <w:szCs w:val="21"/>
                <w:highlight w:val="none"/>
              </w:rPr>
              <w:t>均以招标人投标截止</w:t>
            </w:r>
            <w:r>
              <w:rPr>
                <w:rFonts w:hint="eastAsia" w:ascii="宋体" w:hAnsi="宋体" w:cs="宋体"/>
                <w:color w:val="auto"/>
                <w:szCs w:val="21"/>
                <w:highlight w:val="none"/>
                <w:lang w:val="en-US" w:eastAsia="zh-CN"/>
              </w:rPr>
              <w:t>时间</w:t>
            </w:r>
            <w:r>
              <w:rPr>
                <w:rFonts w:ascii="宋体" w:hAnsi="宋体" w:cs="宋体"/>
                <w:color w:val="auto"/>
                <w:szCs w:val="21"/>
                <w:highlight w:val="none"/>
              </w:rPr>
              <w:t>核查的</w:t>
            </w:r>
            <w:r>
              <w:rPr>
                <w:rFonts w:hint="eastAsia" w:ascii="宋体" w:hAnsi="宋体" w:cs="宋体"/>
                <w:color w:val="auto"/>
                <w:szCs w:val="21"/>
                <w:highlight w:val="none"/>
                <w:lang w:val="en-US" w:eastAsia="zh-CN"/>
              </w:rPr>
              <w:t>上述对应网站</w:t>
            </w:r>
            <w:r>
              <w:rPr>
                <w:rFonts w:hint="eastAsia" w:ascii="宋体" w:hAnsi="宋体" w:cs="宋体"/>
                <w:color w:val="auto"/>
                <w:szCs w:val="21"/>
                <w:highlight w:val="none"/>
              </w:rPr>
              <w:t>投标人</w:t>
            </w:r>
            <w:r>
              <w:rPr>
                <w:rFonts w:ascii="宋体" w:hAnsi="宋体" w:cs="宋体"/>
                <w:color w:val="auto"/>
                <w:szCs w:val="21"/>
                <w:highlight w:val="none"/>
              </w:rPr>
              <w:t>信息内容为准</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第（4）项以投标人投标文件中提交的承诺函为准。</w:t>
            </w:r>
          </w:p>
          <w:p w14:paraId="4D2E1C32">
            <w:pPr>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lang w:val="en-US" w:eastAsia="zh-CN"/>
              </w:rPr>
              <w:t>2.允许联合体投标时，若以联合体形式投标的，所有成员均应满足本表</w:t>
            </w:r>
            <w:r>
              <w:rPr>
                <w:rFonts w:hint="eastAsia" w:ascii="宋体" w:hAnsi="宋体" w:cs="宋体"/>
                <w:bCs/>
                <w:color w:val="auto"/>
                <w:szCs w:val="21"/>
                <w:highlight w:val="none"/>
                <w:lang w:val="en-US" w:eastAsia="zh-CN"/>
              </w:rPr>
              <w:t>要求</w:t>
            </w:r>
            <w:r>
              <w:rPr>
                <w:rFonts w:hint="eastAsia" w:ascii="宋体" w:hAnsi="宋体" w:cs="宋体"/>
                <w:color w:val="auto"/>
                <w:szCs w:val="21"/>
                <w:highlight w:val="none"/>
                <w:lang w:eastAsia="zh-CN"/>
              </w:rPr>
              <w:t>。</w:t>
            </w:r>
          </w:p>
        </w:tc>
      </w:tr>
      <w:tr w14:paraId="1F57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977" w:type="dxa"/>
            <w:vAlign w:val="center"/>
          </w:tcPr>
          <w:p w14:paraId="19BE5739">
            <w:pPr>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7807" w:type="dxa"/>
            <w:vAlign w:val="center"/>
          </w:tcPr>
          <w:p w14:paraId="397D53FF">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p>
        </w:tc>
      </w:tr>
    </w:tbl>
    <w:p w14:paraId="5156530F">
      <w:pPr>
        <w:pStyle w:val="276"/>
        <w:rPr>
          <w:rFonts w:ascii="宋体" w:hAnsi="宋体" w:cs="宋体"/>
          <w:color w:val="auto"/>
          <w:highlight w:val="none"/>
        </w:rPr>
      </w:pPr>
    </w:p>
    <w:p w14:paraId="4907DA26">
      <w:pPr>
        <w:pStyle w:val="276"/>
        <w:rPr>
          <w:rFonts w:ascii="宋体" w:hAnsi="宋体" w:cs="宋体"/>
          <w:color w:val="auto"/>
          <w:highlight w:val="none"/>
        </w:rPr>
      </w:pPr>
    </w:p>
    <w:p w14:paraId="39CA0215">
      <w:pPr>
        <w:widowControl/>
        <w:jc w:val="left"/>
        <w:rPr>
          <w:rFonts w:ascii="黑体" w:hAnsi="黑体" w:eastAsia="黑体" w:cs="黑体"/>
          <w:b/>
          <w:bCs/>
          <w:color w:val="auto"/>
          <w:kern w:val="0"/>
          <w:sz w:val="28"/>
          <w:szCs w:val="28"/>
          <w:highlight w:val="none"/>
        </w:rPr>
      </w:pPr>
      <w:bookmarkStart w:id="75" w:name="_Toc28187714"/>
      <w:bookmarkStart w:id="76" w:name="_Toc523921591"/>
      <w:r>
        <w:rPr>
          <w:rFonts w:ascii="黑体" w:hAnsi="黑体" w:eastAsia="黑体" w:cs="黑体"/>
          <w:color w:val="auto"/>
          <w:szCs w:val="28"/>
          <w:highlight w:val="none"/>
        </w:rPr>
        <w:br w:type="page"/>
      </w:r>
    </w:p>
    <w:p w14:paraId="27DC1124">
      <w:pPr>
        <w:pStyle w:val="6"/>
        <w:ind w:firstLine="1968" w:firstLineChars="700"/>
        <w:rPr>
          <w:rFonts w:ascii="Calibri" w:hAnsi="Calibri" w:eastAsia="黑体" w:cs="Times New Roman"/>
          <w:szCs w:val="32"/>
        </w:rPr>
      </w:pPr>
      <w:bookmarkStart w:id="77" w:name="_Toc74760817"/>
      <w:r>
        <w:rPr>
          <w:rFonts w:hint="default" w:ascii="Calibri" w:hAnsi="Calibri" w:eastAsia="黑体" w:cs="Times New Roman"/>
          <w:szCs w:val="32"/>
        </w:rPr>
        <w:t>附录</w:t>
      </w:r>
      <w:r>
        <w:rPr>
          <w:rFonts w:ascii="Calibri" w:hAnsi="Calibri" w:eastAsia="黑体" w:cs="Times New Roman"/>
          <w:szCs w:val="32"/>
        </w:rPr>
        <w:t xml:space="preserve">4  </w:t>
      </w:r>
      <w:r>
        <w:rPr>
          <w:rFonts w:hint="default" w:ascii="Calibri" w:hAnsi="Calibri" w:eastAsia="黑体" w:cs="Times New Roman"/>
          <w:szCs w:val="32"/>
        </w:rPr>
        <w:t>资格审查条件（主要人员最低要求）</w:t>
      </w:r>
      <w:r>
        <w:rPr>
          <w:rFonts w:ascii="Calibri" w:hAnsi="Calibri" w:eastAsia="黑体" w:cs="Times New Roman"/>
          <w:szCs w:val="32"/>
          <w:vertAlign w:val="superscript"/>
        </w:rPr>
        <w:footnoteReference w:id="65"/>
      </w:r>
      <w:bookmarkEnd w:id="75"/>
      <w:bookmarkEnd w:id="76"/>
      <w:bookmarkEnd w:id="77"/>
    </w:p>
    <w:p w14:paraId="17FC64B9">
      <w:pPr>
        <w:pStyle w:val="276"/>
        <w:spacing w:line="360" w:lineRule="auto"/>
        <w:jc w:val="center"/>
        <w:rPr>
          <w:rFonts w:ascii="黑体" w:hAnsi="黑体" w:eastAsia="黑体" w:cs="宋体"/>
          <w:bCs/>
          <w:color w:val="auto"/>
          <w:sz w:val="24"/>
          <w:highlight w:val="none"/>
        </w:rPr>
      </w:pPr>
      <w:r>
        <w:rPr>
          <w:rFonts w:hint="eastAsia" w:ascii="黑体" w:hAnsi="黑体" w:eastAsia="黑体" w:cs="宋体"/>
          <w:bCs/>
          <w:color w:val="auto"/>
          <w:sz w:val="24"/>
          <w:highlight w:val="none"/>
        </w:rPr>
        <w:t>试验室主任</w:t>
      </w:r>
    </w:p>
    <w:tbl>
      <w:tblPr>
        <w:tblStyle w:val="4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84"/>
        <w:gridCol w:w="5580"/>
        <w:gridCol w:w="1418"/>
      </w:tblGrid>
      <w:tr w14:paraId="5597E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blHeader/>
          <w:jc w:val="center"/>
        </w:trPr>
        <w:tc>
          <w:tcPr>
            <w:tcW w:w="1044" w:type="dxa"/>
            <w:vAlign w:val="center"/>
          </w:tcPr>
          <w:p w14:paraId="609E8F69">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标段</w:t>
            </w:r>
          </w:p>
        </w:tc>
        <w:tc>
          <w:tcPr>
            <w:tcW w:w="884" w:type="dxa"/>
            <w:vAlign w:val="center"/>
          </w:tcPr>
          <w:p w14:paraId="0BD30748">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5580" w:type="dxa"/>
            <w:vAlign w:val="center"/>
          </w:tcPr>
          <w:p w14:paraId="2FBBE00F">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c>
          <w:tcPr>
            <w:tcW w:w="1418" w:type="dxa"/>
            <w:vAlign w:val="center"/>
          </w:tcPr>
          <w:p w14:paraId="0DDB6D51">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在岗情况</w:t>
            </w:r>
            <w:r>
              <w:rPr>
                <w:rStyle w:val="58"/>
                <w:rFonts w:ascii="宋体" w:hAnsi="宋体" w:cs="宋体"/>
                <w:color w:val="auto"/>
                <w:szCs w:val="21"/>
                <w:highlight w:val="none"/>
              </w:rPr>
              <w:footnoteReference w:id="66"/>
            </w:r>
          </w:p>
        </w:tc>
      </w:tr>
      <w:tr w14:paraId="1098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9" w:hRule="atLeast"/>
          <w:jc w:val="center"/>
        </w:trPr>
        <w:tc>
          <w:tcPr>
            <w:tcW w:w="1044" w:type="dxa"/>
            <w:vAlign w:val="center"/>
          </w:tcPr>
          <w:p w14:paraId="587453B8">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 xml:space="preserve">   </w:t>
            </w:r>
          </w:p>
        </w:tc>
        <w:tc>
          <w:tcPr>
            <w:tcW w:w="884" w:type="dxa"/>
            <w:vAlign w:val="center"/>
          </w:tcPr>
          <w:p w14:paraId="1DFACF67">
            <w:pPr>
              <w:pStyle w:val="276"/>
              <w:adjustRightInd w:val="0"/>
              <w:snapToGrid w:val="0"/>
              <w:spacing w:line="400" w:lineRule="exact"/>
              <w:rPr>
                <w:rFonts w:ascii="宋体" w:hAnsi="宋体" w:cs="宋体"/>
                <w:color w:val="auto"/>
                <w:szCs w:val="21"/>
                <w:highlight w:val="none"/>
              </w:rPr>
            </w:pPr>
          </w:p>
        </w:tc>
        <w:tc>
          <w:tcPr>
            <w:tcW w:w="5580" w:type="dxa"/>
            <w:vAlign w:val="center"/>
          </w:tcPr>
          <w:p w14:paraId="6B5E3305">
            <w:pPr>
              <w:pStyle w:val="276"/>
              <w:adjustRightInd w:val="0"/>
              <w:snapToGrid w:val="0"/>
              <w:spacing w:line="400" w:lineRule="exact"/>
              <w:ind w:left="527" w:hanging="527" w:hangingChars="250"/>
              <w:rPr>
                <w:rFonts w:hint="eastAsia" w:ascii="宋体" w:hAnsi="宋体" w:eastAsia="宋体" w:cs="宋体"/>
                <w:color w:val="auto"/>
                <w:szCs w:val="21"/>
                <w:highlight w:val="none"/>
                <w:lang w:val="en-US" w:eastAsia="zh-CN"/>
              </w:rPr>
            </w:pPr>
            <w:r>
              <w:rPr>
                <w:rFonts w:hint="eastAsia" w:ascii="宋体" w:hAnsi="宋体" w:cs="宋体"/>
                <w:b/>
                <w:color w:val="auto"/>
                <w:szCs w:val="21"/>
                <w:highlight w:val="none"/>
              </w:rPr>
              <w:t>□</w:t>
            </w:r>
            <w:r>
              <w:rPr>
                <w:rFonts w:ascii="宋体" w:hAnsi="宋体" w:cs="宋体"/>
                <w:color w:val="auto"/>
                <w:szCs w:val="21"/>
                <w:highlight w:val="none"/>
              </w:rPr>
              <w:t xml:space="preserve"> 具有</w:t>
            </w:r>
            <w:r>
              <w:rPr>
                <w:rFonts w:ascii="宋体" w:hAnsi="宋体" w:cs="宋体"/>
                <w:color w:val="auto"/>
                <w:szCs w:val="21"/>
                <w:highlight w:val="none"/>
                <w:u w:val="single"/>
              </w:rPr>
              <w:t xml:space="preserve">    </w:t>
            </w:r>
            <w:r>
              <w:rPr>
                <w:rFonts w:hint="eastAsia" w:ascii="宋体" w:hAnsi="宋体" w:cs="宋体"/>
                <w:color w:val="auto"/>
                <w:szCs w:val="21"/>
                <w:highlight w:val="none"/>
              </w:rPr>
              <w:t>（专业）（□工程师；□高级工程师）</w:t>
            </w:r>
            <w:r>
              <w:rPr>
                <w:rStyle w:val="58"/>
                <w:rFonts w:ascii="宋体" w:hAnsi="宋体" w:cs="宋体"/>
                <w:color w:val="auto"/>
                <w:szCs w:val="21"/>
                <w:highlight w:val="none"/>
              </w:rPr>
              <w:footnoteReference w:id="67"/>
            </w:r>
            <w:r>
              <w:rPr>
                <w:rFonts w:hint="eastAsia" w:ascii="宋体" w:hAnsi="宋体" w:cs="宋体"/>
                <w:color w:val="auto"/>
                <w:szCs w:val="21"/>
                <w:highlight w:val="none"/>
              </w:rPr>
              <w:t>及以上</w:t>
            </w:r>
          </w:p>
          <w:p w14:paraId="67C723D4">
            <w:pPr>
              <w:pStyle w:val="276"/>
              <w:adjustRightInd w:val="0"/>
              <w:snapToGrid w:val="0"/>
              <w:spacing w:line="400" w:lineRule="exact"/>
              <w:ind w:left="525" w:hanging="525" w:hangingChars="250"/>
              <w:rPr>
                <w:rFonts w:ascii="宋体" w:hAns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rPr>
              <w:t>职称；</w:t>
            </w:r>
          </w:p>
          <w:p w14:paraId="2C63B5E9">
            <w:pPr>
              <w:spacing w:line="400" w:lineRule="exact"/>
              <w:rPr>
                <w:color w:val="auto"/>
                <w:szCs w:val="21"/>
                <w:highlight w:val="none"/>
              </w:rPr>
            </w:pPr>
            <w:r>
              <w:rPr>
                <w:rFonts w:hint="eastAsia" w:ascii="宋体" w:hAnsi="宋体" w:cs="宋体"/>
                <w:b/>
                <w:color w:val="auto"/>
                <w:szCs w:val="21"/>
                <w:highlight w:val="none"/>
              </w:rPr>
              <w:t xml:space="preserve">□ </w:t>
            </w:r>
            <w:r>
              <w:rPr>
                <w:rFonts w:ascii="宋体" w:hAnsi="宋体" w:cs="宋体"/>
                <w:color w:val="auto"/>
                <w:szCs w:val="21"/>
                <w:highlight w:val="none"/>
              </w:rPr>
              <w:t>具有交通运输相关部门颁发的</w:t>
            </w:r>
            <w:r>
              <w:rPr>
                <w:rFonts w:hint="eastAsia"/>
                <w:color w:val="auto"/>
                <w:szCs w:val="21"/>
                <w:highlight w:val="none"/>
              </w:rPr>
              <w:t>公路水运工程试验检测工</w:t>
            </w:r>
          </w:p>
          <w:p w14:paraId="6749737D">
            <w:pPr>
              <w:spacing w:line="400" w:lineRule="exact"/>
              <w:rPr>
                <w:color w:val="auto"/>
                <w:szCs w:val="21"/>
                <w:highlight w:val="none"/>
              </w:rPr>
            </w:pPr>
            <w:r>
              <w:rPr>
                <w:rFonts w:hint="eastAsia"/>
                <w:color w:val="auto"/>
                <w:szCs w:val="21"/>
                <w:highlight w:val="none"/>
              </w:rPr>
              <w:t xml:space="preserve"> </w:t>
            </w:r>
            <w:r>
              <w:rPr>
                <w:color w:val="auto"/>
                <w:szCs w:val="21"/>
                <w:highlight w:val="none"/>
              </w:rPr>
              <w:t xml:space="preserve">  </w:t>
            </w:r>
            <w:r>
              <w:rPr>
                <w:rFonts w:hint="eastAsia"/>
                <w:color w:val="auto"/>
                <w:szCs w:val="21"/>
                <w:highlight w:val="none"/>
              </w:rPr>
              <w:t>程师</w:t>
            </w:r>
            <w:r>
              <w:rPr>
                <w:rFonts w:ascii="宋体" w:hAnsi="宋体" w:cs="宋体"/>
                <w:color w:val="auto"/>
                <w:szCs w:val="21"/>
                <w:highlight w:val="none"/>
              </w:rPr>
              <w:t>证书</w:t>
            </w:r>
            <w:r>
              <w:rPr>
                <w:rStyle w:val="58"/>
                <w:rFonts w:ascii="宋体" w:hAnsi="宋体" w:cs="宋体"/>
                <w:color w:val="auto"/>
                <w:szCs w:val="21"/>
                <w:highlight w:val="none"/>
              </w:rPr>
              <w:footnoteReference w:id="68"/>
            </w:r>
            <w:r>
              <w:rPr>
                <w:rFonts w:hint="eastAsia" w:ascii="宋体" w:hAnsi="宋体" w:cs="宋体"/>
                <w:color w:val="auto"/>
                <w:szCs w:val="21"/>
                <w:highlight w:val="none"/>
              </w:rPr>
              <w:t>；</w:t>
            </w:r>
          </w:p>
          <w:p w14:paraId="0973B544">
            <w:pPr>
              <w:adjustRightInd w:val="0"/>
              <w:snapToGrid w:val="0"/>
              <w:spacing w:line="400" w:lineRule="exact"/>
              <w:ind w:left="422" w:hanging="422" w:hangingChars="200"/>
              <w:rPr>
                <w:rFonts w:ascii="宋体" w:hAnsi="宋体" w:cs="宋体"/>
                <w:bCs/>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bCs/>
                <w:color w:val="auto"/>
                <w:szCs w:val="21"/>
                <w:highlight w:val="none"/>
              </w:rPr>
              <w:t>投标截止日所在月上个月或上上个月起之前在其投标单</w:t>
            </w:r>
          </w:p>
          <w:p w14:paraId="4855D9DA">
            <w:pPr>
              <w:pStyle w:val="276"/>
              <w:adjustRightInd w:val="0"/>
              <w:snapToGrid w:val="0"/>
              <w:spacing w:line="400" w:lineRule="exact"/>
              <w:ind w:left="316" w:hanging="316" w:hangingChars="150"/>
              <w:rPr>
                <w:rFonts w:ascii="宋体" w:hAnsi="宋体" w:cs="宋体"/>
                <w:color w:val="auto"/>
                <w:szCs w:val="21"/>
                <w:highlight w:val="none"/>
              </w:rPr>
            </w:pPr>
            <w:r>
              <w:rPr>
                <w:rFonts w:hint="eastAsia" w:ascii="宋体" w:hAnsi="宋体" w:cs="宋体"/>
                <w:b/>
                <w:color w:val="auto"/>
                <w:szCs w:val="21"/>
                <w:highlight w:val="none"/>
              </w:rPr>
              <w:t xml:space="preserve"> </w:t>
            </w:r>
            <w:r>
              <w:rPr>
                <w:rFonts w:ascii="宋体" w:hAnsi="宋体" w:cs="宋体"/>
                <w:b/>
                <w:color w:val="auto"/>
                <w:szCs w:val="21"/>
                <w:highlight w:val="none"/>
              </w:rPr>
              <w:t xml:space="preserve">  </w:t>
            </w:r>
            <w:r>
              <w:rPr>
                <w:rFonts w:hint="eastAsia" w:ascii="宋体" w:hAnsi="宋体" w:cs="宋体"/>
                <w:bCs/>
                <w:color w:val="auto"/>
                <w:szCs w:val="21"/>
                <w:highlight w:val="none"/>
              </w:rPr>
              <w:t>位连续</w:t>
            </w:r>
            <w:r>
              <w:rPr>
                <w:rFonts w:ascii="宋体" w:hAnsi="宋体" w:cs="宋体"/>
                <w:bCs/>
                <w:color w:val="auto"/>
                <w:szCs w:val="21"/>
                <w:highlight w:val="none"/>
              </w:rPr>
              <w:t>6个月参加社保</w:t>
            </w:r>
            <w:r>
              <w:rPr>
                <w:rFonts w:hint="eastAsia" w:ascii="宋体" w:hAnsi="宋体" w:cs="宋体"/>
                <w:color w:val="auto"/>
                <w:szCs w:val="21"/>
                <w:highlight w:val="none"/>
              </w:rPr>
              <w:t>；</w:t>
            </w:r>
          </w:p>
          <w:p w14:paraId="329BE29D">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rPr>
              <w:t>个</w:t>
            </w:r>
            <w:r>
              <w:rPr>
                <w:rStyle w:val="58"/>
                <w:rFonts w:ascii="宋体" w:hAnsi="宋体" w:cs="宋体"/>
                <w:color w:val="auto"/>
                <w:szCs w:val="21"/>
                <w:highlight w:val="none"/>
              </w:rPr>
              <w:footnoteReference w:id="69"/>
            </w:r>
            <w:r>
              <w:rPr>
                <w:rFonts w:hint="eastAsia" w:ascii="宋体" w:hAnsi="宋体" w:cs="宋体"/>
                <w:color w:val="auto"/>
                <w:szCs w:val="21"/>
                <w:highlight w:val="none"/>
              </w:rPr>
              <w:t>国内新建或改扩建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公路路</w:t>
            </w:r>
            <w:r>
              <w:rPr>
                <w:rFonts w:ascii="宋体" w:hAnsi="宋体" w:cs="宋体"/>
                <w:color w:val="auto"/>
                <w:szCs w:val="21"/>
                <w:highlight w:val="none"/>
              </w:rPr>
              <w:t>基</w:t>
            </w:r>
          </w:p>
          <w:p w14:paraId="27461836">
            <w:pPr>
              <w:pStyle w:val="276"/>
              <w:adjustRightInd w:val="0"/>
              <w:snapToGrid w:val="0"/>
              <w:spacing w:line="400" w:lineRule="exact"/>
              <w:ind w:firstLine="210" w:firstLineChars="100"/>
              <w:rPr>
                <w:rFonts w:ascii="宋体" w:hAns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土建工程</w:t>
            </w:r>
            <w:r>
              <w:rPr>
                <w:rStyle w:val="58"/>
                <w:rFonts w:ascii="宋体" w:hAnsi="宋体" w:cs="宋体"/>
                <w:color w:val="auto"/>
                <w:szCs w:val="21"/>
                <w:highlight w:val="none"/>
              </w:rPr>
              <w:footnoteReference w:id="70"/>
            </w:r>
            <w:r>
              <w:rPr>
                <w:rFonts w:hint="eastAsia" w:ascii="宋体" w:hAnsi="宋体" w:cs="宋体"/>
                <w:color w:val="auto"/>
                <w:szCs w:val="21"/>
                <w:highlight w:val="none"/>
              </w:rPr>
              <w:t>监理试验室项目</w:t>
            </w:r>
            <w:r>
              <w:rPr>
                <w:rFonts w:ascii="宋体" w:hAnsi="宋体" w:cs="宋体"/>
                <w:color w:val="auto"/>
                <w:szCs w:val="21"/>
                <w:highlight w:val="none"/>
                <w:vertAlign w:val="superscript"/>
              </w:rPr>
              <w:footnoteReference w:id="71"/>
            </w:r>
            <w:r>
              <w:rPr>
                <w:rFonts w:hint="eastAsia" w:ascii="宋体" w:hAnsi="宋体" w:cs="宋体"/>
                <w:color w:val="auto"/>
                <w:szCs w:val="21"/>
                <w:highlight w:val="none"/>
              </w:rPr>
              <w:t>中担任过（□试验室主任</w:t>
            </w:r>
            <w:r>
              <w:rPr>
                <w:rFonts w:hint="eastAsia" w:ascii="宋体" w:hAnsi="宋体" w:cs="宋体"/>
                <w:color w:val="auto"/>
                <w:szCs w:val="21"/>
                <w:highlight w:val="none"/>
                <w:lang w:eastAsia="zh-CN"/>
              </w:rPr>
              <w:t>、</w:t>
            </w:r>
          </w:p>
          <w:p w14:paraId="6BBCACEF">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技术负责人）</w:t>
            </w:r>
            <w:r>
              <w:rPr>
                <w:rStyle w:val="58"/>
                <w:rFonts w:ascii="宋体" w:hAnsi="宋体" w:cs="宋体"/>
                <w:color w:val="auto"/>
                <w:szCs w:val="21"/>
                <w:highlight w:val="none"/>
              </w:rPr>
              <w:footnoteReference w:id="72"/>
            </w:r>
            <w:r>
              <w:rPr>
                <w:rFonts w:hint="eastAsia" w:ascii="宋体" w:hAnsi="宋体" w:cs="宋体"/>
                <w:color w:val="auto"/>
                <w:szCs w:val="21"/>
                <w:highlight w:val="none"/>
              </w:rPr>
              <w:t>职务。</w:t>
            </w:r>
          </w:p>
          <w:p w14:paraId="0269A7B5">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在</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个国内新建或改扩建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公路路面工程</w:t>
            </w:r>
          </w:p>
          <w:p w14:paraId="604FD2E6">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监理试验室项目中担任过（□试验室主任</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技术负</w:t>
            </w:r>
          </w:p>
          <w:p w14:paraId="548C8EE3">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责人）职务。</w:t>
            </w:r>
          </w:p>
          <w:p w14:paraId="2B974B5E">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b/>
                <w:color w:val="auto"/>
                <w:szCs w:val="21"/>
                <w:highlight w:val="none"/>
              </w:rPr>
              <w:t>□</w:t>
            </w:r>
            <w:r>
              <w:rPr>
                <w:rFonts w:ascii="宋体" w:hAnsi="宋体" w:cs="宋体"/>
                <w:color w:val="auto"/>
                <w:szCs w:val="21"/>
                <w:highlight w:val="none"/>
              </w:rPr>
              <w:t xml:space="preserve"> 其他</w:t>
            </w:r>
            <w:r>
              <w:rPr>
                <w:rStyle w:val="58"/>
                <w:rFonts w:ascii="宋体" w:hAnsi="宋体" w:cs="宋体"/>
                <w:color w:val="auto"/>
                <w:szCs w:val="21"/>
                <w:highlight w:val="none"/>
              </w:rPr>
              <w:footnoteReference w:id="73"/>
            </w:r>
            <w:r>
              <w:rPr>
                <w:rFonts w:ascii="宋体" w:hAnsi="宋体" w:cs="宋体"/>
                <w:color w:val="auto"/>
                <w:szCs w:val="21"/>
                <w:highlight w:val="none"/>
              </w:rPr>
              <w:t>：</w:t>
            </w:r>
            <w:r>
              <w:rPr>
                <w:rFonts w:ascii="宋体" w:hAnsi="宋体" w:cs="宋体"/>
                <w:color w:val="auto"/>
                <w:szCs w:val="21"/>
                <w:highlight w:val="none"/>
                <w:u w:val="single"/>
              </w:rPr>
              <w:t xml:space="preserve">          </w:t>
            </w:r>
          </w:p>
          <w:p w14:paraId="0FFFE90D">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b/>
                <w:color w:val="auto"/>
                <w:szCs w:val="21"/>
                <w:highlight w:val="none"/>
              </w:rPr>
              <w:t>□</w:t>
            </w:r>
            <w:r>
              <w:rPr>
                <w:rFonts w:ascii="宋体" w:hAnsi="宋体" w:cs="宋体"/>
                <w:color w:val="auto"/>
                <w:szCs w:val="21"/>
                <w:highlight w:val="none"/>
              </w:rPr>
              <w:t xml:space="preserve"> 联合体应满足下列要求： </w:t>
            </w:r>
            <w:r>
              <w:rPr>
                <w:rFonts w:ascii="宋体" w:hAnsi="宋体" w:cs="宋体"/>
                <w:color w:val="auto"/>
                <w:szCs w:val="21"/>
                <w:highlight w:val="none"/>
                <w:u w:val="single"/>
              </w:rPr>
              <w:t xml:space="preserve">                 </w:t>
            </w:r>
          </w:p>
        </w:tc>
        <w:tc>
          <w:tcPr>
            <w:tcW w:w="1418" w:type="dxa"/>
            <w:vAlign w:val="center"/>
          </w:tcPr>
          <w:p w14:paraId="6057617B">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无在岗项目（指目前未在其他项目上任职，或虽在其他项目上任职但本项目中标后能够从该项目撤离）</w:t>
            </w:r>
          </w:p>
        </w:tc>
      </w:tr>
      <w:tr w14:paraId="52F4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44" w:type="dxa"/>
            <w:vAlign w:val="center"/>
          </w:tcPr>
          <w:p w14:paraId="1D791E1E">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884" w:type="dxa"/>
            <w:vAlign w:val="center"/>
          </w:tcPr>
          <w:p w14:paraId="0D509D95">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580" w:type="dxa"/>
            <w:vAlign w:val="center"/>
          </w:tcPr>
          <w:p w14:paraId="2897EE3E">
            <w:pPr>
              <w:pStyle w:val="276"/>
              <w:adjustRightInd w:val="0"/>
              <w:snapToGrid w:val="0"/>
              <w:spacing w:line="400" w:lineRule="exact"/>
              <w:ind w:left="525" w:hanging="525" w:hangingChars="250"/>
              <w:jc w:val="left"/>
              <w:rPr>
                <w:rFonts w:ascii="宋体" w:hAnsi="宋体" w:cs="宋体"/>
                <w:color w:val="auto"/>
                <w:szCs w:val="21"/>
                <w:highlight w:val="none"/>
              </w:rPr>
            </w:pPr>
            <w:r>
              <w:rPr>
                <w:rFonts w:hint="eastAsia" w:ascii="宋体" w:hAnsi="宋体" w:cs="宋体"/>
                <w:color w:val="auto"/>
                <w:szCs w:val="21"/>
                <w:highlight w:val="none"/>
              </w:rPr>
              <w:t>……</w:t>
            </w:r>
          </w:p>
        </w:tc>
        <w:tc>
          <w:tcPr>
            <w:tcW w:w="1418" w:type="dxa"/>
            <w:vAlign w:val="center"/>
          </w:tcPr>
          <w:p w14:paraId="722E7E56">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bl>
    <w:p w14:paraId="5038AA97">
      <w:pPr>
        <w:pStyle w:val="276"/>
        <w:adjustRightInd w:val="0"/>
        <w:snapToGrid w:val="0"/>
        <w:spacing w:line="360" w:lineRule="auto"/>
        <w:jc w:val="center"/>
        <w:rPr>
          <w:rFonts w:ascii="宋体" w:hAnsi="宋体" w:cs="宋体"/>
          <w:b/>
          <w:bCs/>
          <w:color w:val="auto"/>
          <w:sz w:val="28"/>
          <w:szCs w:val="28"/>
          <w:highlight w:val="none"/>
        </w:rPr>
      </w:pPr>
    </w:p>
    <w:p w14:paraId="6D4AB9EF">
      <w:pPr>
        <w:pStyle w:val="276"/>
        <w:adjustRightInd w:val="0"/>
        <w:snapToGrid w:val="0"/>
        <w:spacing w:line="360" w:lineRule="auto"/>
        <w:jc w:val="center"/>
        <w:rPr>
          <w:rFonts w:ascii="黑体" w:hAnsi="黑体" w:eastAsia="黑体" w:cs="宋体"/>
          <w:color w:val="auto"/>
          <w:sz w:val="24"/>
          <w:highlight w:val="none"/>
        </w:rPr>
      </w:pPr>
      <w:r>
        <w:rPr>
          <w:rFonts w:ascii="宋体" w:hAnsi="宋体" w:cs="宋体"/>
          <w:b/>
          <w:bCs/>
          <w:color w:val="auto"/>
          <w:sz w:val="28"/>
          <w:szCs w:val="28"/>
          <w:highlight w:val="none"/>
        </w:rPr>
        <w:br w:type="page"/>
      </w:r>
      <w:r>
        <w:rPr>
          <w:rFonts w:hint="eastAsia" w:ascii="黑体" w:hAnsi="黑体" w:eastAsia="黑体" w:cs="宋体"/>
          <w:bCs/>
          <w:color w:val="auto"/>
          <w:sz w:val="24"/>
          <w:highlight w:val="none"/>
        </w:rPr>
        <w:t>□</w:t>
      </w:r>
      <w:r>
        <w:rPr>
          <w:rFonts w:ascii="黑体" w:hAnsi="黑体" w:eastAsia="黑体" w:cs="宋体"/>
          <w:bCs/>
          <w:color w:val="auto"/>
          <w:sz w:val="24"/>
          <w:highlight w:val="none"/>
        </w:rPr>
        <w:t xml:space="preserve"> </w:t>
      </w:r>
      <w:r>
        <w:rPr>
          <w:rFonts w:hint="eastAsia" w:ascii="黑体" w:hAnsi="黑体" w:eastAsia="黑体" w:cs="宋体"/>
          <w:color w:val="auto"/>
          <w:sz w:val="24"/>
          <w:highlight w:val="none"/>
        </w:rPr>
        <w:t>技术负责人</w:t>
      </w:r>
    </w:p>
    <w:tbl>
      <w:tblPr>
        <w:tblStyle w:val="48"/>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957"/>
        <w:gridCol w:w="5490"/>
        <w:gridCol w:w="1418"/>
      </w:tblGrid>
      <w:tr w14:paraId="2BE71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61" w:type="dxa"/>
            <w:vAlign w:val="center"/>
          </w:tcPr>
          <w:p w14:paraId="57508077">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标段</w:t>
            </w:r>
          </w:p>
        </w:tc>
        <w:tc>
          <w:tcPr>
            <w:tcW w:w="957" w:type="dxa"/>
            <w:vAlign w:val="center"/>
          </w:tcPr>
          <w:p w14:paraId="215A7DE6">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5490" w:type="dxa"/>
            <w:vAlign w:val="center"/>
          </w:tcPr>
          <w:p w14:paraId="711F8570">
            <w:pPr>
              <w:pStyle w:val="276"/>
              <w:adjustRightInd w:val="0"/>
              <w:snapToGrid w:val="0"/>
              <w:spacing w:line="400" w:lineRule="exact"/>
              <w:ind w:left="525" w:hanging="525" w:hangingChars="250"/>
              <w:jc w:val="center"/>
              <w:rPr>
                <w:rFonts w:ascii="宋体" w:hAnsi="宋体" w:cs="宋体"/>
                <w:color w:val="auto"/>
                <w:szCs w:val="21"/>
                <w:highlight w:val="none"/>
              </w:rPr>
            </w:pPr>
            <w:r>
              <w:rPr>
                <w:rFonts w:hint="eastAsia" w:ascii="宋体" w:hAnsi="宋体" w:cs="宋体"/>
                <w:color w:val="auto"/>
                <w:szCs w:val="21"/>
                <w:highlight w:val="none"/>
              </w:rPr>
              <w:t>资格要求</w:t>
            </w:r>
          </w:p>
        </w:tc>
        <w:tc>
          <w:tcPr>
            <w:tcW w:w="1418" w:type="dxa"/>
            <w:vAlign w:val="center"/>
          </w:tcPr>
          <w:p w14:paraId="2B0E368F">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在岗情况</w:t>
            </w:r>
            <w:r>
              <w:rPr>
                <w:rStyle w:val="58"/>
                <w:rFonts w:ascii="宋体" w:hAnsi="宋体" w:cs="宋体"/>
                <w:color w:val="auto"/>
                <w:szCs w:val="21"/>
                <w:highlight w:val="none"/>
              </w:rPr>
              <w:footnoteReference w:id="74"/>
            </w:r>
          </w:p>
        </w:tc>
      </w:tr>
      <w:tr w14:paraId="3F57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0" w:hRule="atLeast"/>
          <w:jc w:val="center"/>
        </w:trPr>
        <w:tc>
          <w:tcPr>
            <w:tcW w:w="1061" w:type="dxa"/>
            <w:vAlign w:val="center"/>
          </w:tcPr>
          <w:p w14:paraId="59AC6E09">
            <w:pPr>
              <w:pStyle w:val="276"/>
              <w:adjustRightInd w:val="0"/>
              <w:snapToGrid w:val="0"/>
              <w:spacing w:line="400" w:lineRule="exact"/>
              <w:rPr>
                <w:rFonts w:ascii="宋体" w:hAnsi="宋体" w:cs="宋体"/>
                <w:color w:val="auto"/>
                <w:szCs w:val="21"/>
                <w:highlight w:val="none"/>
              </w:rPr>
            </w:pPr>
          </w:p>
        </w:tc>
        <w:tc>
          <w:tcPr>
            <w:tcW w:w="957" w:type="dxa"/>
            <w:vAlign w:val="center"/>
          </w:tcPr>
          <w:p w14:paraId="79FEFEC5">
            <w:pPr>
              <w:pStyle w:val="276"/>
              <w:adjustRightInd w:val="0"/>
              <w:snapToGrid w:val="0"/>
              <w:spacing w:line="400" w:lineRule="exact"/>
              <w:rPr>
                <w:rFonts w:ascii="宋体" w:hAnsi="宋体" w:cs="宋体"/>
                <w:color w:val="auto"/>
                <w:szCs w:val="21"/>
                <w:highlight w:val="none"/>
              </w:rPr>
            </w:pPr>
          </w:p>
        </w:tc>
        <w:tc>
          <w:tcPr>
            <w:tcW w:w="5490" w:type="dxa"/>
            <w:vAlign w:val="center"/>
          </w:tcPr>
          <w:p w14:paraId="734DD2E4">
            <w:pPr>
              <w:pStyle w:val="276"/>
              <w:adjustRightInd w:val="0"/>
              <w:snapToGrid w:val="0"/>
              <w:spacing w:line="400" w:lineRule="exact"/>
              <w:ind w:left="527" w:hanging="527" w:hangingChars="250"/>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具有</w:t>
            </w:r>
            <w:r>
              <w:rPr>
                <w:rFonts w:ascii="宋体" w:hAnsi="宋体" w:cs="宋体"/>
                <w:color w:val="auto"/>
                <w:szCs w:val="21"/>
                <w:highlight w:val="none"/>
                <w:u w:val="single"/>
              </w:rPr>
              <w:t xml:space="preserve">    </w:t>
            </w:r>
            <w:r>
              <w:rPr>
                <w:rFonts w:hint="eastAsia" w:ascii="宋体" w:hAnsi="宋体" w:cs="宋体"/>
                <w:color w:val="auto"/>
                <w:szCs w:val="21"/>
                <w:highlight w:val="none"/>
              </w:rPr>
              <w:t>（专业）（□工程师；□高级工程师）</w:t>
            </w:r>
            <w:r>
              <w:rPr>
                <w:rStyle w:val="58"/>
                <w:rFonts w:ascii="宋体" w:hAnsi="宋体" w:cs="宋体"/>
                <w:color w:val="auto"/>
                <w:szCs w:val="21"/>
                <w:highlight w:val="none"/>
              </w:rPr>
              <w:footnoteReference w:id="75"/>
            </w:r>
            <w:r>
              <w:rPr>
                <w:rFonts w:hint="eastAsia" w:ascii="宋体" w:hAnsi="宋体" w:cs="宋体"/>
                <w:color w:val="auto"/>
                <w:szCs w:val="21"/>
                <w:highlight w:val="none"/>
              </w:rPr>
              <w:t>及以</w:t>
            </w:r>
          </w:p>
          <w:p w14:paraId="09ACFC30">
            <w:pPr>
              <w:pStyle w:val="276"/>
              <w:adjustRightInd w:val="0"/>
              <w:snapToGrid w:val="0"/>
              <w:spacing w:line="400" w:lineRule="exact"/>
              <w:ind w:left="525" w:hanging="525" w:hangingChars="250"/>
              <w:rPr>
                <w:rFonts w:ascii="宋体" w:hAns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上</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rPr>
              <w:t>职称；</w:t>
            </w:r>
          </w:p>
          <w:p w14:paraId="3B53E6C1">
            <w:pPr>
              <w:pStyle w:val="276"/>
              <w:adjustRightInd w:val="0"/>
              <w:snapToGrid w:val="0"/>
              <w:spacing w:line="400" w:lineRule="exact"/>
              <w:rPr>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ascii="宋体" w:hAnsi="宋体" w:cs="宋体"/>
                <w:color w:val="auto"/>
                <w:szCs w:val="21"/>
                <w:highlight w:val="none"/>
              </w:rPr>
              <w:t>具有交通运输相关部门颁发的</w:t>
            </w:r>
            <w:r>
              <w:rPr>
                <w:rFonts w:hint="eastAsia"/>
                <w:color w:val="auto"/>
                <w:szCs w:val="21"/>
                <w:highlight w:val="none"/>
              </w:rPr>
              <w:t>公路水运工程试验检测</w:t>
            </w:r>
          </w:p>
          <w:p w14:paraId="10B3D5D0">
            <w:pPr>
              <w:pStyle w:val="276"/>
              <w:adjustRightInd w:val="0"/>
              <w:snapToGrid w:val="0"/>
              <w:spacing w:line="400" w:lineRule="exact"/>
              <w:rPr>
                <w:rFonts w:ascii="宋体" w:hAnsi="宋体" w:cs="宋体"/>
                <w:color w:val="auto"/>
                <w:szCs w:val="21"/>
                <w:highlight w:val="none"/>
              </w:rPr>
            </w:pPr>
            <w:r>
              <w:rPr>
                <w:color w:val="auto"/>
                <w:szCs w:val="21"/>
                <w:highlight w:val="none"/>
              </w:rPr>
              <w:t xml:space="preserve">   </w:t>
            </w:r>
            <w:r>
              <w:rPr>
                <w:rFonts w:hint="eastAsia"/>
                <w:color w:val="auto"/>
                <w:szCs w:val="21"/>
                <w:highlight w:val="none"/>
              </w:rPr>
              <w:t>工程师</w:t>
            </w:r>
            <w:r>
              <w:rPr>
                <w:rFonts w:ascii="宋体" w:hAnsi="宋体" w:cs="宋体"/>
                <w:color w:val="auto"/>
                <w:szCs w:val="21"/>
                <w:highlight w:val="none"/>
              </w:rPr>
              <w:t>证书</w:t>
            </w:r>
            <w:r>
              <w:rPr>
                <w:rStyle w:val="58"/>
                <w:rFonts w:ascii="宋体" w:hAnsi="宋体" w:cs="宋体"/>
                <w:color w:val="auto"/>
                <w:szCs w:val="21"/>
                <w:highlight w:val="none"/>
              </w:rPr>
              <w:footnoteReference w:id="76"/>
            </w:r>
            <w:r>
              <w:rPr>
                <w:rFonts w:hint="eastAsia" w:ascii="宋体" w:hAnsi="宋体" w:cs="宋体"/>
                <w:color w:val="auto"/>
                <w:szCs w:val="21"/>
                <w:highlight w:val="none"/>
              </w:rPr>
              <w:t>；</w:t>
            </w:r>
          </w:p>
          <w:p w14:paraId="545B5F59">
            <w:pPr>
              <w:adjustRightInd w:val="0"/>
              <w:snapToGrid w:val="0"/>
              <w:spacing w:line="400" w:lineRule="exact"/>
              <w:ind w:left="422" w:hanging="422" w:hangingChars="200"/>
              <w:rPr>
                <w:rFonts w:ascii="宋体" w:hAnsi="宋体" w:cs="宋体"/>
                <w:bCs/>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bCs/>
                <w:color w:val="auto"/>
                <w:szCs w:val="21"/>
                <w:highlight w:val="none"/>
              </w:rPr>
              <w:t>投标截止日所在月上个月或上上个月起之前在其投标</w:t>
            </w:r>
          </w:p>
          <w:p w14:paraId="7718D11A">
            <w:pPr>
              <w:pStyle w:val="276"/>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bCs/>
                <w:color w:val="auto"/>
                <w:szCs w:val="21"/>
                <w:highlight w:val="none"/>
              </w:rPr>
              <w:t>单位连续</w:t>
            </w:r>
            <w:r>
              <w:rPr>
                <w:rFonts w:ascii="宋体" w:hAnsi="宋体" w:cs="宋体"/>
                <w:bCs/>
                <w:color w:val="auto"/>
                <w:szCs w:val="21"/>
                <w:highlight w:val="none"/>
              </w:rPr>
              <w:t>6个月参加社保</w:t>
            </w:r>
            <w:r>
              <w:rPr>
                <w:rFonts w:hint="eastAsia" w:ascii="宋体" w:hAnsi="宋体" w:cs="宋体"/>
                <w:color w:val="auto"/>
                <w:szCs w:val="21"/>
                <w:highlight w:val="none"/>
              </w:rPr>
              <w:t>；</w:t>
            </w:r>
          </w:p>
          <w:p w14:paraId="778705B7">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rPr>
              <w:t>个国内新建或改扩建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公路路基</w:t>
            </w:r>
          </w:p>
          <w:p w14:paraId="78117B54">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土建工程</w:t>
            </w:r>
            <w:r>
              <w:rPr>
                <w:rStyle w:val="58"/>
                <w:rFonts w:ascii="宋体" w:hAnsi="宋体" w:cs="宋体"/>
                <w:color w:val="auto"/>
                <w:szCs w:val="21"/>
                <w:highlight w:val="none"/>
              </w:rPr>
              <w:footnoteReference w:id="77"/>
            </w:r>
            <w:r>
              <w:rPr>
                <w:rFonts w:hint="eastAsia" w:ascii="宋体" w:hAnsi="宋体" w:cs="宋体"/>
                <w:color w:val="auto"/>
                <w:szCs w:val="21"/>
                <w:highlight w:val="none"/>
              </w:rPr>
              <w:t>监理试验室项目</w:t>
            </w:r>
            <w:r>
              <w:rPr>
                <w:rFonts w:ascii="宋体" w:hAnsi="宋体" w:cs="宋体"/>
                <w:color w:val="auto"/>
                <w:szCs w:val="21"/>
                <w:highlight w:val="none"/>
                <w:vertAlign w:val="superscript"/>
              </w:rPr>
              <w:footnoteReference w:id="78"/>
            </w:r>
            <w:r>
              <w:rPr>
                <w:rFonts w:hint="eastAsia" w:ascii="宋体" w:hAnsi="宋体" w:cs="宋体"/>
                <w:color w:val="auto"/>
                <w:szCs w:val="21"/>
                <w:highlight w:val="none"/>
              </w:rPr>
              <w:t>中担任过（□试验室主任</w:t>
            </w:r>
            <w:r>
              <w:rPr>
                <w:rFonts w:hint="eastAsia" w:ascii="宋体" w:hAnsi="宋体" w:cs="宋体"/>
                <w:color w:val="auto"/>
                <w:szCs w:val="21"/>
                <w:highlight w:val="none"/>
                <w:lang w:eastAsia="zh-CN"/>
              </w:rPr>
              <w:t>、</w:t>
            </w:r>
          </w:p>
          <w:p w14:paraId="75D83D52">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sym w:font="Wingdings 2" w:char="00A3"/>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技术负责人）</w:t>
            </w:r>
            <w:r>
              <w:rPr>
                <w:rStyle w:val="58"/>
                <w:rFonts w:ascii="宋体" w:hAnsi="宋体" w:cs="宋体"/>
                <w:color w:val="auto"/>
                <w:szCs w:val="21"/>
                <w:highlight w:val="none"/>
              </w:rPr>
              <w:footnoteReference w:id="79"/>
            </w:r>
            <w:r>
              <w:rPr>
                <w:rFonts w:hint="eastAsia" w:ascii="宋体" w:hAnsi="宋体" w:cs="宋体"/>
                <w:color w:val="auto"/>
                <w:szCs w:val="21"/>
                <w:highlight w:val="none"/>
              </w:rPr>
              <w:t>职务。</w:t>
            </w:r>
          </w:p>
          <w:p w14:paraId="1EBFEEE6">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lang w:val="en-US" w:eastAsia="zh-CN"/>
              </w:rPr>
              <w:t>至少</w:t>
            </w:r>
            <w:r>
              <w:rPr>
                <w:rFonts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rPr>
              <w:t>个国内新建或改扩建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szCs w:val="21"/>
                <w:highlight w:val="none"/>
              </w:rPr>
              <w:t>公路路面</w:t>
            </w:r>
          </w:p>
          <w:p w14:paraId="7EF84919">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工程监理试验室项目中担任过（□试验室主任</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技</w:t>
            </w:r>
          </w:p>
          <w:p w14:paraId="54180C8A">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术负责人）职务。</w:t>
            </w:r>
          </w:p>
          <w:p w14:paraId="14EBB4B8">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b/>
                <w:color w:val="auto"/>
                <w:szCs w:val="21"/>
                <w:highlight w:val="none"/>
              </w:rPr>
              <w:t>□</w:t>
            </w:r>
            <w:r>
              <w:rPr>
                <w:rFonts w:ascii="宋体" w:hAnsi="宋体" w:cs="宋体"/>
                <w:color w:val="auto"/>
                <w:szCs w:val="21"/>
                <w:highlight w:val="none"/>
              </w:rPr>
              <w:t xml:space="preserve"> 其他</w:t>
            </w:r>
            <w:r>
              <w:rPr>
                <w:rStyle w:val="58"/>
                <w:rFonts w:ascii="宋体" w:hAnsi="宋体" w:cs="宋体"/>
                <w:color w:val="auto"/>
                <w:szCs w:val="21"/>
                <w:highlight w:val="none"/>
              </w:rPr>
              <w:footnoteReference w:id="80"/>
            </w:r>
            <w:r>
              <w:rPr>
                <w:rFonts w:ascii="宋体" w:hAnsi="宋体" w:cs="宋体"/>
                <w:color w:val="auto"/>
                <w:szCs w:val="21"/>
                <w:highlight w:val="none"/>
              </w:rPr>
              <w:t>：</w:t>
            </w:r>
            <w:r>
              <w:rPr>
                <w:rFonts w:ascii="宋体" w:hAnsi="宋体" w:cs="宋体"/>
                <w:color w:val="auto"/>
                <w:szCs w:val="21"/>
                <w:highlight w:val="none"/>
                <w:u w:val="single"/>
              </w:rPr>
              <w:t xml:space="preserve">          </w:t>
            </w:r>
          </w:p>
          <w:p w14:paraId="17360C67">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联合体应满足下列要求：</w:t>
            </w:r>
            <w:r>
              <w:rPr>
                <w:rFonts w:ascii="宋体" w:hAnsi="宋体" w:cs="宋体"/>
                <w:color w:val="auto"/>
                <w:szCs w:val="21"/>
                <w:highlight w:val="none"/>
                <w:u w:val="single"/>
              </w:rPr>
              <w:t xml:space="preserve">                 </w:t>
            </w:r>
          </w:p>
        </w:tc>
        <w:tc>
          <w:tcPr>
            <w:tcW w:w="1418" w:type="dxa"/>
            <w:vAlign w:val="center"/>
          </w:tcPr>
          <w:p w14:paraId="0E34EB38">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无在岗项目（指目前未在其他项目上任职，或虽在其他项目上任职但本项目中标后能够从该项目撤离）</w:t>
            </w:r>
          </w:p>
        </w:tc>
      </w:tr>
      <w:tr w14:paraId="0BF9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61" w:type="dxa"/>
            <w:vAlign w:val="center"/>
          </w:tcPr>
          <w:p w14:paraId="0C4F6A90">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957" w:type="dxa"/>
            <w:vAlign w:val="center"/>
          </w:tcPr>
          <w:p w14:paraId="6E581D6B">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5490" w:type="dxa"/>
            <w:vAlign w:val="center"/>
          </w:tcPr>
          <w:p w14:paraId="035D9C52">
            <w:pPr>
              <w:pStyle w:val="276"/>
              <w:adjustRightInd w:val="0"/>
              <w:snapToGrid w:val="0"/>
              <w:spacing w:line="400" w:lineRule="exact"/>
              <w:ind w:left="525" w:hanging="525" w:hangingChars="250"/>
              <w:rPr>
                <w:rFonts w:ascii="宋体" w:hAnsi="宋体" w:cs="宋体"/>
                <w:color w:val="auto"/>
                <w:szCs w:val="21"/>
                <w:highlight w:val="none"/>
              </w:rPr>
            </w:pPr>
            <w:r>
              <w:rPr>
                <w:rFonts w:hint="eastAsia" w:ascii="宋体" w:hAnsi="宋体" w:cs="宋体"/>
                <w:color w:val="auto"/>
                <w:szCs w:val="21"/>
                <w:highlight w:val="none"/>
              </w:rPr>
              <w:t>……</w:t>
            </w:r>
          </w:p>
        </w:tc>
        <w:tc>
          <w:tcPr>
            <w:tcW w:w="1418" w:type="dxa"/>
            <w:vAlign w:val="center"/>
          </w:tcPr>
          <w:p w14:paraId="745FFF85">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r>
    </w:tbl>
    <w:p w14:paraId="5E2ECBF5">
      <w:pPr>
        <w:rPr>
          <w:rFonts w:ascii="宋体" w:hAnsi="宋体" w:cs="宋体"/>
          <w:color w:val="auto"/>
          <w:highlight w:val="none"/>
        </w:rPr>
      </w:pPr>
      <w:r>
        <w:rPr>
          <w:rFonts w:ascii="宋体" w:hAnsi="宋体" w:cs="宋体"/>
          <w:color w:val="auto"/>
          <w:highlight w:val="none"/>
        </w:rPr>
        <w:br w:type="page"/>
      </w:r>
    </w:p>
    <w:p w14:paraId="750D81E6">
      <w:pPr>
        <w:pStyle w:val="6"/>
        <w:ind w:firstLine="1687" w:firstLineChars="600"/>
        <w:rPr>
          <w:rFonts w:ascii="Calibri" w:hAnsi="Calibri" w:eastAsia="黑体" w:cs="Times New Roman"/>
          <w:szCs w:val="44"/>
        </w:rPr>
      </w:pPr>
      <w:bookmarkStart w:id="78" w:name="_Toc74760818"/>
      <w:bookmarkStart w:id="79" w:name="_Toc28187716"/>
      <w:bookmarkStart w:id="80" w:name="_Toc523921593"/>
      <w:r>
        <w:rPr>
          <w:rFonts w:hint="eastAsia" w:ascii="Calibri" w:hAnsi="Calibri" w:eastAsia="黑体" w:cs="Times New Roman"/>
          <w:szCs w:val="44"/>
        </w:rPr>
        <w:t>□</w:t>
      </w:r>
      <w:r>
        <w:rPr>
          <w:rFonts w:ascii="Calibri" w:hAnsi="Calibri" w:eastAsia="黑体" w:cs="Times New Roman"/>
          <w:szCs w:val="44"/>
        </w:rPr>
        <w:t xml:space="preserve"> </w:t>
      </w:r>
      <w:r>
        <w:rPr>
          <w:rFonts w:hint="default" w:ascii="Calibri" w:hAnsi="Calibri" w:eastAsia="黑体" w:cs="Times New Roman"/>
          <w:szCs w:val="44"/>
        </w:rPr>
        <w:t>附录</w:t>
      </w:r>
      <w:r>
        <w:rPr>
          <w:rFonts w:ascii="Calibri" w:hAnsi="Calibri" w:eastAsia="黑体" w:cs="Times New Roman"/>
          <w:szCs w:val="44"/>
        </w:rPr>
        <w:t xml:space="preserve">5  </w:t>
      </w:r>
      <w:r>
        <w:rPr>
          <w:rFonts w:hint="default" w:ascii="Calibri" w:hAnsi="Calibri" w:eastAsia="黑体" w:cs="Times New Roman"/>
          <w:szCs w:val="44"/>
        </w:rPr>
        <w:t>资格审查条件（其他最低要求）</w:t>
      </w:r>
      <w:r>
        <w:rPr>
          <w:rFonts w:ascii="Calibri" w:hAnsi="Calibri" w:eastAsia="黑体" w:cs="Times New Roman"/>
          <w:szCs w:val="44"/>
          <w:vertAlign w:val="superscript"/>
        </w:rPr>
        <w:footnoteReference w:id="81"/>
      </w:r>
      <w:bookmarkEnd w:id="78"/>
    </w:p>
    <w:p w14:paraId="139F4EA9">
      <w:pPr>
        <w:pStyle w:val="276"/>
        <w:rPr>
          <w:rFonts w:ascii="宋体" w:hAnsi="宋体" w:cs="宋体"/>
          <w:color w:val="auto"/>
          <w:highlight w:val="none"/>
        </w:rPr>
      </w:pPr>
    </w:p>
    <w:tbl>
      <w:tblPr>
        <w:tblStyle w:val="48"/>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5670"/>
      </w:tblGrid>
      <w:tr w14:paraId="762A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blHeader/>
          <w:jc w:val="center"/>
        </w:trPr>
        <w:tc>
          <w:tcPr>
            <w:tcW w:w="1555" w:type="dxa"/>
            <w:vAlign w:val="center"/>
          </w:tcPr>
          <w:p w14:paraId="101729EC">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标段</w:t>
            </w:r>
          </w:p>
        </w:tc>
        <w:tc>
          <w:tcPr>
            <w:tcW w:w="1275" w:type="dxa"/>
            <w:vAlign w:val="center"/>
          </w:tcPr>
          <w:p w14:paraId="31CB00BA">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5670" w:type="dxa"/>
            <w:vAlign w:val="center"/>
          </w:tcPr>
          <w:p w14:paraId="07554D4E">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36E7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9" w:hRule="atLeast"/>
          <w:jc w:val="center"/>
        </w:trPr>
        <w:tc>
          <w:tcPr>
            <w:tcW w:w="1555" w:type="dxa"/>
            <w:vAlign w:val="center"/>
          </w:tcPr>
          <w:p w14:paraId="702B68CA">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 xml:space="preserve">   </w:t>
            </w:r>
          </w:p>
        </w:tc>
        <w:tc>
          <w:tcPr>
            <w:tcW w:w="1275" w:type="dxa"/>
            <w:vAlign w:val="center"/>
          </w:tcPr>
          <w:p w14:paraId="52AB2EA5">
            <w:pPr>
              <w:pStyle w:val="276"/>
              <w:adjustRightInd w:val="0"/>
              <w:snapToGrid w:val="0"/>
              <w:spacing w:line="400" w:lineRule="exact"/>
              <w:rPr>
                <w:rFonts w:ascii="宋体" w:hAnsi="宋体" w:cs="宋体"/>
                <w:color w:val="auto"/>
                <w:szCs w:val="21"/>
                <w:highlight w:val="none"/>
              </w:rPr>
            </w:pPr>
          </w:p>
        </w:tc>
        <w:tc>
          <w:tcPr>
            <w:tcW w:w="5670" w:type="dxa"/>
            <w:vAlign w:val="center"/>
          </w:tcPr>
          <w:p w14:paraId="46DF556D">
            <w:pPr>
              <w:pStyle w:val="276"/>
              <w:adjustRightInd w:val="0"/>
              <w:snapToGrid w:val="0"/>
              <w:spacing w:line="400" w:lineRule="exact"/>
              <w:rPr>
                <w:rFonts w:ascii="宋体" w:hAnsi="宋体" w:cs="宋体"/>
                <w:color w:val="auto"/>
                <w:szCs w:val="21"/>
                <w:highlight w:val="none"/>
                <w:u w:val="single"/>
              </w:rPr>
            </w:pPr>
          </w:p>
        </w:tc>
      </w:tr>
    </w:tbl>
    <w:p w14:paraId="2549ECEB">
      <w:pPr>
        <w:rPr>
          <w:rFonts w:ascii="黑体" w:hAnsi="Times New Roman"/>
          <w:b w:val="0"/>
          <w:color w:val="auto"/>
          <w:szCs w:val="28"/>
          <w:highlight w:val="none"/>
        </w:rPr>
      </w:pPr>
      <w:r>
        <w:rPr>
          <w:rFonts w:ascii="黑体" w:hAnsi="Times New Roman"/>
          <w:b w:val="0"/>
          <w:color w:val="auto"/>
          <w:szCs w:val="28"/>
          <w:highlight w:val="none"/>
        </w:rPr>
        <w:br w:type="page"/>
      </w:r>
    </w:p>
    <w:p w14:paraId="77F85A47">
      <w:pPr>
        <w:pStyle w:val="5"/>
      </w:pPr>
      <w:r>
        <w:rPr>
          <w:rFonts w:hint="eastAsia"/>
          <w:lang w:val="en-US" w:eastAsia="zh-CN"/>
        </w:rPr>
        <w:t xml:space="preserve">1. </w:t>
      </w:r>
      <w:bookmarkStart w:id="81" w:name="_Toc74760819"/>
      <w:r>
        <w:rPr>
          <w:rFonts w:hint="eastAsia"/>
        </w:rPr>
        <w:t>总则</w:t>
      </w:r>
      <w:bookmarkEnd w:id="79"/>
      <w:bookmarkEnd w:id="80"/>
      <w:bookmarkEnd w:id="81"/>
    </w:p>
    <w:p w14:paraId="7B17C0A6">
      <w:pPr>
        <w:pStyle w:val="6"/>
        <w:rPr>
          <w:b w:val="0"/>
          <w:bCs w:val="0"/>
        </w:rPr>
      </w:pPr>
      <w:bookmarkStart w:id="82" w:name="_Toc523921594"/>
      <w:bookmarkStart w:id="83" w:name="_Toc74760820"/>
      <w:r>
        <w:rPr>
          <w:rFonts w:hint="eastAsia"/>
          <w:b w:val="0"/>
          <w:bCs w:val="0"/>
        </w:rPr>
        <w:t>1.1</w:t>
      </w:r>
      <w:r>
        <w:rPr>
          <w:rFonts w:hint="eastAsia"/>
          <w:b w:val="0"/>
          <w:bCs w:val="0"/>
          <w:lang w:val="en-US" w:eastAsia="zh-CN"/>
        </w:rPr>
        <w:t xml:space="preserve"> </w:t>
      </w:r>
      <w:r>
        <w:rPr>
          <w:rFonts w:hint="eastAsia"/>
          <w:b w:val="0"/>
          <w:bCs w:val="0"/>
        </w:rPr>
        <w:t>项目概况</w:t>
      </w:r>
      <w:bookmarkEnd w:id="82"/>
      <w:bookmarkEnd w:id="83"/>
    </w:p>
    <w:p w14:paraId="21899F9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1.1.1 </w:t>
      </w:r>
      <w:r>
        <w:rPr>
          <w:rFonts w:hint="eastAsia" w:ascii="宋体" w:hAnsi="宋体" w:cs="宋体"/>
          <w:color w:val="auto"/>
          <w:sz w:val="24"/>
          <w:highlight w:val="none"/>
        </w:rPr>
        <w:t>根据《中华人民共和国招标投标法》《中华人民共和国招标投标法实施条例》《公路工程建设项目招标投标管理办法》等有关法律、法规和规章的规定，本招标项目已具备招标条件，现对本标段监理试验室进行招标。</w:t>
      </w:r>
    </w:p>
    <w:p w14:paraId="4E85B4B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1.1.2 </w:t>
      </w:r>
      <w:r>
        <w:rPr>
          <w:rFonts w:hint="eastAsia" w:ascii="宋体" w:hAnsi="宋体" w:cs="宋体"/>
          <w:color w:val="auto"/>
          <w:sz w:val="24"/>
          <w:highlight w:val="none"/>
        </w:rPr>
        <w:t>本招标项目招标人：见投标人须知前附表。</w:t>
      </w:r>
    </w:p>
    <w:p w14:paraId="68F6C6A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1.1.3 </w:t>
      </w:r>
      <w:r>
        <w:rPr>
          <w:rFonts w:hint="eastAsia" w:ascii="宋体" w:hAnsi="宋体" w:cs="宋体"/>
          <w:color w:val="auto"/>
          <w:sz w:val="24"/>
          <w:highlight w:val="none"/>
        </w:rPr>
        <w:t>本标段招标代理机构：见投标人须知前附表。</w:t>
      </w:r>
    </w:p>
    <w:p w14:paraId="261FAE5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1.1.4 </w:t>
      </w:r>
      <w:r>
        <w:rPr>
          <w:rFonts w:hint="eastAsia" w:ascii="宋体" w:hAnsi="宋体" w:cs="宋体"/>
          <w:color w:val="auto"/>
          <w:sz w:val="24"/>
          <w:highlight w:val="none"/>
        </w:rPr>
        <w:t>本招标项目名称：见投标人须知前附表。</w:t>
      </w:r>
    </w:p>
    <w:p w14:paraId="6A2F320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1.1.5 </w:t>
      </w:r>
      <w:r>
        <w:rPr>
          <w:rFonts w:hint="eastAsia" w:ascii="宋体" w:hAnsi="宋体" w:cs="宋体"/>
          <w:color w:val="auto"/>
          <w:sz w:val="24"/>
          <w:highlight w:val="none"/>
        </w:rPr>
        <w:t>本标段建设地点：见投标人须知前附表。</w:t>
      </w:r>
    </w:p>
    <w:p w14:paraId="75FB5F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1.1.6 </w:t>
      </w:r>
      <w:r>
        <w:rPr>
          <w:rFonts w:hint="eastAsia" w:ascii="宋体" w:hAnsi="宋体" w:cs="宋体"/>
          <w:color w:val="auto"/>
          <w:sz w:val="24"/>
          <w:highlight w:val="none"/>
        </w:rPr>
        <w:t>本标段建设规模：见投标人须知前附表。</w:t>
      </w:r>
    </w:p>
    <w:p w14:paraId="7530056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1.1.7 </w:t>
      </w:r>
      <w:r>
        <w:rPr>
          <w:rFonts w:hint="eastAsia" w:ascii="宋体" w:hAnsi="宋体" w:cs="宋体"/>
          <w:color w:val="auto"/>
          <w:sz w:val="24"/>
          <w:highlight w:val="none"/>
        </w:rPr>
        <w:t>招标项目施工预计开工日期和建设周期：见投标人须知前附表。</w:t>
      </w:r>
    </w:p>
    <w:p w14:paraId="130374D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1.1.8 </w:t>
      </w:r>
      <w:r>
        <w:rPr>
          <w:rFonts w:hint="eastAsia" w:ascii="宋体" w:hAnsi="宋体" w:cs="宋体"/>
          <w:color w:val="auto"/>
          <w:sz w:val="24"/>
          <w:highlight w:val="none"/>
        </w:rPr>
        <w:t>建筑安装工程费</w:t>
      </w:r>
      <w:r>
        <w:rPr>
          <w:rFonts w:ascii="宋体" w:hAnsi="宋体" w:cs="宋体"/>
          <w:color w:val="auto"/>
          <w:sz w:val="24"/>
          <w:highlight w:val="none"/>
        </w:rPr>
        <w:t>/工程概算</w:t>
      </w:r>
      <w:r>
        <w:rPr>
          <w:rFonts w:hint="eastAsia" w:ascii="宋体" w:hAnsi="宋体" w:cs="宋体"/>
          <w:color w:val="auto"/>
          <w:sz w:val="24"/>
          <w:highlight w:val="none"/>
          <w:lang w:val="en-US" w:eastAsia="zh-CN"/>
        </w:rPr>
        <w:t>投资额</w:t>
      </w:r>
      <w:r>
        <w:rPr>
          <w:rFonts w:ascii="宋体" w:hAnsi="宋体" w:cs="宋体"/>
          <w:color w:val="auto"/>
          <w:sz w:val="24"/>
          <w:highlight w:val="none"/>
        </w:rPr>
        <w:t>：见投标人须知前附表。</w:t>
      </w:r>
    </w:p>
    <w:p w14:paraId="2EBC97FE">
      <w:pPr>
        <w:pStyle w:val="6"/>
        <w:rPr>
          <w:rFonts w:hint="eastAsia" w:ascii="Calibri" w:hAnsi="Calibri"/>
          <w:b w:val="0"/>
          <w:bCs w:val="0"/>
          <w:sz w:val="28"/>
          <w:szCs w:val="32"/>
        </w:rPr>
      </w:pPr>
      <w:bookmarkStart w:id="84" w:name="_Toc523921595"/>
      <w:bookmarkStart w:id="85" w:name="_Toc74760821"/>
      <w:r>
        <w:rPr>
          <w:rFonts w:hint="eastAsia" w:ascii="Calibri" w:hAnsi="Calibri"/>
          <w:b w:val="0"/>
          <w:bCs w:val="0"/>
          <w:sz w:val="28"/>
          <w:szCs w:val="32"/>
        </w:rPr>
        <w:t>1.2</w:t>
      </w:r>
      <w:r>
        <w:rPr>
          <w:rFonts w:hint="eastAsia"/>
          <w:b w:val="0"/>
          <w:bCs w:val="0"/>
          <w:sz w:val="28"/>
          <w:szCs w:val="32"/>
          <w:lang w:val="en-US" w:eastAsia="zh-CN"/>
        </w:rPr>
        <w:t xml:space="preserve"> </w:t>
      </w:r>
      <w:r>
        <w:rPr>
          <w:rFonts w:hint="eastAsia" w:ascii="Calibri" w:hAnsi="Calibri"/>
          <w:b w:val="0"/>
          <w:bCs w:val="0"/>
          <w:sz w:val="28"/>
          <w:szCs w:val="32"/>
        </w:rPr>
        <w:t>招标项目的资金来源和落实情况</w:t>
      </w:r>
      <w:bookmarkEnd w:id="84"/>
      <w:bookmarkEnd w:id="85"/>
    </w:p>
    <w:p w14:paraId="5AC394D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1.2.1 </w:t>
      </w:r>
      <w:r>
        <w:rPr>
          <w:rFonts w:hint="eastAsia" w:ascii="宋体" w:hAnsi="宋体" w:cs="宋体"/>
          <w:color w:val="auto"/>
          <w:sz w:val="24"/>
          <w:highlight w:val="none"/>
        </w:rPr>
        <w:t>资金来源及比例：见投标人须知前附表。</w:t>
      </w:r>
    </w:p>
    <w:p w14:paraId="057B2F9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1.2.2 </w:t>
      </w:r>
      <w:r>
        <w:rPr>
          <w:rFonts w:hint="eastAsia" w:ascii="宋体" w:hAnsi="宋体" w:cs="宋体"/>
          <w:color w:val="auto"/>
          <w:sz w:val="24"/>
          <w:highlight w:val="none"/>
        </w:rPr>
        <w:t>资金落实情况：见投标人须知前附表。</w:t>
      </w:r>
    </w:p>
    <w:p w14:paraId="530B31B6">
      <w:pPr>
        <w:pStyle w:val="6"/>
        <w:rPr>
          <w:rFonts w:hint="eastAsia" w:ascii="Calibri" w:hAnsi="Calibri"/>
          <w:b w:val="0"/>
          <w:bCs w:val="0"/>
          <w:sz w:val="28"/>
          <w:szCs w:val="32"/>
        </w:rPr>
      </w:pPr>
      <w:bookmarkStart w:id="86" w:name="_Toc523921596"/>
      <w:bookmarkStart w:id="87" w:name="_Toc74760822"/>
      <w:r>
        <w:rPr>
          <w:rFonts w:hint="eastAsia" w:ascii="Calibri" w:hAnsi="Calibri"/>
          <w:b w:val="0"/>
          <w:bCs w:val="0"/>
          <w:sz w:val="28"/>
          <w:szCs w:val="32"/>
        </w:rPr>
        <w:t>1.3</w:t>
      </w:r>
      <w:r>
        <w:rPr>
          <w:rFonts w:hint="eastAsia"/>
          <w:b w:val="0"/>
          <w:bCs w:val="0"/>
          <w:sz w:val="28"/>
          <w:szCs w:val="32"/>
          <w:lang w:val="en-US" w:eastAsia="zh-CN"/>
        </w:rPr>
        <w:t xml:space="preserve"> </w:t>
      </w:r>
      <w:r>
        <w:rPr>
          <w:rFonts w:hint="eastAsia" w:ascii="Calibri" w:hAnsi="Calibri"/>
          <w:b w:val="0"/>
          <w:bCs w:val="0"/>
          <w:sz w:val="28"/>
          <w:szCs w:val="32"/>
        </w:rPr>
        <w:t>招标范围、监理试验室服务期限、质量要求和安全目标</w:t>
      </w:r>
      <w:bookmarkEnd w:id="86"/>
      <w:bookmarkEnd w:id="87"/>
    </w:p>
    <w:p w14:paraId="761419F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1.3.1 </w:t>
      </w:r>
      <w:r>
        <w:rPr>
          <w:rFonts w:hint="eastAsia" w:ascii="宋体" w:hAnsi="宋体" w:cs="宋体"/>
          <w:color w:val="auto"/>
          <w:sz w:val="24"/>
          <w:highlight w:val="none"/>
        </w:rPr>
        <w:t>招标范围：见投标人须知前附表。</w:t>
      </w:r>
    </w:p>
    <w:p w14:paraId="7E2E248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1.3.2 </w:t>
      </w:r>
      <w:r>
        <w:rPr>
          <w:rFonts w:hint="eastAsia" w:ascii="宋体" w:hAnsi="宋体" w:cs="宋体"/>
          <w:color w:val="auto"/>
          <w:sz w:val="24"/>
          <w:highlight w:val="none"/>
        </w:rPr>
        <w:t>本标段的监理试验室服务期限：见投标人须知前附表。</w:t>
      </w:r>
    </w:p>
    <w:p w14:paraId="1F1547B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1.3.3 </w:t>
      </w:r>
      <w:r>
        <w:rPr>
          <w:rFonts w:hint="eastAsia" w:ascii="宋体" w:hAnsi="宋体" w:cs="宋体"/>
          <w:color w:val="auto"/>
          <w:sz w:val="24"/>
          <w:highlight w:val="none"/>
        </w:rPr>
        <w:t>本标段的质量要求：见投标人须知前附表。</w:t>
      </w:r>
    </w:p>
    <w:p w14:paraId="4570850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1.3.4 </w:t>
      </w:r>
      <w:r>
        <w:rPr>
          <w:rFonts w:hint="eastAsia" w:ascii="宋体" w:hAnsi="宋体" w:cs="宋体"/>
          <w:color w:val="auto"/>
          <w:sz w:val="24"/>
          <w:highlight w:val="none"/>
        </w:rPr>
        <w:t>本标段的安全目标：见投标人须知前附表。</w:t>
      </w:r>
    </w:p>
    <w:p w14:paraId="0986F76A">
      <w:pPr>
        <w:pStyle w:val="6"/>
        <w:rPr>
          <w:rFonts w:hint="eastAsia" w:ascii="Calibri" w:hAnsi="Calibri"/>
          <w:b w:val="0"/>
          <w:bCs w:val="0"/>
          <w:sz w:val="28"/>
          <w:szCs w:val="32"/>
        </w:rPr>
      </w:pPr>
      <w:bookmarkStart w:id="88" w:name="_Toc74760823"/>
      <w:bookmarkStart w:id="89" w:name="_Toc523921597"/>
      <w:r>
        <w:rPr>
          <w:rFonts w:hint="eastAsia" w:ascii="Calibri" w:hAnsi="Calibri"/>
          <w:b w:val="0"/>
          <w:bCs w:val="0"/>
          <w:sz w:val="28"/>
          <w:szCs w:val="32"/>
        </w:rPr>
        <w:t>1.4</w:t>
      </w:r>
      <w:r>
        <w:rPr>
          <w:rFonts w:hint="eastAsia"/>
          <w:b w:val="0"/>
          <w:bCs w:val="0"/>
          <w:sz w:val="28"/>
          <w:szCs w:val="32"/>
          <w:lang w:val="en-US" w:eastAsia="zh-CN"/>
        </w:rPr>
        <w:t xml:space="preserve"> </w:t>
      </w:r>
      <w:r>
        <w:rPr>
          <w:rFonts w:hint="eastAsia" w:ascii="Calibri" w:hAnsi="Calibri"/>
          <w:b w:val="0"/>
          <w:bCs w:val="0"/>
          <w:sz w:val="28"/>
          <w:szCs w:val="32"/>
        </w:rPr>
        <w:t>投标人资格要求</w:t>
      </w:r>
      <w:bookmarkEnd w:id="88"/>
      <w:bookmarkEnd w:id="89"/>
    </w:p>
    <w:p w14:paraId="5E2F632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1.4.1 </w:t>
      </w:r>
      <w:r>
        <w:rPr>
          <w:rFonts w:hint="eastAsia" w:ascii="宋体" w:hAnsi="宋体" w:cs="宋体"/>
          <w:color w:val="auto"/>
          <w:sz w:val="24"/>
          <w:highlight w:val="none"/>
        </w:rPr>
        <w:t>投标人应具备承担本标段监理试验室的资质条件、能力和信誉。</w:t>
      </w:r>
    </w:p>
    <w:p w14:paraId="03E44D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1）资质最低要求：见投标人须知前附表；</w:t>
      </w:r>
    </w:p>
    <w:p w14:paraId="10E6ACE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2）业绩最低要求：见投标人须知前附表；</w:t>
      </w:r>
    </w:p>
    <w:p w14:paraId="33FBA5A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3）信誉最低要求：见投标人须知前附表；</w:t>
      </w:r>
    </w:p>
    <w:p w14:paraId="793B52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4）主要人员最低</w:t>
      </w:r>
      <w:r>
        <w:rPr>
          <w:rFonts w:hint="eastAsia" w:ascii="宋体" w:hAnsi="宋体" w:cs="宋体"/>
          <w:color w:val="auto"/>
          <w:sz w:val="24"/>
          <w:highlight w:val="none"/>
        </w:rPr>
        <w:t>要求：见投标人须知前附表；</w:t>
      </w:r>
    </w:p>
    <w:p w14:paraId="3AA643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5）其他要求：见投标人须知前附表。</w:t>
      </w:r>
    </w:p>
    <w:p w14:paraId="714362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需要提交的相关证明材料见本章第</w:t>
      </w:r>
      <w:r>
        <w:rPr>
          <w:rFonts w:ascii="宋体" w:hAnsi="宋体" w:cs="宋体"/>
          <w:color w:val="auto"/>
          <w:sz w:val="24"/>
          <w:highlight w:val="none"/>
        </w:rPr>
        <w:t>3.5款的规定。</w:t>
      </w:r>
    </w:p>
    <w:p w14:paraId="5C24038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1.4.2 </w:t>
      </w:r>
      <w:r>
        <w:rPr>
          <w:rFonts w:hint="eastAsia" w:ascii="宋体" w:hAnsi="宋体" w:cs="宋体"/>
          <w:color w:val="auto"/>
          <w:sz w:val="24"/>
          <w:highlight w:val="none"/>
        </w:rPr>
        <w:t>投标人须知前附表规定接受联合体投标的，联合体除应符合本章第</w:t>
      </w:r>
      <w:r>
        <w:rPr>
          <w:rFonts w:ascii="宋体" w:hAnsi="宋体" w:cs="宋体"/>
          <w:color w:val="auto"/>
          <w:sz w:val="24"/>
          <w:highlight w:val="none"/>
        </w:rPr>
        <w:t xml:space="preserve">1.4.1 </w:t>
      </w:r>
      <w:r>
        <w:rPr>
          <w:rFonts w:hint="eastAsia" w:ascii="宋体" w:hAnsi="宋体" w:cs="宋体"/>
          <w:color w:val="auto"/>
          <w:sz w:val="24"/>
          <w:highlight w:val="none"/>
        </w:rPr>
        <w:t>项和投标人须知前附表的要求外，还应遵守以下规定：</w:t>
      </w:r>
    </w:p>
    <w:p w14:paraId="454C35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1）联合体各方应按招标文件提供的格式签订联合体协议书，明确联合体牵头人和各方权利义务，并承诺就中标项目向招标人承担连带责任；</w:t>
      </w:r>
    </w:p>
    <w:p w14:paraId="7CAF3E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 xml:space="preserve">2）由同一专业的单位组成的联合体，按照资质等级较低的单位确定资质等级； </w:t>
      </w:r>
    </w:p>
    <w:p w14:paraId="3FBFDD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3）联合体各方不得再以自己名义单独或参加其他联合体在同一标段中投标；</w:t>
      </w:r>
    </w:p>
    <w:p w14:paraId="30BBF2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5D6E41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5）尽管委任了联合体牵头人，但联合体各成员在投标、</w:t>
      </w:r>
      <w:r>
        <w:rPr>
          <w:rFonts w:hint="eastAsia" w:ascii="宋体" w:hAnsi="宋体" w:cs="宋体"/>
          <w:color w:val="auto"/>
          <w:sz w:val="24"/>
          <w:highlight w:val="none"/>
        </w:rPr>
        <w:t>签订合同与履行合同过程中，仍负有连带的和各自的法律责任。</w:t>
      </w:r>
    </w:p>
    <w:p w14:paraId="020A499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1.4.3 </w:t>
      </w:r>
      <w:r>
        <w:rPr>
          <w:rFonts w:hint="eastAsia" w:ascii="宋体" w:hAnsi="宋体" w:cs="宋体"/>
          <w:color w:val="auto"/>
          <w:sz w:val="24"/>
          <w:highlight w:val="none"/>
        </w:rPr>
        <w:t>投标人（包括联合体各成员）不得与本标段相关单位存在下列关联情形：</w:t>
      </w:r>
    </w:p>
    <w:p w14:paraId="2F4B98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1）为招标人不具有独立法人资格的附属机构（单位）；</w:t>
      </w:r>
    </w:p>
    <w:p w14:paraId="09B8AB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2）与招标人存在利害关系且可能影响招标公正性；</w:t>
      </w:r>
    </w:p>
    <w:p w14:paraId="0FB5C7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3）与本标段的</w:t>
      </w:r>
      <w:r>
        <w:rPr>
          <w:rFonts w:hint="eastAsia" w:ascii="宋体" w:hAnsi="宋体" w:cs="宋体"/>
          <w:color w:val="auto"/>
          <w:sz w:val="24"/>
          <w:highlight w:val="none"/>
        </w:rPr>
        <w:t>其他投标人同为一个单位负责人；</w:t>
      </w:r>
    </w:p>
    <w:p w14:paraId="15AAA7A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4）与本标段的其他投标人存在控股、管理关系；</w:t>
      </w:r>
    </w:p>
    <w:p w14:paraId="38BF93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5）为本标段的代建人；</w:t>
      </w:r>
    </w:p>
    <w:p w14:paraId="1FE6E0F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6）为本标段的招标代理机构；</w:t>
      </w:r>
    </w:p>
    <w:p w14:paraId="6AB521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7）与本标段的代建人或招标代理机构同为一个法定代表人；</w:t>
      </w:r>
    </w:p>
    <w:p w14:paraId="212A07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8）与本标段的代建人或招标代理机构存在控股或参股关系；</w:t>
      </w:r>
    </w:p>
    <w:p w14:paraId="662D67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9）与本标段对应工程的施工承包人以及建筑材料、建筑构配件和设备供应商有隶属关系或其他利害关系；</w:t>
      </w:r>
    </w:p>
    <w:p w14:paraId="6A0201B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10）</w:t>
      </w:r>
      <w:r>
        <w:rPr>
          <w:rFonts w:hint="eastAsia" w:ascii="宋体" w:hAnsi="宋体"/>
          <w:sz w:val="24"/>
          <w:szCs w:val="24"/>
        </w:rPr>
        <w:t>为本标段电子招标投标交易平台的运营机构或与该机构有控股或者管理关系且可能影响招标公正性的单位；</w:t>
      </w:r>
    </w:p>
    <w:p w14:paraId="105E765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w:t>
      </w:r>
      <w:r>
        <w:rPr>
          <w:rFonts w:ascii="宋体" w:hAnsi="宋体" w:cs="宋体"/>
          <w:color w:val="auto"/>
          <w:sz w:val="24"/>
          <w:highlight w:val="none"/>
        </w:rPr>
        <w:t>法律法规或投标人须知前附表规定的其他情形。</w:t>
      </w:r>
    </w:p>
    <w:p w14:paraId="0FBABB2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1.4.4 </w:t>
      </w:r>
      <w:r>
        <w:rPr>
          <w:rFonts w:hint="eastAsia" w:ascii="宋体" w:hAnsi="宋体" w:cs="宋体"/>
          <w:color w:val="auto"/>
          <w:sz w:val="24"/>
          <w:highlight w:val="none"/>
        </w:rPr>
        <w:t>投标人（包括联合体各成员）不得存在下列不良状况或不良信用记录：</w:t>
      </w:r>
    </w:p>
    <w:p w14:paraId="7FF6DF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1）被省级及以上交通运输主管部门取消招标项目所在地的投标资格且处于有效期内；</w:t>
      </w:r>
    </w:p>
    <w:p w14:paraId="2E8E83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2）被责令停业，暂扣或吊销执照，或吊销</w:t>
      </w:r>
      <w:r>
        <w:rPr>
          <w:rFonts w:hint="eastAsia" w:ascii="宋体" w:hAnsi="宋体" w:cs="宋体"/>
          <w:color w:val="auto"/>
          <w:sz w:val="24"/>
          <w:highlight w:val="none"/>
        </w:rPr>
        <w:t>资质证书；</w:t>
      </w:r>
    </w:p>
    <w:p w14:paraId="1C1EBE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3）进入清算程序，或被宣告破产，或其他丧失履约能力的情形；</w:t>
      </w:r>
    </w:p>
    <w:p w14:paraId="31BE3E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4）在国家企业信用信息公示系统（</w:t>
      </w:r>
      <w:r>
        <w:rPr>
          <w:rFonts w:hint="eastAsia" w:ascii="宋体" w:hAnsi="宋体" w:cs="宋体"/>
          <w:color w:val="auto"/>
          <w:sz w:val="24"/>
          <w:highlight w:val="none"/>
          <w:lang w:eastAsia="zh-CN"/>
        </w:rPr>
        <w:t>https</w:t>
      </w:r>
      <w:r>
        <w:rPr>
          <w:rFonts w:ascii="宋体" w:hAnsi="宋体" w:cs="宋体"/>
          <w:color w:val="auto"/>
          <w:sz w:val="24"/>
          <w:highlight w:val="none"/>
        </w:rPr>
        <w:t>://www.gsxt.gov.cn/）中被列入严重</w:t>
      </w:r>
      <w:r>
        <w:rPr>
          <w:rFonts w:hint="eastAsia" w:ascii="宋体" w:hAnsi="宋体" w:cs="宋体"/>
          <w:color w:val="auto"/>
          <w:sz w:val="24"/>
          <w:highlight w:val="none"/>
        </w:rPr>
        <w:t>违法失信企业名单；</w:t>
      </w:r>
    </w:p>
    <w:p w14:paraId="18BBE7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ascii="宋体" w:hAnsi="宋体" w:cs="宋体"/>
          <w:color w:val="auto"/>
          <w:sz w:val="24"/>
          <w:highlight w:val="none"/>
        </w:rPr>
        <w:t>在“信用中国”网站（</w:t>
      </w:r>
      <w:r>
        <w:rPr>
          <w:rFonts w:hint="eastAsia" w:ascii="宋体" w:hAnsi="宋体" w:cs="宋体"/>
          <w:color w:val="auto"/>
          <w:sz w:val="24"/>
          <w:highlight w:val="none"/>
          <w:lang w:eastAsia="zh-CN"/>
        </w:rPr>
        <w:t>https</w:t>
      </w:r>
      <w:r>
        <w:rPr>
          <w:rFonts w:ascii="宋体" w:hAnsi="宋体" w:cs="宋体"/>
          <w:color w:val="auto"/>
          <w:sz w:val="24"/>
          <w:highlight w:val="none"/>
        </w:rPr>
        <w:t>://w</w:t>
      </w:r>
      <w:r>
        <w:rPr>
          <w:rFonts w:ascii="宋体" w:hAnsi="宋体" w:cs="宋体"/>
          <w:color w:val="auto"/>
          <w:sz w:val="24"/>
          <w:highlight w:val="none"/>
        </w:rPr>
        <w:fldChar w:fldCharType="end"/>
      </w:r>
      <w:r>
        <w:rPr>
          <w:rFonts w:ascii="宋体" w:hAnsi="宋体" w:cs="宋体"/>
          <w:color w:val="auto"/>
          <w:sz w:val="24"/>
          <w:highlight w:val="none"/>
        </w:rPr>
        <w:t>w</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ascii="宋体" w:hAnsi="宋体" w:cs="宋体"/>
          <w:color w:val="auto"/>
          <w:sz w:val="24"/>
          <w:highlight w:val="none"/>
        </w:rPr>
        <w:t>w.creditchina.gov.c</w:t>
      </w:r>
      <w:r>
        <w:rPr>
          <w:rFonts w:ascii="宋体" w:hAnsi="宋体" w:cs="宋体"/>
          <w:color w:val="auto"/>
          <w:sz w:val="24"/>
          <w:highlight w:val="none"/>
        </w:rPr>
        <w:fldChar w:fldCharType="end"/>
      </w:r>
      <w:r>
        <w:rPr>
          <w:rFonts w:ascii="宋体" w:hAnsi="宋体" w:cs="宋体"/>
          <w:color w:val="auto"/>
          <w:sz w:val="24"/>
          <w:highlight w:val="none"/>
        </w:rPr>
        <w:t>n/</w:t>
      </w:r>
      <w:r>
        <w:rPr>
          <w:rFonts w:hint="eastAsia" w:ascii="宋体" w:hAnsi="宋体" w:cs="宋体"/>
          <w:color w:val="auto"/>
          <w:sz w:val="24"/>
          <w:highlight w:val="none"/>
        </w:rPr>
        <w:t>）中被列入失信被执行人名单；</w:t>
      </w:r>
    </w:p>
    <w:p w14:paraId="17C91A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6）投标人及其法定代表人、拟委任的试验室主任</w:t>
      </w:r>
      <w:r>
        <w:rPr>
          <w:rFonts w:hint="eastAsia" w:ascii="宋体" w:hAnsi="宋体" w:cs="宋体"/>
          <w:color w:val="auto"/>
          <w:sz w:val="24"/>
          <w:highlight w:val="none"/>
        </w:rPr>
        <w:t>、技术负责人（如有）在近三年内被人民法院生效判决或裁定认定为行贿犯罪的；</w:t>
      </w:r>
    </w:p>
    <w:p w14:paraId="2786D4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7）法律法规或投标人须知前附表规定的其他情形。</w:t>
      </w:r>
    </w:p>
    <w:p w14:paraId="37916A23">
      <w:pPr>
        <w:pStyle w:val="6"/>
        <w:rPr>
          <w:rFonts w:hint="eastAsia" w:ascii="Calibri" w:hAnsi="Calibri"/>
          <w:b w:val="0"/>
          <w:bCs w:val="0"/>
          <w:sz w:val="28"/>
          <w:szCs w:val="32"/>
        </w:rPr>
      </w:pPr>
      <w:bookmarkStart w:id="90" w:name="_Toc523921598"/>
      <w:bookmarkStart w:id="91" w:name="_Toc234382595"/>
      <w:bookmarkStart w:id="92" w:name="_Toc74760824"/>
      <w:r>
        <w:rPr>
          <w:rFonts w:hint="eastAsia" w:ascii="Calibri" w:hAnsi="Calibri"/>
          <w:b w:val="0"/>
          <w:bCs w:val="0"/>
          <w:sz w:val="28"/>
          <w:szCs w:val="32"/>
        </w:rPr>
        <w:t>1.5 费用承担</w:t>
      </w:r>
      <w:bookmarkEnd w:id="90"/>
      <w:bookmarkEnd w:id="91"/>
      <w:bookmarkEnd w:id="92"/>
    </w:p>
    <w:p w14:paraId="3C7397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投标人准备和参加投标活动发生的费用自理。</w:t>
      </w:r>
    </w:p>
    <w:p w14:paraId="312440CB">
      <w:pPr>
        <w:pStyle w:val="6"/>
        <w:rPr>
          <w:rFonts w:hint="eastAsia" w:ascii="Calibri" w:hAnsi="Calibri"/>
          <w:b w:val="0"/>
          <w:bCs w:val="0"/>
          <w:sz w:val="28"/>
          <w:szCs w:val="32"/>
        </w:rPr>
      </w:pPr>
      <w:bookmarkStart w:id="93" w:name="_Toc523921599"/>
      <w:bookmarkStart w:id="94" w:name="_Toc74760825"/>
      <w:bookmarkStart w:id="95" w:name="_Toc234382596"/>
      <w:r>
        <w:rPr>
          <w:rFonts w:hint="eastAsia" w:ascii="Calibri" w:hAnsi="Calibri"/>
          <w:b w:val="0"/>
          <w:bCs w:val="0"/>
          <w:sz w:val="28"/>
          <w:szCs w:val="32"/>
        </w:rPr>
        <w:t>1.6 保密</w:t>
      </w:r>
      <w:bookmarkEnd w:id="93"/>
      <w:bookmarkEnd w:id="94"/>
      <w:bookmarkEnd w:id="95"/>
    </w:p>
    <w:p w14:paraId="100DC7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参与招标投标活动的各方应对招标文件和投标文件中的商业和技术等秘密保密，违者应对由此造成的后果承担法律责任。</w:t>
      </w:r>
    </w:p>
    <w:p w14:paraId="7A6A735C">
      <w:pPr>
        <w:pStyle w:val="6"/>
        <w:rPr>
          <w:rFonts w:hint="eastAsia" w:ascii="Calibri" w:hAnsi="Calibri"/>
          <w:b w:val="0"/>
          <w:bCs w:val="0"/>
          <w:sz w:val="28"/>
          <w:szCs w:val="32"/>
        </w:rPr>
      </w:pPr>
      <w:bookmarkStart w:id="96" w:name="_Toc234382597"/>
      <w:bookmarkStart w:id="97" w:name="_Toc523921600"/>
      <w:bookmarkStart w:id="98" w:name="_Toc74760826"/>
      <w:r>
        <w:rPr>
          <w:rFonts w:hint="eastAsia" w:ascii="Calibri" w:hAnsi="Calibri"/>
          <w:b w:val="0"/>
          <w:bCs w:val="0"/>
          <w:sz w:val="28"/>
          <w:szCs w:val="32"/>
        </w:rPr>
        <w:t>1.7 语言文字</w:t>
      </w:r>
      <w:bookmarkEnd w:id="96"/>
      <w:bookmarkEnd w:id="97"/>
      <w:bookmarkEnd w:id="98"/>
    </w:p>
    <w:p w14:paraId="111269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招标投标文件使用的语言文字为中文。专用术语使用外文的，应附有中文注释。</w:t>
      </w:r>
    </w:p>
    <w:p w14:paraId="506D7AA3">
      <w:pPr>
        <w:pStyle w:val="6"/>
        <w:rPr>
          <w:rFonts w:hint="eastAsia" w:ascii="Calibri" w:hAnsi="Calibri"/>
          <w:b w:val="0"/>
          <w:bCs w:val="0"/>
          <w:sz w:val="28"/>
          <w:szCs w:val="32"/>
        </w:rPr>
      </w:pPr>
      <w:bookmarkStart w:id="99" w:name="_Toc523921601"/>
      <w:bookmarkStart w:id="100" w:name="_Toc234382598"/>
      <w:bookmarkStart w:id="101" w:name="_Toc74760827"/>
      <w:r>
        <w:rPr>
          <w:rFonts w:hint="eastAsia" w:ascii="Calibri" w:hAnsi="Calibri"/>
          <w:b w:val="0"/>
          <w:bCs w:val="0"/>
          <w:sz w:val="28"/>
          <w:szCs w:val="32"/>
        </w:rPr>
        <w:t>1.8 计量单位</w:t>
      </w:r>
      <w:bookmarkEnd w:id="99"/>
      <w:bookmarkEnd w:id="100"/>
      <w:bookmarkEnd w:id="101"/>
    </w:p>
    <w:p w14:paraId="56BF63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所有计量均采用中华人民共和国法定计量单位。</w:t>
      </w:r>
    </w:p>
    <w:p w14:paraId="600452F3">
      <w:pPr>
        <w:pStyle w:val="6"/>
        <w:rPr>
          <w:rFonts w:hint="eastAsia" w:ascii="Calibri" w:hAnsi="Calibri"/>
          <w:b w:val="0"/>
          <w:bCs w:val="0"/>
          <w:sz w:val="28"/>
          <w:szCs w:val="32"/>
        </w:rPr>
      </w:pPr>
      <w:bookmarkStart w:id="102" w:name="_Toc234382599"/>
      <w:bookmarkStart w:id="103" w:name="_Toc523921602"/>
      <w:bookmarkStart w:id="104" w:name="_Toc74760828"/>
      <w:r>
        <w:rPr>
          <w:rFonts w:hint="eastAsia" w:ascii="Calibri" w:hAnsi="Calibri"/>
          <w:b w:val="0"/>
          <w:bCs w:val="0"/>
          <w:sz w:val="28"/>
          <w:szCs w:val="32"/>
        </w:rPr>
        <w:t>1.9 踏勘现场</w:t>
      </w:r>
      <w:bookmarkEnd w:id="102"/>
      <w:bookmarkEnd w:id="103"/>
      <w:bookmarkEnd w:id="104"/>
    </w:p>
    <w:p w14:paraId="7C15C64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1.9.1 </w:t>
      </w:r>
      <w:r>
        <w:rPr>
          <w:rFonts w:hint="eastAsia" w:ascii="宋体" w:hAnsi="宋体" w:cs="宋体"/>
          <w:color w:val="auto"/>
          <w:sz w:val="24"/>
          <w:highlight w:val="none"/>
        </w:rPr>
        <w:t>第一章“招标公告”规定组织踏勘现场的，招标人按规定的时间、地点组织投标人踏勘项目现场。部分投标人未按时参加踏勘现场的，不影响踏勘现场的正常进行。招标人不得组织单个或部分投标人踏勘项目现场。</w:t>
      </w:r>
    </w:p>
    <w:p w14:paraId="5B63AA0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1.9.2 </w:t>
      </w:r>
      <w:r>
        <w:rPr>
          <w:rFonts w:hint="eastAsia" w:ascii="宋体" w:hAnsi="宋体" w:cs="宋体"/>
          <w:color w:val="auto"/>
          <w:sz w:val="24"/>
          <w:highlight w:val="none"/>
        </w:rPr>
        <w:t>投标人踏勘现场发生的费用自理。</w:t>
      </w:r>
    </w:p>
    <w:p w14:paraId="7B8FB10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1.9.3 </w:t>
      </w:r>
      <w:r>
        <w:rPr>
          <w:rFonts w:hint="eastAsia" w:ascii="宋体" w:hAnsi="宋体" w:cs="宋体"/>
          <w:color w:val="auto"/>
          <w:sz w:val="24"/>
          <w:highlight w:val="none"/>
        </w:rPr>
        <w:t>除招标人的原因外，投标人自行负责在踏勘现场中所发生的人员伤亡和财产损失。</w:t>
      </w:r>
    </w:p>
    <w:p w14:paraId="53B03DB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1.9.4 </w:t>
      </w:r>
      <w:r>
        <w:rPr>
          <w:rFonts w:hint="eastAsia" w:ascii="宋体" w:hAnsi="宋体" w:cs="宋体"/>
          <w:color w:val="auto"/>
          <w:sz w:val="24"/>
          <w:highlight w:val="none"/>
        </w:rPr>
        <w:t>招标人在踏勘现场中介绍的工程场地和相关的周边环境情况，供投标人在编制投标文件时参考，招标人不对投标人据此作出的判断和决策负责。</w:t>
      </w:r>
    </w:p>
    <w:p w14:paraId="6FC16ADC">
      <w:pPr>
        <w:pStyle w:val="6"/>
        <w:rPr>
          <w:rFonts w:hint="eastAsia" w:ascii="Calibri" w:hAnsi="Calibri"/>
          <w:b w:val="0"/>
          <w:bCs w:val="0"/>
          <w:sz w:val="28"/>
          <w:szCs w:val="32"/>
        </w:rPr>
      </w:pPr>
      <w:bookmarkStart w:id="105" w:name="_Toc234382600"/>
      <w:bookmarkStart w:id="106" w:name="_Toc523921603"/>
      <w:bookmarkStart w:id="107" w:name="_Toc74760829"/>
      <w:r>
        <w:rPr>
          <w:rFonts w:hint="eastAsia" w:ascii="Calibri" w:hAnsi="Calibri"/>
          <w:b w:val="0"/>
          <w:bCs w:val="0"/>
          <w:sz w:val="28"/>
          <w:szCs w:val="32"/>
        </w:rPr>
        <w:t>1.10 投标预备会</w:t>
      </w:r>
      <w:bookmarkEnd w:id="105"/>
      <w:bookmarkEnd w:id="106"/>
      <w:bookmarkEnd w:id="107"/>
    </w:p>
    <w:p w14:paraId="4CCCC05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1.10.1 </w:t>
      </w:r>
      <w:r>
        <w:rPr>
          <w:rFonts w:hint="eastAsia" w:ascii="宋体" w:hAnsi="宋体" w:cs="宋体"/>
          <w:color w:val="auto"/>
          <w:sz w:val="24"/>
          <w:highlight w:val="none"/>
        </w:rPr>
        <w:t>第一章“招标公告”规定召开投标预备会的，招标人按规定的时间和地点召开投标预备会，澄清投标人提出的问题。</w:t>
      </w:r>
    </w:p>
    <w:p w14:paraId="2627AE2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1.10.2 </w:t>
      </w:r>
      <w:r>
        <w:rPr>
          <w:rFonts w:hint="eastAsia" w:ascii="宋体" w:hAnsi="宋体" w:cs="宋体"/>
          <w:color w:val="auto"/>
          <w:sz w:val="24"/>
          <w:highlight w:val="none"/>
        </w:rPr>
        <w:t>投标人应按投标人须知前附表规定的时间和形式将提出的问题送达招标人，以便招标人在会议期间澄清。</w:t>
      </w:r>
    </w:p>
    <w:p w14:paraId="6605E43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1.10.3 </w:t>
      </w:r>
      <w:r>
        <w:rPr>
          <w:rFonts w:hint="eastAsia" w:ascii="宋体" w:hAnsi="宋体" w:cs="宋体"/>
          <w:color w:val="auto"/>
          <w:sz w:val="24"/>
          <w:highlight w:val="none"/>
        </w:rPr>
        <w:t>投标预备会后，招标人将对投标人所提问题的澄清，以本章第</w:t>
      </w:r>
      <w:r>
        <w:rPr>
          <w:rFonts w:ascii="宋体" w:hAnsi="宋体" w:cs="宋体"/>
          <w:color w:val="auto"/>
          <w:sz w:val="24"/>
          <w:highlight w:val="none"/>
        </w:rPr>
        <w:t>2.2款规定的形式</w:t>
      </w:r>
      <w:r>
        <w:rPr>
          <w:rFonts w:hint="eastAsia" w:ascii="宋体" w:hAnsi="宋体" w:cs="宋体"/>
          <w:color w:val="auto"/>
          <w:sz w:val="24"/>
          <w:highlight w:val="none"/>
          <w:lang w:val="en-US" w:eastAsia="zh-CN"/>
        </w:rPr>
        <w:t>和时间发出</w:t>
      </w:r>
      <w:r>
        <w:rPr>
          <w:rFonts w:ascii="宋体" w:hAnsi="宋体" w:cs="宋体"/>
          <w:color w:val="auto"/>
          <w:sz w:val="24"/>
          <w:highlight w:val="none"/>
        </w:rPr>
        <w:t>。该澄清内容为招标文件的组成部分。</w:t>
      </w:r>
    </w:p>
    <w:p w14:paraId="62BC5D4D">
      <w:pPr>
        <w:pStyle w:val="6"/>
        <w:rPr>
          <w:rFonts w:hint="eastAsia" w:ascii="Calibri" w:hAnsi="Calibri"/>
          <w:b w:val="0"/>
          <w:bCs w:val="0"/>
          <w:sz w:val="28"/>
          <w:szCs w:val="32"/>
        </w:rPr>
      </w:pPr>
      <w:bookmarkStart w:id="108" w:name="_Toc513556614"/>
      <w:bookmarkStart w:id="109" w:name="_Toc523921604"/>
      <w:bookmarkStart w:id="110" w:name="_Toc513555781"/>
      <w:bookmarkStart w:id="111" w:name="_Toc234382601"/>
      <w:bookmarkStart w:id="112" w:name="_Toc74760830"/>
      <w:bookmarkStart w:id="113" w:name="_Toc513555537"/>
      <w:bookmarkStart w:id="114" w:name="_Toc509828604"/>
      <w:bookmarkStart w:id="115" w:name="_Toc519601438"/>
      <w:r>
        <w:rPr>
          <w:rFonts w:hint="eastAsia" w:ascii="Calibri" w:hAnsi="Calibri"/>
          <w:b w:val="0"/>
          <w:bCs w:val="0"/>
          <w:sz w:val="28"/>
          <w:szCs w:val="32"/>
        </w:rPr>
        <w:t>1.11 分包</w:t>
      </w:r>
      <w:bookmarkEnd w:id="108"/>
      <w:bookmarkEnd w:id="109"/>
      <w:bookmarkEnd w:id="110"/>
      <w:bookmarkEnd w:id="111"/>
      <w:bookmarkEnd w:id="112"/>
      <w:bookmarkEnd w:id="113"/>
      <w:bookmarkEnd w:id="114"/>
      <w:bookmarkEnd w:id="115"/>
    </w:p>
    <w:p w14:paraId="2FF7226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本项目严禁分包。</w:t>
      </w:r>
      <w:bookmarkStart w:id="116" w:name="_Toc234382602"/>
    </w:p>
    <w:p w14:paraId="62FAD210">
      <w:pPr>
        <w:pStyle w:val="6"/>
        <w:rPr>
          <w:rFonts w:hint="eastAsia" w:ascii="Calibri" w:hAnsi="Calibri"/>
          <w:b w:val="0"/>
          <w:bCs w:val="0"/>
          <w:sz w:val="28"/>
          <w:szCs w:val="32"/>
        </w:rPr>
      </w:pPr>
      <w:bookmarkStart w:id="117" w:name="_Toc509828605"/>
      <w:bookmarkStart w:id="118" w:name="_Toc74760831"/>
      <w:bookmarkStart w:id="119" w:name="_Toc513555538"/>
      <w:bookmarkStart w:id="120" w:name="_Toc519601439"/>
      <w:bookmarkStart w:id="121" w:name="_Toc513556615"/>
      <w:bookmarkStart w:id="122" w:name="_Toc513555782"/>
      <w:bookmarkStart w:id="123" w:name="_Toc523921605"/>
      <w:r>
        <w:rPr>
          <w:rFonts w:hint="eastAsia" w:ascii="Calibri" w:hAnsi="Calibri"/>
          <w:b w:val="0"/>
          <w:bCs w:val="0"/>
          <w:sz w:val="28"/>
          <w:szCs w:val="32"/>
        </w:rPr>
        <w:t xml:space="preserve">1.12 </w:t>
      </w:r>
      <w:bookmarkEnd w:id="116"/>
      <w:bookmarkEnd w:id="117"/>
      <w:r>
        <w:rPr>
          <w:rFonts w:hint="eastAsia" w:ascii="Calibri" w:hAnsi="Calibri"/>
          <w:b w:val="0"/>
          <w:bCs w:val="0"/>
          <w:sz w:val="28"/>
          <w:szCs w:val="32"/>
        </w:rPr>
        <w:t>响应和偏差</w:t>
      </w:r>
      <w:bookmarkEnd w:id="118"/>
      <w:bookmarkEnd w:id="119"/>
      <w:bookmarkEnd w:id="120"/>
      <w:bookmarkEnd w:id="121"/>
      <w:bookmarkEnd w:id="122"/>
      <w:bookmarkEnd w:id="123"/>
    </w:p>
    <w:p w14:paraId="1173AA5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1.12.1 </w:t>
      </w:r>
      <w:r>
        <w:rPr>
          <w:rFonts w:hint="eastAsia" w:ascii="宋体" w:hAnsi="宋体" w:cs="宋体"/>
          <w:color w:val="auto"/>
          <w:sz w:val="24"/>
          <w:highlight w:val="none"/>
        </w:rPr>
        <w:t>投标文件偏离招标文件某些要求，视为投标文件存在偏差。偏差包括重大偏差和细微偏差。</w:t>
      </w:r>
    </w:p>
    <w:p w14:paraId="28EF70B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1.12.2 </w:t>
      </w:r>
      <w:r>
        <w:rPr>
          <w:rFonts w:hint="eastAsia" w:ascii="宋体" w:hAnsi="宋体" w:cs="宋体"/>
          <w:color w:val="auto"/>
          <w:sz w:val="24"/>
          <w:highlight w:val="none"/>
        </w:rPr>
        <w:t>投标文件应对招标文件的实质性要求和条件作出满足性或更有利于招标人的响应</w:t>
      </w:r>
      <w:r>
        <w:rPr>
          <w:rFonts w:ascii="宋体" w:hAnsi="宋体" w:cs="宋体"/>
          <w:color w:val="auto"/>
          <w:sz w:val="24"/>
          <w:highlight w:val="none"/>
        </w:rPr>
        <w:t>,否则,视为投标文件存在重大偏差,投标人的投标将被否决。</w:t>
      </w:r>
    </w:p>
    <w:p w14:paraId="14B2E3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投标文件存在第三章“评标办法”中所列任一否决投标情形的</w:t>
      </w:r>
      <w:r>
        <w:rPr>
          <w:rFonts w:ascii="宋体" w:hAnsi="宋体" w:cs="宋体"/>
          <w:color w:val="auto"/>
          <w:sz w:val="24"/>
          <w:highlight w:val="none"/>
        </w:rPr>
        <w:t>,均属于存在重大偏差。</w:t>
      </w:r>
    </w:p>
    <w:p w14:paraId="76A2C99F">
      <w:pPr>
        <w:spacing w:line="360" w:lineRule="auto"/>
        <w:ind w:firstLine="480" w:firstLineChars="200"/>
        <w:rPr>
          <w:rFonts w:hint="eastAsia" w:ascii="宋体" w:hAnsi="宋体" w:eastAsia="宋体" w:cs="宋体"/>
          <w:color w:val="auto"/>
          <w:sz w:val="24"/>
          <w:highlight w:val="none"/>
          <w:lang w:eastAsia="zh-CN"/>
        </w:rPr>
      </w:pPr>
      <w:r>
        <w:rPr>
          <w:rFonts w:ascii="宋体" w:hAnsi="宋体" w:cs="宋体"/>
          <w:color w:val="auto"/>
          <w:sz w:val="24"/>
          <w:highlight w:val="none"/>
        </w:rPr>
        <w:t xml:space="preserve">1.12.3 </w:t>
      </w:r>
      <w:r>
        <w:rPr>
          <w:rFonts w:hint="eastAsia" w:ascii="宋体" w:hAnsi="宋体" w:cs="宋体"/>
          <w:color w:val="auto"/>
          <w:sz w:val="24"/>
          <w:highlight w:val="none"/>
        </w:rPr>
        <w:t>投标文件中的下列偏差为细微偏差</w:t>
      </w:r>
      <w:r>
        <w:rPr>
          <w:rFonts w:hint="eastAsia" w:ascii="宋体" w:hAnsi="宋体" w:cs="宋体"/>
          <w:color w:val="auto"/>
          <w:sz w:val="24"/>
          <w:highlight w:val="none"/>
          <w:lang w:eastAsia="zh-CN"/>
        </w:rPr>
        <w:t>：</w:t>
      </w:r>
    </w:p>
    <w:p w14:paraId="148D728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1）在按照第三章“评标办法”的规定对投标价进行算术性错误修正后,最终投标报价未超过最高投标限价(如有)的情况下,出现第三章“评标办法”规定的算术性错误；</w:t>
      </w:r>
    </w:p>
    <w:p w14:paraId="5332E8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2）技术建议书不够完善；</w:t>
      </w:r>
    </w:p>
    <w:p w14:paraId="26CC9BCA">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ascii="宋体" w:hAnsi="宋体" w:cs="宋体"/>
          <w:color w:val="auto"/>
          <w:sz w:val="24"/>
          <w:highlight w:val="none"/>
        </w:rPr>
        <w:t>3）投标文件页码不连续</w:t>
      </w:r>
      <w:r>
        <w:rPr>
          <w:rFonts w:hint="eastAsia" w:ascii="宋体" w:hAnsi="宋体" w:cs="宋体"/>
          <w:color w:val="auto"/>
          <w:sz w:val="24"/>
          <w:highlight w:val="none"/>
        </w:rPr>
        <w:t>、</w:t>
      </w:r>
      <w:r>
        <w:rPr>
          <w:rFonts w:ascii="宋体" w:hAnsi="宋体" w:cs="宋体"/>
          <w:color w:val="auto"/>
          <w:sz w:val="24"/>
          <w:highlight w:val="none"/>
        </w:rPr>
        <w:t>个别文字有遗漏错误等不影响投标文件实质性内容的偏差</w:t>
      </w:r>
      <w:r>
        <w:rPr>
          <w:rFonts w:hint="eastAsia" w:ascii="宋体" w:hAnsi="宋体" w:cs="宋体"/>
          <w:color w:val="auto"/>
          <w:sz w:val="24"/>
          <w:highlight w:val="none"/>
          <w:lang w:eastAsia="zh-CN"/>
        </w:rPr>
        <w:t>。</w:t>
      </w:r>
    </w:p>
    <w:p w14:paraId="5A8C7B8E">
      <w:pPr>
        <w:spacing w:line="360" w:lineRule="auto"/>
        <w:ind w:firstLine="480" w:firstLineChars="200"/>
        <w:rPr>
          <w:rFonts w:hint="eastAsia" w:ascii="宋体" w:hAnsi="宋体" w:eastAsia="宋体" w:cs="宋体"/>
          <w:color w:val="auto"/>
          <w:sz w:val="24"/>
          <w:highlight w:val="none"/>
          <w:lang w:eastAsia="zh-CN"/>
        </w:rPr>
      </w:pPr>
      <w:r>
        <w:rPr>
          <w:rFonts w:ascii="宋体" w:hAnsi="宋体" w:cs="宋体"/>
          <w:color w:val="auto"/>
          <w:sz w:val="24"/>
          <w:highlight w:val="none"/>
        </w:rPr>
        <w:t xml:space="preserve">1.12.4 </w:t>
      </w:r>
      <w:r>
        <w:rPr>
          <w:rFonts w:hint="eastAsia" w:ascii="宋体" w:hAnsi="宋体" w:cs="宋体"/>
          <w:color w:val="auto"/>
          <w:sz w:val="24"/>
          <w:highlight w:val="none"/>
        </w:rPr>
        <w:t>评标委员会对投标文件中的细微偏差按如下规定处理</w:t>
      </w:r>
      <w:r>
        <w:rPr>
          <w:rFonts w:hint="eastAsia" w:ascii="宋体" w:hAnsi="宋体" w:cs="宋体"/>
          <w:color w:val="auto"/>
          <w:sz w:val="24"/>
          <w:highlight w:val="none"/>
          <w:lang w:eastAsia="zh-CN"/>
        </w:rPr>
        <w:t>：</w:t>
      </w:r>
    </w:p>
    <w:p w14:paraId="43B04A2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1）对于本章第1.12.3项</w:t>
      </w: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）目所述的细微偏差</w:t>
      </w:r>
      <w:r>
        <w:rPr>
          <w:rFonts w:ascii="宋体" w:hAnsi="宋体" w:cs="宋体"/>
          <w:color w:val="auto"/>
          <w:sz w:val="24"/>
          <w:highlight w:val="none"/>
        </w:rPr>
        <w:t>,按照第三章“评标办法”的规定予以修正并要求投标人进行澄清；</w:t>
      </w:r>
    </w:p>
    <w:p w14:paraId="34DD38E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ascii="宋体" w:hAnsi="宋体" w:cs="宋体"/>
          <w:color w:val="auto"/>
          <w:sz w:val="24"/>
          <w:highlight w:val="none"/>
        </w:rPr>
        <w:t>2）对于本章第1.12.3项</w:t>
      </w: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）目所述的细微偏差</w:t>
      </w:r>
      <w:r>
        <w:rPr>
          <w:rFonts w:ascii="宋体" w:hAnsi="宋体" w:cs="宋体"/>
          <w:color w:val="auto"/>
          <w:sz w:val="24"/>
          <w:highlight w:val="none"/>
        </w:rPr>
        <w:t>,可在相关评分因素的评分中酌情扣分</w:t>
      </w:r>
      <w:r>
        <w:rPr>
          <w:rFonts w:hint="eastAsia" w:ascii="宋体" w:hAnsi="宋体" w:cs="宋体"/>
          <w:color w:val="auto"/>
          <w:sz w:val="24"/>
          <w:highlight w:val="none"/>
          <w:lang w:eastAsia="zh-CN"/>
        </w:rPr>
        <w:t>；</w:t>
      </w:r>
    </w:p>
    <w:p w14:paraId="3264F6DA">
      <w:pPr>
        <w:spacing w:line="360" w:lineRule="auto"/>
        <w:ind w:firstLine="480" w:firstLineChars="200"/>
        <w:rPr>
          <w:rFonts w:ascii="宋体" w:hAnsi="宋体" w:cs="宋体"/>
          <w:color w:val="auto"/>
          <w:sz w:val="24"/>
          <w:highlight w:val="none"/>
        </w:rPr>
      </w:pP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3</w:t>
      </w:r>
      <w:r>
        <w:rPr>
          <w:rFonts w:hint="eastAsia" w:ascii="宋体" w:hAnsi="宋体" w:cs="Times New Roman"/>
          <w:color w:val="auto"/>
          <w:sz w:val="24"/>
          <w:highlight w:val="none"/>
          <w:lang w:eastAsia="zh-CN"/>
        </w:rPr>
        <w:t>）</w:t>
      </w:r>
      <w:r>
        <w:rPr>
          <w:rFonts w:hint="eastAsia" w:ascii="宋体" w:hAnsi="宋体" w:eastAsia="宋体" w:cs="Times New Roman"/>
          <w:color w:val="auto"/>
          <w:sz w:val="24"/>
          <w:highlight w:val="none"/>
        </w:rPr>
        <w:t>对于本章第1.12.3项（</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rPr>
        <w:t>）</w:t>
      </w:r>
      <w:r>
        <w:rPr>
          <w:rFonts w:hint="eastAsia" w:ascii="宋体" w:hAnsi="宋体" w:cs="Times New Roman"/>
          <w:color w:val="auto"/>
          <w:sz w:val="24"/>
          <w:highlight w:val="none"/>
          <w:lang w:val="en-US" w:eastAsia="zh-CN"/>
        </w:rPr>
        <w:t>目</w:t>
      </w:r>
      <w:r>
        <w:rPr>
          <w:rFonts w:hint="eastAsia" w:ascii="宋体" w:hAnsi="宋体" w:eastAsia="宋体" w:cs="Times New Roman"/>
          <w:color w:val="auto"/>
          <w:sz w:val="24"/>
          <w:highlight w:val="none"/>
        </w:rPr>
        <w:t>所述的细微偏差，可要求投标人对细微偏差进行澄清</w:t>
      </w:r>
      <w:r>
        <w:rPr>
          <w:rFonts w:hint="eastAsia" w:ascii="宋体" w:hAnsi="宋体" w:cs="Times New Roman"/>
          <w:color w:val="auto"/>
          <w:sz w:val="24"/>
          <w:highlight w:val="none"/>
          <w:lang w:eastAsia="zh-CN"/>
        </w:rPr>
        <w:t>。</w:t>
      </w:r>
    </w:p>
    <w:p w14:paraId="04132A2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1.12.5 </w:t>
      </w:r>
      <w:r>
        <w:rPr>
          <w:rFonts w:hint="eastAsia" w:ascii="宋体" w:hAnsi="宋体" w:cs="宋体"/>
          <w:color w:val="auto"/>
          <w:sz w:val="24"/>
          <w:highlight w:val="none"/>
        </w:rPr>
        <w:t>投标人应根据招标文件的要求提供技术建议书等内容以对招标文件作出响应。</w:t>
      </w:r>
    </w:p>
    <w:p w14:paraId="2DE62907">
      <w:pPr>
        <w:pStyle w:val="5"/>
      </w:pPr>
      <w:bookmarkStart w:id="124" w:name="_Toc28187717"/>
      <w:bookmarkStart w:id="125" w:name="_Toc523921606"/>
      <w:bookmarkStart w:id="126" w:name="_Toc74760832"/>
      <w:r>
        <w:rPr>
          <w:rFonts w:hint="eastAsia"/>
        </w:rPr>
        <w:t>2</w:t>
      </w:r>
      <w:r>
        <w:rPr>
          <w:rFonts w:hint="eastAsia"/>
          <w:lang w:val="en-US" w:eastAsia="zh-CN"/>
        </w:rPr>
        <w:t xml:space="preserve">. </w:t>
      </w:r>
      <w:r>
        <w:rPr>
          <w:rFonts w:hint="eastAsia"/>
        </w:rPr>
        <w:t>招标文件</w:t>
      </w:r>
      <w:bookmarkEnd w:id="124"/>
      <w:bookmarkEnd w:id="125"/>
      <w:bookmarkEnd w:id="126"/>
    </w:p>
    <w:p w14:paraId="7209813A">
      <w:pPr>
        <w:pStyle w:val="6"/>
        <w:rPr>
          <w:rFonts w:hint="eastAsia" w:ascii="Calibri" w:hAnsi="Calibri"/>
          <w:b w:val="0"/>
          <w:bCs w:val="0"/>
          <w:sz w:val="28"/>
          <w:szCs w:val="32"/>
        </w:rPr>
      </w:pPr>
      <w:bookmarkStart w:id="127" w:name="_Toc513555783"/>
      <w:bookmarkStart w:id="128" w:name="_Toc74760833"/>
      <w:bookmarkStart w:id="129" w:name="_Toc523921607"/>
      <w:bookmarkStart w:id="130" w:name="_Toc519601440"/>
      <w:bookmarkStart w:id="131" w:name="_Toc513555539"/>
      <w:bookmarkStart w:id="132" w:name="_Toc513556616"/>
      <w:r>
        <w:rPr>
          <w:rFonts w:hint="eastAsia" w:ascii="Calibri" w:hAnsi="Calibri"/>
          <w:b w:val="0"/>
          <w:bCs w:val="0"/>
          <w:sz w:val="28"/>
          <w:szCs w:val="32"/>
        </w:rPr>
        <w:t>2.1</w:t>
      </w:r>
      <w:r>
        <w:rPr>
          <w:rFonts w:hint="eastAsia"/>
          <w:b w:val="0"/>
          <w:bCs w:val="0"/>
          <w:sz w:val="28"/>
          <w:szCs w:val="32"/>
          <w:lang w:val="en-US" w:eastAsia="zh-CN"/>
        </w:rPr>
        <w:t xml:space="preserve"> </w:t>
      </w:r>
      <w:r>
        <w:rPr>
          <w:rFonts w:hint="eastAsia" w:ascii="Calibri" w:hAnsi="Calibri"/>
          <w:b w:val="0"/>
          <w:bCs w:val="0"/>
          <w:sz w:val="28"/>
          <w:szCs w:val="32"/>
        </w:rPr>
        <w:t>招标文件的组成</w:t>
      </w:r>
      <w:bookmarkEnd w:id="127"/>
      <w:bookmarkEnd w:id="128"/>
      <w:bookmarkEnd w:id="129"/>
      <w:bookmarkEnd w:id="130"/>
      <w:bookmarkEnd w:id="131"/>
      <w:bookmarkEnd w:id="132"/>
    </w:p>
    <w:p w14:paraId="622B26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本招标文件包括：</w:t>
      </w:r>
    </w:p>
    <w:p w14:paraId="587784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1）招标公告；</w:t>
      </w:r>
    </w:p>
    <w:p w14:paraId="483A3D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2）投标人须知；</w:t>
      </w:r>
    </w:p>
    <w:p w14:paraId="0948FC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3）评标办法；</w:t>
      </w:r>
    </w:p>
    <w:p w14:paraId="7CE9E0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4）合同条款及格式；</w:t>
      </w:r>
    </w:p>
    <w:p w14:paraId="14ACB0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5）委托人要求；</w:t>
      </w:r>
    </w:p>
    <w:p w14:paraId="70B6567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6）图纸和资料；</w:t>
      </w:r>
    </w:p>
    <w:p w14:paraId="1BCC85D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7）投标文件格式；</w:t>
      </w:r>
    </w:p>
    <w:p w14:paraId="7F202F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8）投标人须知前附表规定的其他资料。</w:t>
      </w:r>
    </w:p>
    <w:p w14:paraId="657047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根据本章第</w:t>
      </w:r>
      <w:r>
        <w:rPr>
          <w:rFonts w:ascii="宋体" w:hAnsi="宋体" w:cs="宋体"/>
          <w:color w:val="auto"/>
          <w:sz w:val="24"/>
          <w:highlight w:val="none"/>
        </w:rPr>
        <w:t>1.10款、第2.2款和第2.3款对招标文件所作的澄清、修改，构成招标文件的组成部分。</w:t>
      </w:r>
    </w:p>
    <w:p w14:paraId="6F1984A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当招标文件、招标文件的澄清或修改等在同一内容的表述上不一致时，以最后发出的书面文件为准。</w:t>
      </w:r>
    </w:p>
    <w:p w14:paraId="7C1DF845">
      <w:pPr>
        <w:pStyle w:val="6"/>
        <w:rPr>
          <w:rFonts w:hint="eastAsia" w:ascii="Calibri" w:hAnsi="Calibri"/>
          <w:b w:val="0"/>
          <w:bCs w:val="0"/>
          <w:sz w:val="28"/>
          <w:szCs w:val="32"/>
        </w:rPr>
      </w:pPr>
      <w:bookmarkStart w:id="133" w:name="_Toc74760834"/>
      <w:bookmarkStart w:id="134" w:name="_Toc519601441"/>
      <w:bookmarkStart w:id="135" w:name="_Toc513555784"/>
      <w:bookmarkStart w:id="136" w:name="_Toc234382605"/>
      <w:bookmarkStart w:id="137" w:name="_Toc523921608"/>
      <w:bookmarkStart w:id="138" w:name="_Toc509828607"/>
      <w:bookmarkStart w:id="139" w:name="_Toc513555540"/>
      <w:bookmarkStart w:id="140" w:name="_Toc513556617"/>
      <w:r>
        <w:rPr>
          <w:rFonts w:hint="eastAsia" w:ascii="Calibri" w:hAnsi="Calibri"/>
          <w:b w:val="0"/>
          <w:bCs w:val="0"/>
          <w:sz w:val="28"/>
          <w:szCs w:val="32"/>
        </w:rPr>
        <w:t>2.2 招标文件的澄清</w:t>
      </w:r>
      <w:bookmarkEnd w:id="133"/>
      <w:bookmarkEnd w:id="134"/>
      <w:bookmarkEnd w:id="135"/>
      <w:bookmarkEnd w:id="136"/>
      <w:bookmarkEnd w:id="137"/>
      <w:bookmarkEnd w:id="138"/>
      <w:bookmarkEnd w:id="139"/>
      <w:bookmarkEnd w:id="140"/>
    </w:p>
    <w:p w14:paraId="57A3601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2.2.1 </w:t>
      </w:r>
      <w:r>
        <w:rPr>
          <w:rFonts w:hint="eastAsia" w:ascii="宋体" w:hAnsi="宋体" w:cs="宋体"/>
          <w:color w:val="auto"/>
          <w:sz w:val="24"/>
          <w:highlight w:val="none"/>
        </w:rPr>
        <w:t>投标人应仔细阅读和检查招标文件的全部内容。如发现缺页或附件不全，应及时向招标人提出，以便补齐。如有疑问，应在投标人须知前附表规定的时间和形式将提出的问题送达招标人，要求招标人对招标文件予以澄清。</w:t>
      </w:r>
    </w:p>
    <w:p w14:paraId="6D45D56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 </w:t>
      </w:r>
      <w:r>
        <w:rPr>
          <w:rFonts w:hint="eastAsia" w:ascii="宋体" w:hAnsi="宋体" w:cs="宋体"/>
          <w:color w:val="auto"/>
          <w:sz w:val="24"/>
          <w:highlight w:val="none"/>
        </w:rPr>
        <w:t>招标文件的澄清以投标人须知前附表规定的形式发出，但不指明澄清问题的来源。澄清发出的时间距本章第</w:t>
      </w:r>
      <w:r>
        <w:rPr>
          <w:rFonts w:ascii="宋体" w:hAnsi="宋体" w:cs="宋体"/>
          <w:color w:val="auto"/>
          <w:sz w:val="24"/>
          <w:highlight w:val="none"/>
        </w:rPr>
        <w:t>4.2.1项规定的投标截止时间不足15日</w:t>
      </w:r>
      <w:r>
        <w:rPr>
          <w:rFonts w:hint="eastAsia" w:ascii="宋体" w:hAnsi="宋体" w:cs="宋体"/>
          <w:color w:val="auto"/>
          <w:sz w:val="24"/>
          <w:highlight w:val="none"/>
        </w:rPr>
        <w:t>，并且澄清内容可能影响投标文件编制，将相应延长投标截止时间。</w:t>
      </w:r>
    </w:p>
    <w:p w14:paraId="4CEFBCF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2.2.3 </w:t>
      </w:r>
      <w:r>
        <w:rPr>
          <w:rFonts w:hint="eastAsia" w:ascii="宋体" w:hAnsi="宋体" w:cs="宋体"/>
          <w:color w:val="auto"/>
          <w:sz w:val="24"/>
          <w:highlight w:val="none"/>
        </w:rPr>
        <w:t>投标人按照投标人须知前附表要求及时收悉澄清内容。投标人应注意及时浏览澄清发布媒介发出的澄清，因投标人自身原因未及时获知澄清内容而导致的任何后果将由投标人自行承担。</w:t>
      </w:r>
    </w:p>
    <w:p w14:paraId="3E953E0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2.2.4 </w:t>
      </w:r>
      <w:r>
        <w:rPr>
          <w:rFonts w:hint="eastAsia" w:ascii="宋体" w:hAnsi="宋体" w:cs="宋体"/>
          <w:color w:val="auto"/>
          <w:sz w:val="24"/>
          <w:highlight w:val="none"/>
        </w:rPr>
        <w:t>除非招标人认为确有必要答复，否则，招标人有权拒绝回复投标人在本章第</w:t>
      </w:r>
      <w:r>
        <w:rPr>
          <w:rFonts w:ascii="宋体" w:hAnsi="宋体" w:cs="宋体"/>
          <w:color w:val="auto"/>
          <w:sz w:val="24"/>
          <w:highlight w:val="none"/>
        </w:rPr>
        <w:t>2.2.1项规定的时间后</w:t>
      </w:r>
      <w:r>
        <w:rPr>
          <w:rFonts w:hint="eastAsia" w:ascii="宋体" w:hAnsi="宋体" w:cs="宋体"/>
          <w:color w:val="auto"/>
          <w:sz w:val="24"/>
          <w:highlight w:val="none"/>
        </w:rPr>
        <w:t>提出的任何澄清要求。</w:t>
      </w:r>
    </w:p>
    <w:p w14:paraId="2B423F38">
      <w:pPr>
        <w:pStyle w:val="6"/>
        <w:rPr>
          <w:rFonts w:hint="eastAsia" w:ascii="Calibri" w:hAnsi="Calibri"/>
          <w:b w:val="0"/>
          <w:bCs w:val="0"/>
          <w:sz w:val="28"/>
          <w:szCs w:val="32"/>
        </w:rPr>
      </w:pPr>
      <w:bookmarkStart w:id="141" w:name="_Toc74760835"/>
      <w:bookmarkStart w:id="142" w:name="_Toc523921609"/>
      <w:r>
        <w:rPr>
          <w:rFonts w:hint="eastAsia" w:ascii="Calibri" w:hAnsi="Calibri"/>
          <w:b w:val="0"/>
          <w:bCs w:val="0"/>
          <w:sz w:val="28"/>
          <w:szCs w:val="32"/>
        </w:rPr>
        <w:t>2.3 招标文件的修改</w:t>
      </w:r>
      <w:bookmarkEnd w:id="141"/>
      <w:bookmarkEnd w:id="142"/>
    </w:p>
    <w:p w14:paraId="142CC76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2.3.1 </w:t>
      </w:r>
      <w:r>
        <w:rPr>
          <w:rFonts w:hint="eastAsia" w:ascii="宋体" w:hAnsi="宋体" w:cs="宋体"/>
          <w:color w:val="auto"/>
          <w:sz w:val="24"/>
          <w:highlight w:val="none"/>
        </w:rPr>
        <w:t>招标人以投标人须知前附表规定的形式修改招标文件，修改招标文件的时间距本章第</w:t>
      </w:r>
      <w:r>
        <w:rPr>
          <w:rFonts w:ascii="宋体" w:hAnsi="宋体" w:cs="宋体"/>
          <w:color w:val="auto"/>
          <w:sz w:val="24"/>
          <w:highlight w:val="none"/>
        </w:rPr>
        <w:t>4.2.1项规定的投标截止时间不足15日，且修改内容可能影响投标文件编制的，将相应延长投标截止时间。</w:t>
      </w:r>
    </w:p>
    <w:p w14:paraId="35015B5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2.3.2 </w:t>
      </w:r>
      <w:r>
        <w:rPr>
          <w:rFonts w:hint="eastAsia" w:ascii="宋体" w:hAnsi="宋体" w:cs="宋体"/>
          <w:color w:val="auto"/>
          <w:sz w:val="24"/>
          <w:highlight w:val="none"/>
        </w:rPr>
        <w:t>投标人按照投标人须知前附表要求及时收悉修改内容。</w:t>
      </w:r>
      <w:bookmarkStart w:id="143" w:name="_Toc234382607"/>
      <w:r>
        <w:rPr>
          <w:rFonts w:hint="eastAsia" w:ascii="宋体" w:hAnsi="宋体" w:cs="宋体"/>
          <w:color w:val="auto"/>
          <w:sz w:val="24"/>
          <w:highlight w:val="none"/>
        </w:rPr>
        <w:t>投标人应注意及时浏览澄清发布媒介发出的修改，因投标人自身原因未及时获知修改内容而导致的任何后果将由投标人自行承担。</w:t>
      </w:r>
    </w:p>
    <w:p w14:paraId="73F34A9E">
      <w:pPr>
        <w:pStyle w:val="6"/>
        <w:rPr>
          <w:rFonts w:hint="eastAsia" w:ascii="Calibri" w:hAnsi="Calibri"/>
          <w:b w:val="0"/>
          <w:bCs w:val="0"/>
          <w:sz w:val="28"/>
          <w:szCs w:val="32"/>
        </w:rPr>
      </w:pPr>
      <w:bookmarkStart w:id="144" w:name="_Toc74760836"/>
      <w:bookmarkStart w:id="145" w:name="_Toc523921610"/>
      <w:r>
        <w:rPr>
          <w:rFonts w:hint="eastAsia" w:ascii="Calibri" w:hAnsi="Calibri"/>
          <w:b w:val="0"/>
          <w:bCs w:val="0"/>
          <w:sz w:val="28"/>
          <w:szCs w:val="32"/>
        </w:rPr>
        <w:t>2.4</w:t>
      </w:r>
      <w:r>
        <w:rPr>
          <w:rFonts w:hint="eastAsia"/>
          <w:b w:val="0"/>
          <w:bCs w:val="0"/>
          <w:sz w:val="28"/>
          <w:szCs w:val="32"/>
          <w:lang w:val="en-US" w:eastAsia="zh-CN"/>
        </w:rPr>
        <w:t xml:space="preserve"> </w:t>
      </w:r>
      <w:r>
        <w:rPr>
          <w:rFonts w:hint="eastAsia" w:ascii="Calibri" w:hAnsi="Calibri"/>
          <w:b w:val="0"/>
          <w:bCs w:val="0"/>
          <w:sz w:val="28"/>
          <w:szCs w:val="32"/>
        </w:rPr>
        <w:t>招标文件的异议</w:t>
      </w:r>
      <w:bookmarkEnd w:id="144"/>
      <w:bookmarkEnd w:id="145"/>
    </w:p>
    <w:p w14:paraId="3A6694D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投标人或其他利害关系人对招标文件有异议的，应在投标截止时间</w:t>
      </w:r>
      <w:r>
        <w:rPr>
          <w:rFonts w:ascii="宋体" w:hAnsi="宋体" w:cs="宋体"/>
          <w:color w:val="auto"/>
          <w:sz w:val="24"/>
          <w:highlight w:val="none"/>
        </w:rPr>
        <w:t>10日前提出。招标人将在收到异议之日起3日内作出答复；作出答复前，将暂停招标投标活动。</w:t>
      </w:r>
    </w:p>
    <w:p w14:paraId="43A29DEB">
      <w:pPr>
        <w:pStyle w:val="5"/>
      </w:pPr>
      <w:bookmarkStart w:id="146" w:name="_Toc523921611"/>
      <w:bookmarkStart w:id="147" w:name="_Toc28187718"/>
      <w:bookmarkStart w:id="148" w:name="_Toc74760837"/>
      <w:r>
        <w:t xml:space="preserve">3. </w:t>
      </w:r>
      <w:r>
        <w:rPr>
          <w:rFonts w:hint="eastAsia"/>
        </w:rPr>
        <w:t>投标文件</w:t>
      </w:r>
      <w:bookmarkEnd w:id="143"/>
      <w:bookmarkEnd w:id="146"/>
      <w:bookmarkEnd w:id="147"/>
      <w:bookmarkEnd w:id="148"/>
    </w:p>
    <w:p w14:paraId="10F339CE">
      <w:pPr>
        <w:pStyle w:val="6"/>
        <w:rPr>
          <w:rFonts w:hint="eastAsia" w:ascii="Calibri" w:hAnsi="Calibri"/>
          <w:b w:val="0"/>
          <w:bCs w:val="0"/>
          <w:sz w:val="28"/>
          <w:szCs w:val="32"/>
        </w:rPr>
      </w:pPr>
      <w:bookmarkStart w:id="149" w:name="_Toc513555541"/>
      <w:bookmarkStart w:id="150" w:name="_Toc523921612"/>
      <w:bookmarkStart w:id="151" w:name="_Toc234382608"/>
      <w:bookmarkStart w:id="152" w:name="_Toc513555785"/>
      <w:bookmarkStart w:id="153" w:name="_Toc519601442"/>
      <w:bookmarkStart w:id="154" w:name="_Toc509828608"/>
      <w:bookmarkStart w:id="155" w:name="_Toc513556618"/>
      <w:bookmarkStart w:id="156" w:name="_Toc74760838"/>
      <w:r>
        <w:rPr>
          <w:rFonts w:hint="eastAsia" w:ascii="Calibri" w:hAnsi="Calibri"/>
          <w:b w:val="0"/>
          <w:bCs w:val="0"/>
          <w:sz w:val="28"/>
          <w:szCs w:val="32"/>
        </w:rPr>
        <w:t>3.1 投标文件的组成</w:t>
      </w:r>
      <w:bookmarkEnd w:id="149"/>
      <w:bookmarkEnd w:id="150"/>
      <w:bookmarkEnd w:id="151"/>
      <w:bookmarkEnd w:id="152"/>
      <w:bookmarkEnd w:id="153"/>
      <w:bookmarkEnd w:id="154"/>
      <w:bookmarkEnd w:id="155"/>
      <w:bookmarkEnd w:id="156"/>
    </w:p>
    <w:p w14:paraId="0B2E507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3.1.1</w:t>
      </w:r>
      <w:r>
        <w:rPr>
          <w:rFonts w:hint="eastAsia" w:ascii="宋体" w:hAnsi="宋体" w:cs="宋体"/>
          <w:color w:val="auto"/>
          <w:sz w:val="24"/>
          <w:highlight w:val="none"/>
        </w:rPr>
        <w:t>投标文件应采用双信封形式，包括下列内容：</w:t>
      </w:r>
    </w:p>
    <w:p w14:paraId="08C8451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第一个信封（商务及技术文件）：</w:t>
      </w:r>
    </w:p>
    <w:p w14:paraId="1DA519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1）投标函；</w:t>
      </w:r>
    </w:p>
    <w:p w14:paraId="4F83FC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2）授权委托书或法定代表人身份证明；</w:t>
      </w:r>
    </w:p>
    <w:p w14:paraId="0BB6BA0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3）联合体协议书；</w:t>
      </w:r>
    </w:p>
    <w:p w14:paraId="3AE805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4）投标保证金；</w:t>
      </w:r>
    </w:p>
    <w:p w14:paraId="62CA4B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5）资格审查资料；</w:t>
      </w:r>
    </w:p>
    <w:p w14:paraId="629165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6）技术建议书；</w:t>
      </w:r>
    </w:p>
    <w:p w14:paraId="40FAF8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7）其他资料</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0A1230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第二个信封（报价文件）：</w:t>
      </w:r>
    </w:p>
    <w:p w14:paraId="4CB17A4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1）投标函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第二个信封</w:t>
      </w:r>
      <w:r>
        <w:rPr>
          <w:rFonts w:hint="eastAsia" w:ascii="宋体" w:hAnsi="宋体" w:cs="宋体"/>
          <w:color w:val="auto"/>
          <w:sz w:val="24"/>
          <w:highlight w:val="none"/>
          <w:lang w:eastAsia="zh-CN"/>
        </w:rPr>
        <w:t>）</w:t>
      </w:r>
      <w:r>
        <w:rPr>
          <w:rFonts w:ascii="宋体" w:hAnsi="宋体" w:cs="宋体"/>
          <w:color w:val="auto"/>
          <w:sz w:val="24"/>
          <w:highlight w:val="none"/>
        </w:rPr>
        <w:t>；</w:t>
      </w:r>
    </w:p>
    <w:p w14:paraId="71B7C0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2）监理</w:t>
      </w:r>
      <w:r>
        <w:rPr>
          <w:rFonts w:hint="eastAsia" w:ascii="宋体" w:hAnsi="宋体" w:cs="宋体"/>
          <w:color w:val="auto"/>
          <w:sz w:val="24"/>
          <w:highlight w:val="none"/>
        </w:rPr>
        <w:t>试验室服务费用清单。</w:t>
      </w:r>
    </w:p>
    <w:p w14:paraId="63871DF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投标人在评标过程中作出的符合法律法规和招标文件规定的澄清确认，构成投标文件的组成部分。</w:t>
      </w:r>
    </w:p>
    <w:p w14:paraId="25A0091F">
      <w:pPr>
        <w:spacing w:line="360" w:lineRule="auto"/>
        <w:ind w:firstLine="480" w:firstLineChars="200"/>
        <w:rPr>
          <w:rFonts w:ascii="宋体" w:hAnsi="宋体" w:cs="宋体"/>
          <w:color w:val="auto"/>
          <w:sz w:val="24"/>
          <w:highlight w:val="none"/>
        </w:rPr>
      </w:pPr>
      <w:bookmarkStart w:id="157" w:name="_Toc234382609"/>
      <w:bookmarkStart w:id="158" w:name="_Toc509828609"/>
      <w:r>
        <w:rPr>
          <w:rFonts w:ascii="宋体" w:hAnsi="宋体" w:cs="宋体"/>
          <w:color w:val="auto"/>
          <w:sz w:val="24"/>
          <w:highlight w:val="none"/>
        </w:rPr>
        <w:t xml:space="preserve">3.1.2 </w:t>
      </w:r>
      <w:r>
        <w:rPr>
          <w:rFonts w:hint="eastAsia" w:ascii="宋体" w:hAnsi="宋体" w:cs="宋体"/>
          <w:color w:val="auto"/>
          <w:sz w:val="24"/>
          <w:highlight w:val="none"/>
        </w:rPr>
        <w:t>投标人须知前附表规定不接受联合体投标的，或投标人没有组成联合体的，投标文件不包括本章第</w:t>
      </w:r>
      <w:r>
        <w:rPr>
          <w:rFonts w:ascii="宋体" w:hAnsi="宋体" w:cs="宋体"/>
          <w:color w:val="auto"/>
          <w:sz w:val="24"/>
          <w:highlight w:val="none"/>
        </w:rPr>
        <w:t>3.1.1</w:t>
      </w:r>
      <w:r>
        <w:rPr>
          <w:rFonts w:hint="eastAsia" w:ascii="宋体" w:hAnsi="宋体" w:cs="宋体"/>
          <w:color w:val="auto"/>
          <w:sz w:val="24"/>
          <w:highlight w:val="none"/>
          <w:lang w:val="en-US" w:eastAsia="zh-CN"/>
        </w:rPr>
        <w:t>项</w:t>
      </w:r>
      <w:r>
        <w:rPr>
          <w:rFonts w:ascii="宋体" w:hAnsi="宋体" w:cs="宋体"/>
          <w:color w:val="auto"/>
          <w:sz w:val="24"/>
          <w:highlight w:val="none"/>
        </w:rPr>
        <w:t>（3）目所指的联合体协议书。</w:t>
      </w:r>
    </w:p>
    <w:p w14:paraId="2ABF077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3.1.3 </w:t>
      </w:r>
      <w:r>
        <w:rPr>
          <w:rFonts w:hint="eastAsia" w:ascii="宋体" w:hAnsi="宋体" w:cs="宋体"/>
          <w:color w:val="auto"/>
          <w:sz w:val="24"/>
          <w:highlight w:val="none"/>
        </w:rPr>
        <w:t>投标人须知前附表未要求提交投标保证金的，投标文件不包括本章第</w:t>
      </w:r>
      <w:r>
        <w:rPr>
          <w:rFonts w:ascii="宋体" w:hAnsi="宋体" w:cs="宋体"/>
          <w:color w:val="auto"/>
          <w:sz w:val="24"/>
          <w:highlight w:val="none"/>
        </w:rPr>
        <w:t>3.1.1</w:t>
      </w:r>
      <w:r>
        <w:rPr>
          <w:rFonts w:hint="eastAsia" w:ascii="宋体" w:hAnsi="宋体" w:cs="宋体"/>
          <w:color w:val="auto"/>
          <w:sz w:val="24"/>
          <w:highlight w:val="none"/>
          <w:lang w:val="en-US" w:eastAsia="zh-CN"/>
        </w:rPr>
        <w:t>项</w:t>
      </w:r>
      <w:r>
        <w:rPr>
          <w:rFonts w:ascii="宋体" w:hAnsi="宋体" w:cs="宋体"/>
          <w:color w:val="auto"/>
          <w:sz w:val="24"/>
          <w:highlight w:val="none"/>
        </w:rPr>
        <w:t>（4）目所指的投标保证金。</w:t>
      </w:r>
    </w:p>
    <w:p w14:paraId="0282742B">
      <w:pPr>
        <w:pStyle w:val="6"/>
        <w:rPr>
          <w:rFonts w:hint="eastAsia" w:ascii="Calibri" w:hAnsi="Calibri"/>
          <w:b w:val="0"/>
          <w:bCs w:val="0"/>
          <w:sz w:val="28"/>
          <w:szCs w:val="32"/>
        </w:rPr>
      </w:pPr>
      <w:bookmarkStart w:id="159" w:name="_Toc519601443"/>
      <w:bookmarkStart w:id="160" w:name="_Toc523921613"/>
      <w:bookmarkStart w:id="161" w:name="_Toc74760839"/>
      <w:bookmarkStart w:id="162" w:name="_Toc513555786"/>
      <w:bookmarkStart w:id="163" w:name="_Toc513556619"/>
      <w:bookmarkStart w:id="164" w:name="_Toc513555542"/>
      <w:r>
        <w:rPr>
          <w:rFonts w:hint="eastAsia" w:ascii="Calibri" w:hAnsi="Calibri"/>
          <w:b w:val="0"/>
          <w:bCs w:val="0"/>
          <w:sz w:val="28"/>
          <w:szCs w:val="32"/>
        </w:rPr>
        <w:t>3.2 投标报价</w:t>
      </w:r>
      <w:bookmarkEnd w:id="157"/>
      <w:bookmarkEnd w:id="158"/>
      <w:bookmarkEnd w:id="159"/>
      <w:bookmarkEnd w:id="160"/>
      <w:bookmarkEnd w:id="161"/>
      <w:bookmarkEnd w:id="162"/>
      <w:bookmarkEnd w:id="163"/>
      <w:bookmarkEnd w:id="164"/>
    </w:p>
    <w:p w14:paraId="2F46D8B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3.2.1 </w:t>
      </w:r>
      <w:r>
        <w:rPr>
          <w:rFonts w:hint="eastAsia" w:ascii="宋体" w:hAnsi="宋体" w:cs="宋体"/>
          <w:color w:val="auto"/>
          <w:sz w:val="24"/>
          <w:highlight w:val="none"/>
        </w:rPr>
        <w:t>投标报价应包括国家规定的增值税税金</w:t>
      </w:r>
      <w:r>
        <w:rPr>
          <w:rFonts w:ascii="宋体" w:hAnsi="宋体" w:cs="宋体"/>
          <w:color w:val="auto"/>
          <w:sz w:val="24"/>
          <w:highlight w:val="none"/>
        </w:rPr>
        <w:t>,除投标人须知前附表另有规定外,增值税税金按一般计税方法计算。投标人应按第七章“投标文件格式”的要求在投标函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第二个信封</w:t>
      </w:r>
      <w:r>
        <w:rPr>
          <w:rFonts w:hint="eastAsia" w:ascii="宋体" w:hAnsi="宋体" w:cs="宋体"/>
          <w:color w:val="auto"/>
          <w:sz w:val="24"/>
          <w:highlight w:val="none"/>
          <w:lang w:eastAsia="zh-CN"/>
        </w:rPr>
        <w:t>）</w:t>
      </w:r>
      <w:r>
        <w:rPr>
          <w:rFonts w:ascii="宋体" w:hAnsi="宋体" w:cs="宋体"/>
          <w:color w:val="auto"/>
          <w:sz w:val="24"/>
          <w:highlight w:val="none"/>
        </w:rPr>
        <w:t>中进行报价并填写监理</w:t>
      </w:r>
      <w:r>
        <w:rPr>
          <w:rFonts w:hint="eastAsia" w:ascii="宋体" w:hAnsi="宋体" w:cs="宋体"/>
          <w:color w:val="auto"/>
          <w:sz w:val="24"/>
          <w:highlight w:val="none"/>
        </w:rPr>
        <w:t>试验室服务费用清单相应表格。</w:t>
      </w:r>
    </w:p>
    <w:p w14:paraId="253126F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3.2.2 </w:t>
      </w:r>
      <w:r>
        <w:rPr>
          <w:rFonts w:hint="eastAsia" w:ascii="宋体" w:hAnsi="宋体" w:cs="宋体"/>
          <w:color w:val="auto"/>
          <w:sz w:val="24"/>
          <w:highlight w:val="none"/>
        </w:rPr>
        <w:t>投标人应充分了解本项目的总体情况以及影响投标报价的其他要素</w:t>
      </w:r>
      <w:r>
        <w:rPr>
          <w:rFonts w:ascii="宋体" w:hAnsi="宋体" w:cs="宋体"/>
          <w:color w:val="auto"/>
          <w:sz w:val="24"/>
          <w:highlight w:val="none"/>
        </w:rPr>
        <w:t>,按照招标文件规定的</w:t>
      </w:r>
      <w:r>
        <w:rPr>
          <w:rFonts w:hint="eastAsia" w:ascii="宋体" w:hAnsi="宋体" w:cs="宋体"/>
          <w:color w:val="auto"/>
          <w:sz w:val="24"/>
          <w:highlight w:val="none"/>
        </w:rPr>
        <w:t>监理试验室工作内容和计划工作量</w:t>
      </w:r>
      <w:r>
        <w:rPr>
          <w:rFonts w:ascii="宋体" w:hAnsi="宋体" w:cs="宋体"/>
          <w:color w:val="auto"/>
          <w:sz w:val="24"/>
          <w:highlight w:val="none"/>
        </w:rPr>
        <w:t>,自行测算监理</w:t>
      </w:r>
      <w:r>
        <w:rPr>
          <w:rFonts w:hint="eastAsia" w:ascii="宋体" w:hAnsi="宋体" w:cs="宋体"/>
          <w:color w:val="auto"/>
          <w:sz w:val="24"/>
          <w:highlight w:val="none"/>
        </w:rPr>
        <w:t>试验室服务费用。投标报价应涵盖投标人完成施工准备阶段、施工阶段、缺陷责任期阶段监理试验室工作所需的全部费用。</w:t>
      </w:r>
    </w:p>
    <w:p w14:paraId="4B8BD2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投标人应按照第七章“投标文件格式”中“监理试验室服务费用清单”的要求填报监理试验室服务费。投标人未填报的部分</w:t>
      </w:r>
      <w:r>
        <w:rPr>
          <w:rFonts w:ascii="宋体" w:hAnsi="宋体" w:cs="宋体"/>
          <w:color w:val="auto"/>
          <w:sz w:val="24"/>
          <w:highlight w:val="none"/>
        </w:rPr>
        <w:t>,在工程实施时委托人将不予支付,并认为该部分费用已包含在报价中。</w:t>
      </w:r>
    </w:p>
    <w:p w14:paraId="1609087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3.2.3 </w:t>
      </w:r>
      <w:r>
        <w:rPr>
          <w:rFonts w:hint="eastAsia" w:ascii="宋体" w:hAnsi="宋体" w:cs="宋体"/>
          <w:color w:val="auto"/>
          <w:sz w:val="24"/>
          <w:highlight w:val="none"/>
        </w:rPr>
        <w:t>本项目的报价方式见投标人须知前附表。投标人在投标截止时间前修改投标函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第二个信封</w:t>
      </w:r>
      <w:r>
        <w:rPr>
          <w:rFonts w:hint="eastAsia" w:ascii="宋体" w:hAnsi="宋体" w:cs="宋体"/>
          <w:color w:val="auto"/>
          <w:sz w:val="24"/>
          <w:highlight w:val="none"/>
          <w:lang w:eastAsia="zh-CN"/>
        </w:rPr>
        <w:t>）</w:t>
      </w:r>
      <w:r>
        <w:rPr>
          <w:rFonts w:hint="eastAsia" w:ascii="宋体" w:hAnsi="宋体" w:cs="宋体"/>
          <w:color w:val="auto"/>
          <w:sz w:val="24"/>
          <w:highlight w:val="none"/>
        </w:rPr>
        <w:t>中的投标报价总额</w:t>
      </w:r>
      <w:r>
        <w:rPr>
          <w:rFonts w:ascii="宋体" w:hAnsi="宋体" w:cs="宋体"/>
          <w:color w:val="auto"/>
          <w:sz w:val="24"/>
          <w:highlight w:val="none"/>
        </w:rPr>
        <w:t>,应同时修改投标文件“监理</w:t>
      </w:r>
      <w:r>
        <w:rPr>
          <w:rFonts w:hint="eastAsia" w:ascii="宋体" w:hAnsi="宋体" w:cs="宋体"/>
          <w:color w:val="auto"/>
          <w:sz w:val="24"/>
          <w:highlight w:val="none"/>
        </w:rPr>
        <w:t>试验室服务费用清单”中的相应报价。此项修改须符合本章第</w:t>
      </w:r>
      <w:r>
        <w:rPr>
          <w:rFonts w:ascii="宋体" w:hAnsi="宋体" w:cs="宋体"/>
          <w:color w:val="auto"/>
          <w:sz w:val="24"/>
          <w:highlight w:val="none"/>
        </w:rPr>
        <w:t>4.3款的有关要求。</w:t>
      </w:r>
    </w:p>
    <w:p w14:paraId="377714E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招标人设有最高投标限价的，投标人的投标报价不得超过最高投标限价，最高投标限价在投标人须知前附表中载明。</w:t>
      </w:r>
    </w:p>
    <w:p w14:paraId="63AD162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3.2.5投标报价的其他要求见投标人须知前附表。</w:t>
      </w:r>
    </w:p>
    <w:p w14:paraId="48553254">
      <w:pPr>
        <w:pStyle w:val="6"/>
        <w:rPr>
          <w:rFonts w:hint="eastAsia" w:ascii="Calibri" w:hAnsi="Calibri"/>
          <w:b w:val="0"/>
          <w:bCs w:val="0"/>
          <w:sz w:val="28"/>
          <w:szCs w:val="32"/>
        </w:rPr>
      </w:pPr>
      <w:bookmarkStart w:id="165" w:name="_Toc513555543"/>
      <w:bookmarkStart w:id="166" w:name="_Toc513556620"/>
      <w:bookmarkStart w:id="167" w:name="_Toc519601444"/>
      <w:bookmarkStart w:id="168" w:name="_Toc523921614"/>
      <w:bookmarkStart w:id="169" w:name="_Toc74760840"/>
      <w:bookmarkStart w:id="170" w:name="_Toc513555787"/>
      <w:r>
        <w:rPr>
          <w:rFonts w:hint="eastAsia" w:ascii="Calibri" w:hAnsi="Calibri"/>
          <w:b w:val="0"/>
          <w:bCs w:val="0"/>
          <w:sz w:val="28"/>
          <w:szCs w:val="32"/>
        </w:rPr>
        <w:t>3.3</w:t>
      </w:r>
      <w:r>
        <w:rPr>
          <w:rFonts w:hint="eastAsia"/>
          <w:b w:val="0"/>
          <w:bCs w:val="0"/>
          <w:sz w:val="28"/>
          <w:szCs w:val="32"/>
          <w:lang w:val="en-US" w:eastAsia="zh-CN"/>
        </w:rPr>
        <w:t xml:space="preserve"> </w:t>
      </w:r>
      <w:r>
        <w:rPr>
          <w:rFonts w:hint="eastAsia" w:ascii="Calibri" w:hAnsi="Calibri"/>
          <w:b w:val="0"/>
          <w:bCs w:val="0"/>
          <w:sz w:val="28"/>
          <w:szCs w:val="32"/>
        </w:rPr>
        <w:t>投标有效期</w:t>
      </w:r>
      <w:bookmarkEnd w:id="165"/>
      <w:bookmarkEnd w:id="166"/>
      <w:bookmarkEnd w:id="167"/>
      <w:bookmarkEnd w:id="168"/>
      <w:bookmarkEnd w:id="169"/>
      <w:bookmarkEnd w:id="170"/>
    </w:p>
    <w:p w14:paraId="20ADC5B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3.3.1 </w:t>
      </w:r>
      <w:r>
        <w:rPr>
          <w:rFonts w:hint="eastAsia" w:ascii="宋体" w:hAnsi="宋体" w:cs="宋体"/>
          <w:color w:val="auto"/>
          <w:sz w:val="24"/>
          <w:highlight w:val="none"/>
        </w:rPr>
        <w:t>除投标人须知前附表另有规定外，投标有效期为</w:t>
      </w:r>
      <w:r>
        <w:rPr>
          <w:rFonts w:ascii="宋体" w:hAnsi="宋体" w:cs="宋体"/>
          <w:color w:val="auto"/>
          <w:sz w:val="24"/>
          <w:highlight w:val="none"/>
        </w:rPr>
        <w:t>90日。</w:t>
      </w:r>
    </w:p>
    <w:p w14:paraId="045E201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3.3.2 </w:t>
      </w:r>
      <w:r>
        <w:rPr>
          <w:rFonts w:hint="eastAsia" w:ascii="宋体" w:hAnsi="宋体" w:cs="宋体"/>
          <w:color w:val="auto"/>
          <w:sz w:val="24"/>
          <w:highlight w:val="none"/>
        </w:rPr>
        <w:t>在投标有效期内，投标人撤销投标文件的，应承担招标文件和法律规定的责任。</w:t>
      </w:r>
    </w:p>
    <w:p w14:paraId="0542D59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3.3.3 </w:t>
      </w:r>
      <w:r>
        <w:rPr>
          <w:rFonts w:hint="eastAsia" w:ascii="宋体" w:hAnsi="宋体" w:cs="宋体"/>
          <w:color w:val="auto"/>
          <w:sz w:val="24"/>
          <w:highlight w:val="none"/>
        </w:rPr>
        <w:t>出现特殊情况需要延长</w:t>
      </w:r>
      <w:r>
        <w:rPr>
          <w:rFonts w:hint="eastAsia" w:ascii="宋体" w:hAnsi="宋体" w:cs="宋体"/>
          <w:color w:val="auto"/>
          <w:sz w:val="24"/>
          <w:highlight w:val="none"/>
          <w:lang w:val="en-US" w:eastAsia="zh-CN"/>
        </w:rPr>
        <w:t>投标有效期</w:t>
      </w:r>
      <w:r>
        <w:rPr>
          <w:rFonts w:hint="eastAsia" w:ascii="宋体" w:hAnsi="宋体" w:cs="宋体"/>
          <w:color w:val="auto"/>
          <w:sz w:val="24"/>
          <w:highlight w:val="none"/>
        </w:rPr>
        <w:t>的</w:t>
      </w:r>
      <w:r>
        <w:rPr>
          <w:rFonts w:hint="eastAsia" w:ascii="宋体" w:hAnsi="宋体" w:cs="宋体"/>
          <w:color w:val="auto"/>
          <w:sz w:val="24"/>
          <w:highlight w:val="none"/>
          <w:lang w:eastAsia="zh-CN"/>
        </w:rPr>
        <w:t>，</w:t>
      </w:r>
      <w:r>
        <w:rPr>
          <w:rFonts w:ascii="宋体" w:hAnsi="宋体" w:cs="宋体"/>
          <w:color w:val="auto"/>
          <w:sz w:val="24"/>
          <w:highlight w:val="none"/>
        </w:rPr>
        <w:t>招标人以书面形式通知所有投标人延长投标有效期。投标人应予以书面答复</w:t>
      </w:r>
      <w:r>
        <w:rPr>
          <w:rFonts w:hint="eastAsia" w:ascii="宋体" w:hAnsi="宋体" w:cs="宋体"/>
          <w:color w:val="auto"/>
          <w:sz w:val="24"/>
          <w:highlight w:val="none"/>
          <w:lang w:eastAsia="zh-CN"/>
        </w:rPr>
        <w:t>，</w:t>
      </w:r>
      <w:r>
        <w:rPr>
          <w:rFonts w:ascii="宋体" w:hAnsi="宋体" w:cs="宋体"/>
          <w:color w:val="auto"/>
          <w:sz w:val="24"/>
          <w:highlight w:val="none"/>
        </w:rPr>
        <w:t>同意延长的</w:t>
      </w:r>
      <w:r>
        <w:rPr>
          <w:rFonts w:hint="eastAsia" w:ascii="宋体" w:hAnsi="宋体" w:cs="宋体"/>
          <w:color w:val="auto"/>
          <w:sz w:val="24"/>
          <w:highlight w:val="none"/>
          <w:lang w:eastAsia="zh-CN"/>
        </w:rPr>
        <w:t>，</w:t>
      </w:r>
      <w:r>
        <w:rPr>
          <w:rFonts w:ascii="宋体" w:hAnsi="宋体" w:cs="宋体"/>
          <w:color w:val="auto"/>
          <w:sz w:val="24"/>
          <w:highlight w:val="none"/>
        </w:rPr>
        <w:t>应相应延长其投标保证金的有效期</w:t>
      </w:r>
      <w:r>
        <w:rPr>
          <w:rFonts w:hint="eastAsia" w:ascii="宋体" w:hAnsi="宋体" w:cs="宋体"/>
          <w:color w:val="auto"/>
          <w:sz w:val="24"/>
          <w:highlight w:val="none"/>
          <w:lang w:eastAsia="zh-CN"/>
        </w:rPr>
        <w:t>，</w:t>
      </w:r>
      <w:r>
        <w:rPr>
          <w:rFonts w:ascii="宋体" w:hAnsi="宋体" w:cs="宋体"/>
          <w:color w:val="auto"/>
          <w:sz w:val="24"/>
          <w:highlight w:val="none"/>
        </w:rPr>
        <w:t>但不得要求或被允许修改其投标文件；投标人拒绝延长的</w:t>
      </w:r>
      <w:r>
        <w:rPr>
          <w:rFonts w:hint="eastAsia" w:ascii="宋体" w:hAnsi="宋体" w:cs="宋体"/>
          <w:color w:val="auto"/>
          <w:sz w:val="24"/>
          <w:highlight w:val="none"/>
          <w:lang w:eastAsia="zh-CN"/>
        </w:rPr>
        <w:t>，</w:t>
      </w:r>
      <w:r>
        <w:rPr>
          <w:rFonts w:ascii="宋体" w:hAnsi="宋体" w:cs="宋体"/>
          <w:color w:val="auto"/>
          <w:sz w:val="24"/>
          <w:highlight w:val="none"/>
        </w:rPr>
        <w:t>其投标失效</w:t>
      </w:r>
      <w:r>
        <w:rPr>
          <w:rFonts w:hint="eastAsia" w:ascii="宋体" w:hAnsi="宋体" w:cs="宋体"/>
          <w:color w:val="auto"/>
          <w:sz w:val="24"/>
          <w:highlight w:val="none"/>
          <w:lang w:eastAsia="zh-CN"/>
        </w:rPr>
        <w:t>，</w:t>
      </w:r>
      <w:r>
        <w:rPr>
          <w:rFonts w:ascii="宋体" w:hAnsi="宋体" w:cs="宋体"/>
          <w:color w:val="auto"/>
          <w:sz w:val="24"/>
          <w:highlight w:val="none"/>
        </w:rPr>
        <w:t>但投标人有权收回其投标保证金及以现金或支票形式递交的投标保证金的银行同期活期存款利息。</w:t>
      </w:r>
    </w:p>
    <w:p w14:paraId="719A07FB">
      <w:pPr>
        <w:pStyle w:val="6"/>
        <w:rPr>
          <w:rFonts w:hint="eastAsia" w:ascii="Calibri" w:hAnsi="Calibri"/>
          <w:b w:val="0"/>
          <w:bCs w:val="0"/>
          <w:sz w:val="28"/>
          <w:szCs w:val="32"/>
        </w:rPr>
      </w:pPr>
      <w:bookmarkStart w:id="171" w:name="_Toc513556621"/>
      <w:bookmarkStart w:id="172" w:name="_Toc513555544"/>
      <w:bookmarkStart w:id="173" w:name="_Toc513555788"/>
      <w:bookmarkStart w:id="174" w:name="_Toc523921615"/>
      <w:bookmarkStart w:id="175" w:name="_Toc74760841"/>
      <w:bookmarkStart w:id="176" w:name="_Toc519601445"/>
      <w:r>
        <w:rPr>
          <w:rFonts w:hint="eastAsia" w:ascii="Calibri" w:hAnsi="Calibri"/>
          <w:b w:val="0"/>
          <w:bCs w:val="0"/>
          <w:sz w:val="28"/>
          <w:szCs w:val="32"/>
        </w:rPr>
        <w:t>3.4</w:t>
      </w:r>
      <w:r>
        <w:rPr>
          <w:rFonts w:hint="eastAsia"/>
          <w:b w:val="0"/>
          <w:bCs w:val="0"/>
          <w:sz w:val="28"/>
          <w:szCs w:val="32"/>
          <w:lang w:val="en-US" w:eastAsia="zh-CN"/>
        </w:rPr>
        <w:t xml:space="preserve"> </w:t>
      </w:r>
      <w:r>
        <w:rPr>
          <w:rFonts w:hint="eastAsia" w:ascii="Calibri" w:hAnsi="Calibri"/>
          <w:b w:val="0"/>
          <w:bCs w:val="0"/>
          <w:sz w:val="28"/>
          <w:szCs w:val="32"/>
        </w:rPr>
        <w:t>投标保证金</w:t>
      </w:r>
      <w:bookmarkEnd w:id="171"/>
      <w:bookmarkEnd w:id="172"/>
      <w:bookmarkEnd w:id="173"/>
      <w:bookmarkEnd w:id="174"/>
      <w:bookmarkEnd w:id="175"/>
      <w:bookmarkEnd w:id="176"/>
    </w:p>
    <w:p w14:paraId="0C225DC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3.4.1 </w:t>
      </w:r>
      <w:r>
        <w:rPr>
          <w:rFonts w:hint="eastAsia" w:ascii="宋体" w:hAnsi="宋体" w:cs="宋体"/>
          <w:color w:val="auto"/>
          <w:sz w:val="24"/>
          <w:highlight w:val="none"/>
        </w:rPr>
        <w:t>投标人在递交投标文件的同时，应按投标人须知前附表规定的金额和第七章“投标文件格式”规定的投标保证金格式递交投标保证金，并作为其投标文件的组成部分。联合体投标的，其投标保证金由牵头人递交，并应符合投标人须知前附表的规定。</w:t>
      </w:r>
    </w:p>
    <w:p w14:paraId="6C35915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投标保证金应采用现金、支票、银行保函或招标人在投标人须知前附表规定的其他形式。</w:t>
      </w:r>
    </w:p>
    <w:p w14:paraId="41F209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1）若采用现金或支票，投标人应在递交投标文件截止时间之前，将投标保证金由投标人的基本账户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或基本存款账户</w:t>
      </w:r>
      <w:r>
        <w:rPr>
          <w:rFonts w:hint="eastAsia" w:ascii="宋体" w:hAnsi="宋体" w:cs="宋体"/>
          <w:color w:val="auto"/>
          <w:sz w:val="24"/>
          <w:highlight w:val="none"/>
          <w:lang w:eastAsia="zh-CN"/>
        </w:rPr>
        <w:t>）</w:t>
      </w:r>
      <w:r>
        <w:rPr>
          <w:rFonts w:ascii="宋体" w:hAnsi="宋体" w:cs="宋体"/>
          <w:color w:val="auto"/>
          <w:sz w:val="24"/>
          <w:highlight w:val="none"/>
        </w:rPr>
        <w:t>转入招标人指定账户，否则视为投标保证金无效。招标人指定的开户银行及账号见投标人须知前附表。</w:t>
      </w:r>
    </w:p>
    <w:p w14:paraId="09D0D6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2）若采用银行保函，则应由符合投标人须知前附表规定的银行开具，并采用招标文件提供的格式。</w:t>
      </w:r>
      <w:r>
        <w:rPr>
          <w:rFonts w:ascii="宋体" w:hAnsi="宋体"/>
          <w:color w:val="auto"/>
          <w:sz w:val="24"/>
          <w:highlight w:val="none"/>
        </w:rPr>
        <w:t>银行保函递交方式见</w:t>
      </w:r>
      <w:r>
        <w:rPr>
          <w:rFonts w:hint="eastAsia" w:ascii="宋体" w:hAnsi="宋体"/>
          <w:color w:val="auto"/>
          <w:sz w:val="24"/>
          <w:highlight w:val="none"/>
        </w:rPr>
        <w:t>投标人须知前附表。</w:t>
      </w:r>
    </w:p>
    <w:p w14:paraId="44EA36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无论采取何种形式的投标保证金，投标保证金有效期均应与投标有效期一致。招标人如果按本章第</w:t>
      </w:r>
      <w:r>
        <w:rPr>
          <w:rFonts w:ascii="宋体" w:hAnsi="宋体" w:cs="宋体"/>
          <w:color w:val="auto"/>
          <w:sz w:val="24"/>
          <w:highlight w:val="none"/>
        </w:rPr>
        <w:t>3.3.3</w:t>
      </w:r>
      <w:r>
        <w:rPr>
          <w:rFonts w:hint="eastAsia" w:ascii="宋体" w:hAnsi="宋体" w:cs="宋体"/>
          <w:color w:val="auto"/>
          <w:sz w:val="24"/>
          <w:highlight w:val="none"/>
        </w:rPr>
        <w:t>项的规定延长了投标有效期，则投标保证金的有效期也相应延长。</w:t>
      </w:r>
    </w:p>
    <w:p w14:paraId="453832D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3.4.2 </w:t>
      </w:r>
      <w:r>
        <w:rPr>
          <w:rFonts w:hint="eastAsia" w:ascii="宋体" w:hAnsi="宋体" w:cs="宋体"/>
          <w:color w:val="auto"/>
          <w:sz w:val="24"/>
          <w:highlight w:val="none"/>
        </w:rPr>
        <w:t>投标人不按本章第</w:t>
      </w:r>
      <w:r>
        <w:rPr>
          <w:rFonts w:ascii="宋体" w:hAnsi="宋体" w:cs="宋体"/>
          <w:color w:val="auto"/>
          <w:sz w:val="24"/>
          <w:highlight w:val="none"/>
        </w:rPr>
        <w:t>3.4.1</w:t>
      </w:r>
      <w:r>
        <w:rPr>
          <w:rFonts w:hint="eastAsia" w:ascii="宋体" w:hAnsi="宋体" w:cs="宋体"/>
          <w:color w:val="auto"/>
          <w:sz w:val="24"/>
          <w:highlight w:val="none"/>
        </w:rPr>
        <w:t>项要求提交投标保证金的，评标委员会将否决其投标。</w:t>
      </w:r>
    </w:p>
    <w:p w14:paraId="19DF8A1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3.4.3 </w:t>
      </w:r>
      <w:r>
        <w:rPr>
          <w:rFonts w:hint="eastAsia" w:ascii="宋体" w:hAnsi="宋体" w:cs="宋体"/>
          <w:color w:val="auto"/>
          <w:sz w:val="24"/>
          <w:highlight w:val="none"/>
        </w:rPr>
        <w:t>招标人最迟将在中标通知书发出后</w:t>
      </w:r>
      <w:r>
        <w:rPr>
          <w:rFonts w:ascii="宋体" w:hAnsi="宋体" w:cs="宋体"/>
          <w:color w:val="auto"/>
          <w:sz w:val="24"/>
          <w:highlight w:val="none"/>
        </w:rPr>
        <w:t>5日内向中标候选人以外的</w:t>
      </w:r>
      <w:r>
        <w:rPr>
          <w:rFonts w:hint="eastAsia" w:ascii="宋体" w:hAnsi="宋体" w:cs="宋体"/>
          <w:color w:val="auto"/>
          <w:sz w:val="24"/>
          <w:highlight w:val="none"/>
        </w:rPr>
        <w:t>其他投标人退还投标保证金，与中标人签订合同后</w:t>
      </w:r>
      <w:r>
        <w:rPr>
          <w:rFonts w:ascii="宋体" w:hAnsi="宋体" w:cs="宋体"/>
          <w:color w:val="auto"/>
          <w:sz w:val="24"/>
          <w:highlight w:val="none"/>
        </w:rPr>
        <w:t>5日内向中标人和其他中标候选人退还投标保证金。投标保证金以现金或者支票形式递交的，招标人应同时退还投标保证金的银行同期活期存款利息，且退还至投标人基本账户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或基本存款账户</w:t>
      </w:r>
      <w:r>
        <w:rPr>
          <w:rFonts w:hint="eastAsia" w:ascii="宋体" w:hAnsi="宋体" w:cs="宋体"/>
          <w:color w:val="auto"/>
          <w:sz w:val="24"/>
          <w:highlight w:val="none"/>
          <w:lang w:eastAsia="zh-CN"/>
        </w:rPr>
        <w:t>）</w:t>
      </w:r>
      <w:r>
        <w:rPr>
          <w:rFonts w:ascii="宋体" w:hAnsi="宋体" w:cs="宋体"/>
          <w:color w:val="auto"/>
          <w:sz w:val="24"/>
          <w:highlight w:val="none"/>
        </w:rPr>
        <w:t>。</w:t>
      </w:r>
    </w:p>
    <w:p w14:paraId="263DAE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利息计算原则、投标保证金退还方式见投标人须知前附表。</w:t>
      </w:r>
    </w:p>
    <w:p w14:paraId="7E2AB72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3.4.4 </w:t>
      </w:r>
      <w:r>
        <w:rPr>
          <w:rFonts w:hint="eastAsia" w:ascii="宋体" w:hAnsi="宋体" w:cs="宋体"/>
          <w:color w:val="auto"/>
          <w:sz w:val="24"/>
          <w:highlight w:val="none"/>
        </w:rPr>
        <w:t>有下列情形之一的，投标保证金将不予退还：</w:t>
      </w:r>
    </w:p>
    <w:p w14:paraId="61D8C6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1）投标人在投标有效期内撤销投标文件；</w:t>
      </w:r>
    </w:p>
    <w:p w14:paraId="36C84D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2）中标人在收到中标通知书后，无正当理由不与招标人订立合同，在签订合同时向招标人提出附加条件，或者不按照招标文件要求提交履约保证金；</w:t>
      </w:r>
    </w:p>
    <w:p w14:paraId="0BE37F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3）发生投标人须知前附表规定的其他不予退还投标保证金的情形。</w:t>
      </w:r>
    </w:p>
    <w:p w14:paraId="6D5601C4">
      <w:pPr>
        <w:pStyle w:val="6"/>
        <w:rPr>
          <w:rFonts w:hint="eastAsia" w:ascii="Calibri" w:hAnsi="Calibri"/>
          <w:b w:val="0"/>
          <w:bCs w:val="0"/>
          <w:sz w:val="28"/>
          <w:szCs w:val="32"/>
        </w:rPr>
      </w:pPr>
      <w:bookmarkStart w:id="177" w:name="_Toc519601447"/>
      <w:bookmarkStart w:id="178" w:name="_Toc513555790"/>
      <w:bookmarkStart w:id="179" w:name="_Toc523921616"/>
      <w:bookmarkStart w:id="180" w:name="_Toc513556623"/>
      <w:bookmarkStart w:id="181" w:name="_Toc513555546"/>
      <w:bookmarkStart w:id="182" w:name="_Toc74760842"/>
      <w:r>
        <w:rPr>
          <w:rFonts w:hint="eastAsia" w:ascii="Calibri" w:hAnsi="Calibri"/>
          <w:b w:val="0"/>
          <w:bCs w:val="0"/>
          <w:sz w:val="28"/>
          <w:szCs w:val="32"/>
        </w:rPr>
        <w:t>3.5 资格审查资料</w:t>
      </w:r>
      <w:bookmarkEnd w:id="177"/>
      <w:bookmarkEnd w:id="178"/>
      <w:bookmarkEnd w:id="179"/>
      <w:bookmarkEnd w:id="180"/>
      <w:bookmarkEnd w:id="181"/>
      <w:bookmarkEnd w:id="182"/>
    </w:p>
    <w:p w14:paraId="587F7E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除投标人须知前附表另有规定外，投标人应按下列规定提供资格审查资料，以证明其满足本章第</w:t>
      </w:r>
      <w:r>
        <w:rPr>
          <w:rFonts w:ascii="宋体" w:hAnsi="宋体" w:cs="宋体"/>
          <w:color w:val="auto"/>
          <w:sz w:val="24"/>
          <w:highlight w:val="none"/>
        </w:rPr>
        <w:t>1.4款规定的资质、业绩、信誉等要求。</w:t>
      </w:r>
    </w:p>
    <w:p w14:paraId="476F478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3.5.1 </w:t>
      </w:r>
      <w:r>
        <w:rPr>
          <w:rFonts w:hint="eastAsia" w:ascii="宋体" w:hAnsi="宋体" w:cs="宋体"/>
          <w:color w:val="auto"/>
          <w:sz w:val="24"/>
          <w:highlight w:val="none"/>
        </w:rPr>
        <w:t>“投标人基本情况表”应附的证明材料要求：见投标人须知前附表。</w:t>
      </w:r>
    </w:p>
    <w:p w14:paraId="106207A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3.5.2 </w:t>
      </w:r>
      <w:r>
        <w:rPr>
          <w:rFonts w:hint="eastAsia" w:ascii="宋体" w:hAnsi="宋体" w:cs="宋体"/>
          <w:color w:val="auto"/>
          <w:sz w:val="24"/>
          <w:highlight w:val="none"/>
        </w:rPr>
        <w:t>“近年完成的类似项目”具体时间要求：见投标人须知前附表。</w:t>
      </w:r>
    </w:p>
    <w:p w14:paraId="4D13F1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“近年完成的类似项目情况表”应附的证明材料要求：见投标人须知前附表。</w:t>
      </w:r>
    </w:p>
    <w:p w14:paraId="4F13067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如投标人未提供相关项目证明材料或相关证明材料中的信息无法证实投标人满足招标文件规定的资格审查条件（业绩最低要求）</w:t>
      </w:r>
      <w:r>
        <w:rPr>
          <w:rFonts w:ascii="宋体" w:hAnsi="宋体" w:cs="宋体"/>
          <w:color w:val="auto"/>
          <w:sz w:val="24"/>
          <w:highlight w:val="none"/>
        </w:rPr>
        <w:t>,则该项目业绩不予认定。</w:t>
      </w:r>
    </w:p>
    <w:p w14:paraId="0500FE9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3.5.3 </w:t>
      </w:r>
      <w:r>
        <w:rPr>
          <w:rFonts w:hint="eastAsia" w:ascii="宋体" w:hAnsi="宋体" w:cs="宋体"/>
          <w:color w:val="auto"/>
          <w:sz w:val="24"/>
          <w:highlight w:val="none"/>
        </w:rPr>
        <w:t>“投标人的信誉情况表”应附的证明材料要求：见投标人须知前附表。</w:t>
      </w:r>
    </w:p>
    <w:p w14:paraId="49D68D5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3.5.4 </w:t>
      </w:r>
      <w:r>
        <w:rPr>
          <w:rFonts w:hint="eastAsia" w:ascii="宋体" w:hAnsi="宋体" w:cs="宋体"/>
          <w:color w:val="auto"/>
          <w:sz w:val="24"/>
          <w:highlight w:val="none"/>
        </w:rPr>
        <w:t>“拟委任的主要人员资历表”应附的证明材料要求：见投标人须知前附表。</w:t>
      </w:r>
    </w:p>
    <w:p w14:paraId="421068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如投标人未提供</w:t>
      </w:r>
      <w:r>
        <w:rPr>
          <w:rFonts w:hint="eastAsia" w:ascii="宋体" w:hAnsi="宋体" w:cs="宋体"/>
          <w:color w:val="auto"/>
          <w:sz w:val="24"/>
          <w:highlight w:val="none"/>
          <w:lang w:val="en-US" w:eastAsia="zh-CN"/>
        </w:rPr>
        <w:t>主要人员</w:t>
      </w:r>
      <w:r>
        <w:rPr>
          <w:rFonts w:hint="eastAsia" w:ascii="宋体" w:hAnsi="宋体" w:cs="宋体"/>
          <w:color w:val="auto"/>
          <w:sz w:val="24"/>
          <w:highlight w:val="none"/>
        </w:rPr>
        <w:t>相关业绩证明材料或相关业绩证明材料中的信息无法证实投标人满足招标文件规定的资格审查条件（主要人员最低要求）</w:t>
      </w:r>
      <w:r>
        <w:rPr>
          <w:rFonts w:ascii="宋体" w:hAnsi="宋体" w:cs="宋体"/>
          <w:color w:val="auto"/>
          <w:sz w:val="24"/>
          <w:highlight w:val="none"/>
        </w:rPr>
        <w:t>,则该</w:t>
      </w:r>
      <w:r>
        <w:rPr>
          <w:rFonts w:hint="eastAsia" w:ascii="宋体" w:hAnsi="宋体" w:cs="宋体"/>
          <w:color w:val="auto"/>
          <w:sz w:val="24"/>
          <w:highlight w:val="none"/>
        </w:rPr>
        <w:t>项业绩不予认定。</w:t>
      </w:r>
    </w:p>
    <w:p w14:paraId="2C0C43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如拟委任的试验室主任、技术负责人（如有）</w:t>
      </w:r>
      <w:r>
        <w:rPr>
          <w:rFonts w:hint="eastAsia" w:ascii="宋体" w:hAnsi="宋体" w:cs="宋体"/>
          <w:color w:val="auto"/>
          <w:sz w:val="24"/>
          <w:highlight w:val="none"/>
          <w:lang w:val="en-US" w:eastAsia="zh-CN"/>
        </w:rPr>
        <w:t>等</w:t>
      </w:r>
      <w:r>
        <w:rPr>
          <w:rFonts w:hint="eastAsia" w:ascii="宋体" w:hAnsi="宋体" w:cs="宋体"/>
          <w:color w:val="auto"/>
          <w:sz w:val="24"/>
          <w:highlight w:val="none"/>
        </w:rPr>
        <w:t>主要人员目前仍在其他项目上任职，则投标人在投标函中应承诺可以从该项目撤离</w:t>
      </w:r>
      <w:r>
        <w:rPr>
          <w:rFonts w:ascii="宋体" w:hAnsi="宋体" w:cs="宋体"/>
          <w:color w:val="auto"/>
          <w:sz w:val="24"/>
          <w:highlight w:val="none"/>
        </w:rPr>
        <w:t>。</w:t>
      </w:r>
    </w:p>
    <w:p w14:paraId="0113378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3.5.5 </w:t>
      </w:r>
      <w:r>
        <w:rPr>
          <w:rFonts w:hint="eastAsia" w:ascii="宋体" w:hAnsi="宋体" w:cs="宋体"/>
          <w:color w:val="auto"/>
          <w:sz w:val="24"/>
          <w:highlight w:val="none"/>
        </w:rPr>
        <w:t>“其他要求情况表”（如有）应填报满足投标人须知前附表附录</w:t>
      </w:r>
      <w:r>
        <w:rPr>
          <w:rFonts w:ascii="宋体" w:hAnsi="宋体" w:cs="宋体"/>
          <w:color w:val="auto"/>
          <w:sz w:val="24"/>
          <w:highlight w:val="none"/>
        </w:rPr>
        <w:t>5规定的其他</w:t>
      </w:r>
      <w:r>
        <w:rPr>
          <w:rFonts w:hint="eastAsia" w:ascii="宋体" w:hAnsi="宋体" w:cs="宋体"/>
          <w:color w:val="auto"/>
          <w:sz w:val="24"/>
          <w:highlight w:val="none"/>
        </w:rPr>
        <w:t>要求的相关信息</w:t>
      </w:r>
      <w:r>
        <w:rPr>
          <w:rFonts w:hint="eastAsia" w:ascii="宋体" w:hAnsi="宋体" w:cs="宋体"/>
          <w:color w:val="auto"/>
          <w:sz w:val="24"/>
          <w:highlight w:val="none"/>
          <w:lang w:eastAsia="zh-CN"/>
        </w:rPr>
        <w:t>，</w:t>
      </w:r>
      <w:r>
        <w:rPr>
          <w:rFonts w:hint="eastAsia" w:ascii="宋体" w:hAnsi="宋体" w:cs="宋体"/>
          <w:color w:val="auto"/>
          <w:sz w:val="24"/>
          <w:highlight w:val="none"/>
        </w:rPr>
        <w:t>应附的证明材料要求：见投标人须知前附表。</w:t>
      </w:r>
    </w:p>
    <w:p w14:paraId="2FFB938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3.5.6 </w:t>
      </w:r>
      <w:r>
        <w:rPr>
          <w:rFonts w:hint="eastAsia" w:ascii="宋体" w:hAnsi="宋体" w:cs="宋体"/>
          <w:color w:val="auto"/>
          <w:sz w:val="24"/>
          <w:highlight w:val="none"/>
        </w:rPr>
        <w:t>投标人须知前附表规定接受联合体投标的</w:t>
      </w:r>
      <w:r>
        <w:rPr>
          <w:rFonts w:ascii="宋体" w:hAnsi="宋体" w:cs="宋体"/>
          <w:color w:val="auto"/>
          <w:sz w:val="24"/>
          <w:highlight w:val="none"/>
        </w:rPr>
        <w:t>,本章第3.5.1项至第3.5.5项规定的表格和资料应包括联合体各方相关情况。</w:t>
      </w:r>
    </w:p>
    <w:p w14:paraId="578DE13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3.5.7 </w:t>
      </w:r>
      <w:r>
        <w:rPr>
          <w:rFonts w:hint="eastAsia" w:ascii="宋体" w:hAnsi="宋体" w:cs="宋体"/>
          <w:color w:val="auto"/>
          <w:sz w:val="24"/>
          <w:highlight w:val="none"/>
        </w:rPr>
        <w:t>除合同条款约定的特殊情形外</w:t>
      </w:r>
      <w:r>
        <w:rPr>
          <w:rFonts w:ascii="宋体" w:hAnsi="宋体" w:cs="宋体"/>
          <w:color w:val="auto"/>
          <w:sz w:val="24"/>
          <w:highlight w:val="none"/>
        </w:rPr>
        <w:t>,投标人在投标文件中填报的主要人员不允许更换。</w:t>
      </w:r>
    </w:p>
    <w:p w14:paraId="6EADA56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3.5.8 </w:t>
      </w:r>
      <w:r>
        <w:rPr>
          <w:rFonts w:hint="eastAsia" w:ascii="宋体" w:hAnsi="宋体" w:cs="宋体"/>
          <w:color w:val="auto"/>
          <w:sz w:val="24"/>
          <w:highlight w:val="none"/>
        </w:rPr>
        <w:t>投标人按照第七章“投标文件格式”中要求投标文件提供的信息填报</w:t>
      </w:r>
      <w:r>
        <w:rPr>
          <w:rFonts w:ascii="宋体" w:hAnsi="宋体" w:cs="宋体"/>
          <w:color w:val="auto"/>
          <w:sz w:val="24"/>
          <w:highlight w:val="none"/>
        </w:rPr>
        <w:t>的内容</w:t>
      </w:r>
      <w:r>
        <w:rPr>
          <w:rFonts w:hint="eastAsia" w:ascii="宋体" w:hAnsi="宋体" w:cs="宋体"/>
          <w:color w:val="auto"/>
          <w:sz w:val="24"/>
          <w:highlight w:val="none"/>
        </w:rPr>
        <w:t>应与招标文件要求的网站上公开发布的相关信息</w:t>
      </w:r>
      <w:r>
        <w:rPr>
          <w:rFonts w:ascii="宋体" w:hAnsi="宋体" w:cs="宋体"/>
          <w:color w:val="auto"/>
          <w:sz w:val="24"/>
          <w:highlight w:val="none"/>
        </w:rPr>
        <w:t>一致</w:t>
      </w:r>
      <w:r>
        <w:rPr>
          <w:rFonts w:hint="eastAsia" w:ascii="宋体" w:hAnsi="宋体" w:cs="宋体"/>
          <w:color w:val="auto"/>
          <w:sz w:val="24"/>
          <w:highlight w:val="none"/>
        </w:rPr>
        <w:t>，信用等级信息应以“信用交通·四川”上查询结果为准</w:t>
      </w:r>
      <w:r>
        <w:rPr>
          <w:rFonts w:ascii="宋体" w:hAnsi="宋体" w:cs="宋体"/>
          <w:color w:val="auto"/>
          <w:sz w:val="24"/>
          <w:highlight w:val="none"/>
        </w:rPr>
        <w:t>。</w:t>
      </w:r>
      <w:r>
        <w:rPr>
          <w:rFonts w:hint="eastAsia" w:ascii="宋体" w:hAnsi="宋体" w:cs="宋体"/>
          <w:color w:val="auto"/>
          <w:sz w:val="24"/>
          <w:highlight w:val="none"/>
        </w:rPr>
        <w:t>投标人应根据本单位实际情况及时完成相关信息的申报、录入和动态更新，并对相关信息的真实性、完整性和准确性负责。</w:t>
      </w:r>
    </w:p>
    <w:p w14:paraId="54B84F6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3.5.9 </w:t>
      </w:r>
      <w:r>
        <w:rPr>
          <w:rFonts w:hint="eastAsia" w:ascii="宋体" w:hAnsi="宋体" w:cs="宋体"/>
          <w:color w:val="auto"/>
          <w:sz w:val="24"/>
          <w:highlight w:val="none"/>
        </w:rPr>
        <w:t>招标人有权核查投标人在投标文件中提供的资料，若在评标期间发现投标人提供了虚假资料</w:t>
      </w:r>
      <w:r>
        <w:rPr>
          <w:rFonts w:ascii="宋体" w:hAnsi="宋体" w:cs="宋体"/>
          <w:color w:val="auto"/>
          <w:sz w:val="24"/>
          <w:highlight w:val="none"/>
        </w:rPr>
        <w:t>,其投标将被否决；若在签订合同前发现作为中标候选人的投标人提供了虚假资料,招标人有权取消其中标资格；若在合同实施期间发现投标人提供了虚假资料，招标人有权从合同价款或履约保证金中扣除不超过5%签约合同价的金额作为违约金。同时招标人将投标人上述弄虚作假行为上报省级交通运输主管部门，作</w:t>
      </w:r>
      <w:r>
        <w:rPr>
          <w:rFonts w:hint="eastAsia" w:ascii="宋体" w:hAnsi="宋体" w:cs="宋体"/>
          <w:color w:val="auto"/>
          <w:sz w:val="24"/>
          <w:highlight w:val="none"/>
        </w:rPr>
        <w:t>为不良记录纳入公路建设市场</w:t>
      </w:r>
      <w:r>
        <w:rPr>
          <w:rFonts w:hint="eastAsia" w:ascii="宋体" w:hAnsi="宋体" w:cs="宋体"/>
          <w:color w:val="auto"/>
          <w:sz w:val="24"/>
          <w:highlight w:val="none"/>
          <w:lang w:val="en-US" w:eastAsia="zh-CN"/>
        </w:rPr>
        <w:t>监督</w:t>
      </w:r>
      <w:r>
        <w:rPr>
          <w:rFonts w:hint="eastAsia" w:ascii="宋体" w:hAnsi="宋体" w:cs="宋体"/>
          <w:color w:val="auto"/>
          <w:sz w:val="24"/>
          <w:highlight w:val="none"/>
        </w:rPr>
        <w:t>管理系统。</w:t>
      </w:r>
    </w:p>
    <w:p w14:paraId="541A519F">
      <w:pPr>
        <w:pStyle w:val="6"/>
        <w:rPr>
          <w:rFonts w:hint="eastAsia" w:ascii="Calibri" w:hAnsi="Calibri"/>
          <w:b w:val="0"/>
          <w:bCs w:val="0"/>
          <w:sz w:val="28"/>
          <w:szCs w:val="32"/>
        </w:rPr>
      </w:pPr>
      <w:bookmarkStart w:id="183" w:name="_Toc513555791"/>
      <w:bookmarkStart w:id="184" w:name="_Toc513556624"/>
      <w:bookmarkStart w:id="185" w:name="_Toc74760843"/>
      <w:bookmarkStart w:id="186" w:name="_Toc519601448"/>
      <w:bookmarkStart w:id="187" w:name="_Toc513555547"/>
      <w:bookmarkStart w:id="188" w:name="_Toc509828613"/>
      <w:bookmarkStart w:id="189" w:name="_Toc523921617"/>
      <w:bookmarkStart w:id="190" w:name="_Toc234382614"/>
      <w:r>
        <w:rPr>
          <w:rFonts w:hint="eastAsia" w:ascii="Calibri" w:hAnsi="Calibri"/>
          <w:b w:val="0"/>
          <w:bCs w:val="0"/>
          <w:sz w:val="28"/>
          <w:szCs w:val="32"/>
        </w:rPr>
        <w:t>3.6 备选投标方案</w:t>
      </w:r>
      <w:bookmarkEnd w:id="183"/>
      <w:bookmarkEnd w:id="184"/>
      <w:bookmarkEnd w:id="185"/>
      <w:bookmarkEnd w:id="186"/>
      <w:bookmarkEnd w:id="187"/>
      <w:bookmarkEnd w:id="188"/>
      <w:bookmarkEnd w:id="189"/>
      <w:bookmarkEnd w:id="190"/>
    </w:p>
    <w:p w14:paraId="7E66D9D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3.6.1 </w:t>
      </w:r>
      <w:r>
        <w:rPr>
          <w:rFonts w:hint="eastAsia" w:ascii="宋体" w:hAnsi="宋体" w:cs="宋体"/>
          <w:color w:val="auto"/>
          <w:sz w:val="24"/>
          <w:highlight w:val="none"/>
        </w:rPr>
        <w:t>除投标人须知前附表规定允许外，投标人不得递交备选投标方案，否则其投标将被否决。</w:t>
      </w:r>
    </w:p>
    <w:p w14:paraId="1F05867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3.6.2 </w:t>
      </w:r>
      <w:r>
        <w:rPr>
          <w:rFonts w:hint="eastAsia" w:ascii="宋体" w:hAnsi="宋体" w:cs="宋体"/>
          <w:color w:val="auto"/>
          <w:sz w:val="24"/>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370E3E6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3.6.3 </w:t>
      </w:r>
      <w:r>
        <w:rPr>
          <w:rFonts w:hint="eastAsia" w:ascii="宋体" w:hAnsi="宋体" w:cs="宋体"/>
          <w:color w:val="auto"/>
          <w:sz w:val="24"/>
          <w:highlight w:val="none"/>
        </w:rPr>
        <w:t>投标人提供两个或两个以上投标报价，或在投标文件中提供一个报价，但同时提供两个或两个以上监理试验室方案的，视为提供备选</w:t>
      </w:r>
      <w:r>
        <w:rPr>
          <w:rFonts w:hint="eastAsia" w:ascii="宋体" w:hAnsi="宋体" w:cs="宋体"/>
          <w:color w:val="auto"/>
          <w:sz w:val="24"/>
          <w:highlight w:val="none"/>
          <w:lang w:val="en-US" w:eastAsia="zh-CN"/>
        </w:rPr>
        <w:t>投标</w:t>
      </w:r>
      <w:r>
        <w:rPr>
          <w:rFonts w:hint="eastAsia" w:ascii="宋体" w:hAnsi="宋体" w:cs="宋体"/>
          <w:color w:val="auto"/>
          <w:sz w:val="24"/>
          <w:highlight w:val="none"/>
        </w:rPr>
        <w:t>方案。</w:t>
      </w:r>
    </w:p>
    <w:p w14:paraId="7E0EDF0D">
      <w:pPr>
        <w:pStyle w:val="6"/>
        <w:rPr>
          <w:rFonts w:hint="eastAsia" w:ascii="Calibri" w:hAnsi="Calibri"/>
          <w:b w:val="0"/>
          <w:bCs w:val="0"/>
          <w:sz w:val="28"/>
          <w:szCs w:val="32"/>
        </w:rPr>
      </w:pPr>
      <w:bookmarkStart w:id="191" w:name="_Toc513555792"/>
      <w:bookmarkStart w:id="192" w:name="_Toc234382615"/>
      <w:bookmarkStart w:id="193" w:name="_Toc513555548"/>
      <w:bookmarkStart w:id="194" w:name="_Toc509828614"/>
      <w:bookmarkStart w:id="195" w:name="_Toc523921618"/>
      <w:bookmarkStart w:id="196" w:name="_Toc513556625"/>
      <w:bookmarkStart w:id="197" w:name="_Toc74760844"/>
      <w:bookmarkStart w:id="198" w:name="_Toc519601449"/>
      <w:r>
        <w:rPr>
          <w:rFonts w:hint="eastAsia" w:ascii="Calibri" w:hAnsi="Calibri"/>
          <w:b w:val="0"/>
          <w:bCs w:val="0"/>
          <w:sz w:val="28"/>
          <w:szCs w:val="32"/>
        </w:rPr>
        <w:t>3.7 投标文件的编制</w:t>
      </w:r>
      <w:bookmarkEnd w:id="191"/>
      <w:bookmarkEnd w:id="192"/>
      <w:bookmarkEnd w:id="193"/>
      <w:bookmarkEnd w:id="194"/>
      <w:bookmarkEnd w:id="195"/>
      <w:bookmarkEnd w:id="196"/>
      <w:bookmarkEnd w:id="197"/>
      <w:bookmarkEnd w:id="198"/>
    </w:p>
    <w:p w14:paraId="0AE3B52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3.7.1 </w:t>
      </w:r>
      <w:r>
        <w:rPr>
          <w:rFonts w:hint="eastAsia" w:ascii="宋体" w:hAnsi="宋体" w:cs="宋体"/>
          <w:color w:val="auto"/>
          <w:sz w:val="24"/>
          <w:highlight w:val="none"/>
        </w:rPr>
        <w:t>投标文件应按第七章“投标文件格式”进行编写，如有必要，可以增加附页，作为投标文件的组成部分。</w:t>
      </w:r>
    </w:p>
    <w:p w14:paraId="0A6D800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3.7.2 </w:t>
      </w:r>
      <w:r>
        <w:rPr>
          <w:rFonts w:hint="eastAsia" w:ascii="宋体" w:hAnsi="宋体" w:cs="宋体"/>
          <w:color w:val="auto"/>
          <w:sz w:val="24"/>
          <w:highlight w:val="none"/>
        </w:rPr>
        <w:t>投标文件应当对招标文件有关监理试验室服务期限、投标有效期、质量要求、安全目标、委托人要求、招标范围等实质性内容作出响应。</w:t>
      </w:r>
    </w:p>
    <w:p w14:paraId="75C1126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3.7.3 </w:t>
      </w:r>
      <w:r>
        <w:rPr>
          <w:rFonts w:hint="eastAsia" w:ascii="宋体" w:hAnsi="宋体" w:cs="宋体"/>
          <w:color w:val="auto"/>
          <w:sz w:val="24"/>
          <w:highlight w:val="none"/>
        </w:rPr>
        <w:t>投标文件的制作应满足以下规定：</w:t>
      </w:r>
    </w:p>
    <w:p w14:paraId="640A76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1）投标文件由投标人使用“</w:t>
      </w:r>
      <w:r>
        <w:rPr>
          <w:rFonts w:hint="eastAsia" w:ascii="宋体" w:hAnsi="宋体" w:cs="宋体"/>
          <w:color w:val="auto"/>
          <w:sz w:val="24"/>
          <w:highlight w:val="none"/>
          <w:lang w:eastAsia="zh-CN"/>
        </w:rPr>
        <w:t>电子交易系统</w:t>
      </w:r>
      <w:r>
        <w:rPr>
          <w:rFonts w:ascii="宋体" w:hAnsi="宋体" w:cs="宋体"/>
          <w:color w:val="auto"/>
          <w:sz w:val="24"/>
          <w:highlight w:val="none"/>
        </w:rPr>
        <w:t>”自带的“投标文件制作工具”制作生成。</w:t>
      </w:r>
    </w:p>
    <w:p w14:paraId="640765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2）投标人在编制投标文件时应建立分级目录，并按照标签提示导入相关内容。</w:t>
      </w:r>
    </w:p>
    <w:p w14:paraId="6394CD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3）投标文件中证明资料的“原件原色扫描件”均为“原件的扫描件”。</w:t>
      </w:r>
    </w:p>
    <w:p w14:paraId="2C827C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4）投标文件中已标价报价清单数据文件应与招标人提供的报价清单数据文件格式一致。</w:t>
      </w:r>
    </w:p>
    <w:p w14:paraId="6D7E10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5）第七章“投标文件格式”中要求盖单位电子印章</w:t>
      </w:r>
      <w:r>
        <w:rPr>
          <w:rFonts w:hint="eastAsia" w:ascii="宋体" w:hAnsi="宋体" w:cs="宋体"/>
          <w:color w:val="auto"/>
          <w:sz w:val="24"/>
          <w:highlight w:val="none"/>
          <w:lang w:eastAsia="zh-CN"/>
        </w:rPr>
        <w:t>之处</w:t>
      </w:r>
      <w:r>
        <w:rPr>
          <w:rFonts w:ascii="宋体" w:hAnsi="宋体" w:cs="宋体"/>
          <w:color w:val="auto"/>
          <w:sz w:val="24"/>
          <w:highlight w:val="none"/>
        </w:rPr>
        <w:t>，投标人均应使用</w:t>
      </w:r>
      <w:r>
        <w:rPr>
          <w:rFonts w:hint="eastAsia" w:ascii="宋体" w:hAnsi="宋体" w:cs="宋体"/>
          <w:color w:val="auto"/>
          <w:sz w:val="24"/>
          <w:highlight w:val="none"/>
        </w:rPr>
        <w:t>单位</w:t>
      </w:r>
      <w:r>
        <w:rPr>
          <w:rFonts w:ascii="宋体" w:hAnsi="宋体" w:cs="宋体"/>
          <w:color w:val="auto"/>
          <w:sz w:val="24"/>
          <w:highlight w:val="none"/>
        </w:rPr>
        <w:t>CA数字证书加盖投标人的单位电子印章；第七章“投标文件格式”中要求签字</w:t>
      </w:r>
      <w:r>
        <w:rPr>
          <w:rFonts w:hint="eastAsia" w:ascii="宋体" w:hAnsi="宋体" w:cs="宋体"/>
          <w:color w:val="auto"/>
          <w:sz w:val="24"/>
          <w:highlight w:val="none"/>
          <w:lang w:eastAsia="zh-CN"/>
        </w:rPr>
        <w:t>之处</w:t>
      </w:r>
      <w:r>
        <w:rPr>
          <w:rFonts w:ascii="宋体" w:hAnsi="宋体" w:cs="宋体"/>
          <w:color w:val="auto"/>
          <w:sz w:val="24"/>
          <w:highlight w:val="none"/>
        </w:rPr>
        <w:t>，投标人均应使用</w:t>
      </w:r>
      <w:r>
        <w:rPr>
          <w:rFonts w:hint="eastAsia" w:ascii="宋体" w:hAnsi="宋体" w:cs="宋体"/>
          <w:color w:val="auto"/>
          <w:sz w:val="24"/>
          <w:highlight w:val="none"/>
        </w:rPr>
        <w:t>个人</w:t>
      </w:r>
      <w:r>
        <w:rPr>
          <w:rFonts w:ascii="宋体" w:hAnsi="宋体" w:cs="宋体"/>
          <w:color w:val="auto"/>
          <w:sz w:val="24"/>
          <w:highlight w:val="none"/>
        </w:rPr>
        <w:t>CA数字证书加盖投标人的法定代表人或其委托代理人的个人电子签名章</w:t>
      </w:r>
      <w:r>
        <w:rPr>
          <w:rFonts w:hint="eastAsia" w:ascii="宋体" w:hAnsi="宋体" w:cs="宋体"/>
          <w:color w:val="auto"/>
          <w:sz w:val="24"/>
          <w:highlight w:val="none"/>
          <w:lang w:val="en-US" w:eastAsia="zh-CN"/>
        </w:rPr>
        <w:t>或个人电子印章</w:t>
      </w:r>
      <w:r>
        <w:rPr>
          <w:rFonts w:ascii="宋体" w:hAnsi="宋体" w:cs="宋体"/>
          <w:color w:val="auto"/>
          <w:sz w:val="24"/>
          <w:highlight w:val="none"/>
        </w:rPr>
        <w:t>。联合体投标的，投标文件由联合体牵头人按上述规定加盖联合体牵头人单位电子印章、法定代表人或其委托代理人的个人电子签名章</w:t>
      </w:r>
      <w:r>
        <w:rPr>
          <w:rFonts w:hint="eastAsia" w:ascii="宋体" w:hAnsi="宋体" w:cs="宋体"/>
          <w:color w:val="auto"/>
          <w:sz w:val="24"/>
          <w:highlight w:val="none"/>
          <w:lang w:val="en-US" w:eastAsia="zh-CN"/>
        </w:rPr>
        <w:t>或个人电子印章</w:t>
      </w:r>
      <w:r>
        <w:rPr>
          <w:rFonts w:ascii="宋体" w:hAnsi="宋体" w:cs="宋体"/>
          <w:color w:val="auto"/>
          <w:sz w:val="24"/>
          <w:highlight w:val="none"/>
        </w:rPr>
        <w:t>。</w:t>
      </w:r>
    </w:p>
    <w:p w14:paraId="52F3A7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w:t>
      </w:r>
      <w:r>
        <w:rPr>
          <w:rFonts w:ascii="宋体" w:hAnsi="宋体" w:cs="宋体"/>
          <w:color w:val="auto"/>
          <w:sz w:val="24"/>
          <w:highlight w:val="none"/>
        </w:rPr>
        <w:t>投标文件制作完成后，投标人应使用</w:t>
      </w:r>
      <w:r>
        <w:rPr>
          <w:rFonts w:hint="eastAsia" w:ascii="宋体" w:hAnsi="宋体" w:cs="宋体"/>
          <w:color w:val="auto"/>
          <w:sz w:val="24"/>
          <w:highlight w:val="none"/>
        </w:rPr>
        <w:t>单位</w:t>
      </w:r>
      <w:r>
        <w:rPr>
          <w:rFonts w:ascii="宋体" w:hAnsi="宋体" w:cs="宋体"/>
          <w:color w:val="auto"/>
          <w:sz w:val="24"/>
          <w:highlight w:val="none"/>
        </w:rPr>
        <w:t>CA数字证书对投标文件进行加密，形成加密的电子投标文件。</w:t>
      </w:r>
    </w:p>
    <w:p w14:paraId="1CF5A4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7）投标文件制作的具体方法详见“投标文件制作工具”中的帮助文档。</w:t>
      </w:r>
    </w:p>
    <w:p w14:paraId="66DAD2B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3.7.4 </w:t>
      </w:r>
      <w:r>
        <w:rPr>
          <w:rFonts w:hint="eastAsia" w:ascii="宋体" w:hAnsi="宋体" w:cs="宋体"/>
          <w:color w:val="auto"/>
          <w:sz w:val="24"/>
          <w:highlight w:val="none"/>
        </w:rPr>
        <w:t>投标文件份数及其他要求：见投标人须知前附表。</w:t>
      </w:r>
    </w:p>
    <w:p w14:paraId="4794FB8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3.7.5 </w:t>
      </w:r>
      <w:r>
        <w:rPr>
          <w:rFonts w:hint="eastAsia" w:ascii="宋体" w:hAnsi="宋体" w:cs="宋体"/>
          <w:color w:val="auto"/>
          <w:sz w:val="24"/>
          <w:highlight w:val="none"/>
        </w:rPr>
        <w:t>投标文件上传的要求：见投标人须知前附表。</w:t>
      </w:r>
    </w:p>
    <w:p w14:paraId="3B3B64E4">
      <w:pPr>
        <w:pStyle w:val="5"/>
      </w:pPr>
      <w:bookmarkStart w:id="199" w:name="_Toc234382616"/>
      <w:bookmarkStart w:id="200" w:name="_Toc28187719"/>
      <w:bookmarkStart w:id="201" w:name="_Toc74760845"/>
      <w:bookmarkStart w:id="202" w:name="_Toc523921619"/>
      <w:r>
        <w:t xml:space="preserve">4. </w:t>
      </w:r>
      <w:r>
        <w:rPr>
          <w:rFonts w:hint="eastAsia"/>
        </w:rPr>
        <w:t>投标</w:t>
      </w:r>
      <w:bookmarkEnd w:id="199"/>
      <w:bookmarkEnd w:id="200"/>
      <w:bookmarkEnd w:id="201"/>
      <w:bookmarkEnd w:id="202"/>
    </w:p>
    <w:p w14:paraId="6E5F4546">
      <w:pPr>
        <w:pStyle w:val="6"/>
        <w:rPr>
          <w:rFonts w:hint="eastAsia" w:ascii="Calibri" w:hAnsi="Calibri"/>
          <w:b w:val="0"/>
          <w:bCs w:val="0"/>
          <w:sz w:val="28"/>
          <w:szCs w:val="32"/>
        </w:rPr>
      </w:pPr>
      <w:bookmarkStart w:id="203" w:name="_Toc234382617"/>
      <w:bookmarkStart w:id="204" w:name="_Toc523921620"/>
      <w:bookmarkStart w:id="205" w:name="_Toc74760846"/>
      <w:r>
        <w:rPr>
          <w:rFonts w:hint="eastAsia" w:ascii="Calibri" w:hAnsi="Calibri"/>
          <w:b w:val="0"/>
          <w:bCs w:val="0"/>
          <w:sz w:val="28"/>
          <w:szCs w:val="32"/>
        </w:rPr>
        <w:t>4.1</w:t>
      </w:r>
      <w:bookmarkEnd w:id="203"/>
      <w:r>
        <w:rPr>
          <w:rFonts w:hint="eastAsia"/>
          <w:b w:val="0"/>
          <w:bCs w:val="0"/>
          <w:sz w:val="28"/>
          <w:szCs w:val="32"/>
          <w:lang w:val="en-US" w:eastAsia="zh-CN"/>
        </w:rPr>
        <w:t xml:space="preserve"> </w:t>
      </w:r>
      <w:r>
        <w:rPr>
          <w:rFonts w:hint="eastAsia" w:ascii="Calibri" w:hAnsi="Calibri"/>
          <w:b w:val="0"/>
          <w:bCs w:val="0"/>
          <w:sz w:val="28"/>
          <w:szCs w:val="32"/>
        </w:rPr>
        <w:t>投标文件的加密</w:t>
      </w:r>
      <w:bookmarkEnd w:id="204"/>
      <w:bookmarkEnd w:id="205"/>
    </w:p>
    <w:p w14:paraId="3279A280">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4.1.1 </w:t>
      </w:r>
      <w:r>
        <w:rPr>
          <w:rFonts w:hint="eastAsia" w:ascii="宋体" w:hAnsi="宋体" w:cs="宋体"/>
          <w:color w:val="auto"/>
          <w:sz w:val="24"/>
          <w:highlight w:val="none"/>
        </w:rPr>
        <w:t>投标文件应按照本章第</w:t>
      </w:r>
      <w:r>
        <w:rPr>
          <w:rFonts w:ascii="宋体" w:hAnsi="宋体" w:cs="宋体"/>
          <w:color w:val="auto"/>
          <w:sz w:val="24"/>
          <w:highlight w:val="none"/>
        </w:rPr>
        <w:t>3.7.3</w:t>
      </w:r>
      <w:r>
        <w:rPr>
          <w:rFonts w:hint="eastAsia" w:ascii="宋体" w:hAnsi="宋体" w:cs="宋体"/>
          <w:color w:val="auto"/>
          <w:sz w:val="24"/>
          <w:highlight w:val="none"/>
        </w:rPr>
        <w:t>项要求制作并加密，未按要求加密的投标文件，“</w:t>
      </w:r>
      <w:r>
        <w:rPr>
          <w:rFonts w:hint="eastAsia" w:ascii="宋体" w:hAnsi="宋体" w:cs="宋体"/>
          <w:color w:val="auto"/>
          <w:sz w:val="24"/>
          <w:highlight w:val="none"/>
          <w:lang w:eastAsia="zh-CN"/>
        </w:rPr>
        <w:t>电子交易系统</w:t>
      </w:r>
      <w:r>
        <w:rPr>
          <w:rFonts w:hint="eastAsia" w:ascii="宋体" w:hAnsi="宋体" w:cs="宋体"/>
          <w:color w:val="auto"/>
          <w:sz w:val="24"/>
          <w:highlight w:val="none"/>
        </w:rPr>
        <w:t>”将拒绝接收。</w:t>
      </w:r>
    </w:p>
    <w:p w14:paraId="79A10489">
      <w:pPr>
        <w:pStyle w:val="6"/>
        <w:rPr>
          <w:rFonts w:hint="eastAsia" w:ascii="Calibri" w:hAnsi="Calibri"/>
          <w:b w:val="0"/>
          <w:bCs w:val="0"/>
          <w:sz w:val="28"/>
          <w:szCs w:val="32"/>
        </w:rPr>
      </w:pPr>
      <w:bookmarkStart w:id="206" w:name="_Toc523921621"/>
      <w:bookmarkStart w:id="207" w:name="_Toc513556626"/>
      <w:bookmarkStart w:id="208" w:name="_Toc234382618"/>
      <w:bookmarkStart w:id="209" w:name="_Toc74760847"/>
      <w:bookmarkStart w:id="210" w:name="_Toc513555549"/>
      <w:bookmarkStart w:id="211" w:name="_Toc509828615"/>
      <w:bookmarkStart w:id="212" w:name="_Toc519601450"/>
      <w:bookmarkStart w:id="213" w:name="_Toc513555793"/>
      <w:r>
        <w:rPr>
          <w:rFonts w:hint="eastAsia" w:ascii="Calibri" w:hAnsi="Calibri"/>
          <w:b w:val="0"/>
          <w:bCs w:val="0"/>
          <w:sz w:val="28"/>
          <w:szCs w:val="32"/>
        </w:rPr>
        <w:t>4.2 投标文件的递交</w:t>
      </w:r>
      <w:bookmarkEnd w:id="206"/>
      <w:bookmarkEnd w:id="207"/>
      <w:bookmarkEnd w:id="208"/>
      <w:bookmarkEnd w:id="209"/>
      <w:bookmarkEnd w:id="210"/>
      <w:bookmarkEnd w:id="211"/>
      <w:bookmarkEnd w:id="212"/>
      <w:bookmarkEnd w:id="213"/>
    </w:p>
    <w:p w14:paraId="1C162CA1">
      <w:pPr>
        <w:spacing w:line="360" w:lineRule="auto"/>
        <w:ind w:firstLine="480" w:firstLineChars="200"/>
        <w:rPr>
          <w:rFonts w:ascii="宋体" w:hAnsi="宋体" w:cs="宋体"/>
          <w:color w:val="auto"/>
          <w:sz w:val="24"/>
          <w:highlight w:val="none"/>
        </w:rPr>
      </w:pPr>
      <w:bookmarkStart w:id="214" w:name="_Toc234382619"/>
      <w:r>
        <w:rPr>
          <w:rFonts w:ascii="宋体" w:hAnsi="宋体" w:cs="宋体"/>
          <w:color w:val="auto"/>
          <w:sz w:val="24"/>
          <w:highlight w:val="none"/>
        </w:rPr>
        <w:t xml:space="preserve">4.2.1 </w:t>
      </w:r>
      <w:r>
        <w:rPr>
          <w:rFonts w:hint="eastAsia" w:ascii="宋体" w:hAnsi="宋体" w:cs="宋体"/>
          <w:color w:val="auto"/>
          <w:sz w:val="24"/>
          <w:highlight w:val="none"/>
        </w:rPr>
        <w:t>投标人应在第一章“招标公告”规定的投标截止时间前</w:t>
      </w:r>
      <w:r>
        <w:rPr>
          <w:rFonts w:hint="eastAsia" w:ascii="宋体" w:hAnsi="宋体"/>
          <w:color w:val="auto"/>
          <w:sz w:val="24"/>
          <w:highlight w:val="none"/>
        </w:rPr>
        <w:t>递交</w:t>
      </w:r>
      <w:r>
        <w:rPr>
          <w:rFonts w:hint="eastAsia" w:ascii="宋体" w:hAnsi="宋体"/>
          <w:color w:val="auto"/>
          <w:sz w:val="24"/>
          <w:highlight w:val="none"/>
          <w:lang w:val="en-US" w:eastAsia="zh-CN"/>
        </w:rPr>
        <w:t>投标文件</w:t>
      </w:r>
      <w:r>
        <w:rPr>
          <w:rFonts w:hint="eastAsia" w:ascii="宋体" w:hAnsi="宋体" w:cs="宋体"/>
          <w:color w:val="auto"/>
          <w:sz w:val="24"/>
          <w:highlight w:val="none"/>
        </w:rPr>
        <w:t>。</w:t>
      </w:r>
    </w:p>
    <w:p w14:paraId="0CA8620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4.2.2 </w:t>
      </w:r>
      <w:r>
        <w:rPr>
          <w:rFonts w:hint="eastAsia" w:ascii="宋体" w:hAnsi="宋体" w:cs="宋体"/>
          <w:color w:val="auto"/>
          <w:sz w:val="24"/>
          <w:highlight w:val="none"/>
        </w:rPr>
        <w:t>投标人递交投标文件的方式、地点：见第一章“招标公告”。</w:t>
      </w:r>
    </w:p>
    <w:p w14:paraId="022E643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4.2.3 </w:t>
      </w:r>
      <w:r>
        <w:rPr>
          <w:rFonts w:hint="eastAsia" w:ascii="宋体" w:hAnsi="宋体" w:cs="宋体"/>
          <w:color w:val="auto"/>
          <w:sz w:val="24"/>
          <w:highlight w:val="none"/>
        </w:rPr>
        <w:t>除投标人须知前附表另有规定外，投标人</w:t>
      </w:r>
      <w:r>
        <w:rPr>
          <w:rFonts w:hint="eastAsia" w:ascii="宋体" w:hAnsi="宋体" w:cs="宋体"/>
          <w:color w:val="auto"/>
          <w:sz w:val="24"/>
          <w:highlight w:val="none"/>
          <w:lang w:val="en-US" w:eastAsia="zh-CN"/>
        </w:rPr>
        <w:t>所递交</w:t>
      </w:r>
      <w:r>
        <w:rPr>
          <w:rFonts w:hint="eastAsia" w:ascii="宋体" w:hAnsi="宋体" w:cs="宋体"/>
          <w:color w:val="auto"/>
          <w:sz w:val="24"/>
          <w:highlight w:val="none"/>
        </w:rPr>
        <w:t>的投标文件不予退还。投标人少于</w:t>
      </w:r>
      <w:r>
        <w:rPr>
          <w:rFonts w:ascii="宋体" w:hAnsi="宋体" w:cs="宋体"/>
          <w:color w:val="auto"/>
          <w:sz w:val="24"/>
          <w:highlight w:val="none"/>
        </w:rPr>
        <w:t>3个的，投标文件当场退还给投标人。</w:t>
      </w:r>
    </w:p>
    <w:p w14:paraId="0A5EA910">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4.2.4 </w:t>
      </w:r>
      <w:r>
        <w:rPr>
          <w:rFonts w:hint="eastAsia" w:ascii="宋体" w:hAnsi="宋体" w:cs="宋体"/>
          <w:color w:val="auto"/>
          <w:sz w:val="24"/>
          <w:highlight w:val="none"/>
        </w:rPr>
        <w:t>逾期到达或者未到达“</w:t>
      </w:r>
      <w:r>
        <w:rPr>
          <w:rFonts w:hint="eastAsia" w:ascii="宋体" w:hAnsi="宋体" w:cs="宋体"/>
          <w:color w:val="auto"/>
          <w:sz w:val="24"/>
          <w:highlight w:val="none"/>
          <w:lang w:eastAsia="zh-CN"/>
        </w:rPr>
        <w:t>电子交易系统</w:t>
      </w:r>
      <w:r>
        <w:rPr>
          <w:rFonts w:hint="eastAsia" w:ascii="宋体" w:hAnsi="宋体" w:cs="宋体"/>
          <w:color w:val="auto"/>
          <w:sz w:val="24"/>
          <w:highlight w:val="none"/>
        </w:rPr>
        <w:t>”的电子投标文件视为放弃本次投标。</w:t>
      </w:r>
    </w:p>
    <w:p w14:paraId="6CC0340F">
      <w:pPr>
        <w:spacing w:line="360" w:lineRule="auto"/>
        <w:ind w:firstLine="0" w:firstLineChars="0"/>
        <w:rPr>
          <w:rFonts w:hint="eastAsia" w:ascii="宋体" w:hAnsi="宋体" w:eastAsia="宋体" w:cs="宋体"/>
          <w:color w:val="auto"/>
          <w:sz w:val="24"/>
          <w:highlight w:val="none"/>
          <w:lang w:eastAsia="zh-CN"/>
        </w:rPr>
      </w:pPr>
      <w:r>
        <w:rPr>
          <w:rFonts w:hint="default" w:ascii="宋体" w:hAnsi="宋体"/>
          <w:color w:val="auto"/>
          <w:sz w:val="24"/>
          <w:szCs w:val="24"/>
          <w:highlight w:val="none"/>
        </w:rPr>
        <w:t>采用</w:t>
      </w:r>
      <w:r>
        <w:rPr>
          <w:rFonts w:hint="eastAsia" w:ascii="宋体" w:hAnsi="宋体"/>
          <w:color w:val="auto"/>
          <w:sz w:val="24"/>
          <w:szCs w:val="24"/>
          <w:highlight w:val="none"/>
        </w:rPr>
        <w:t>银行保函</w:t>
      </w:r>
      <w:r>
        <w:rPr>
          <w:rFonts w:hint="default" w:ascii="宋体" w:hAnsi="宋体"/>
          <w:color w:val="auto"/>
          <w:sz w:val="24"/>
          <w:szCs w:val="24"/>
          <w:highlight w:val="none"/>
        </w:rPr>
        <w:t>形式提交</w:t>
      </w:r>
      <w:r>
        <w:rPr>
          <w:rFonts w:hint="eastAsia" w:ascii="宋体" w:hAnsi="宋体"/>
          <w:color w:val="auto"/>
          <w:sz w:val="24"/>
          <w:szCs w:val="24"/>
          <w:highlight w:val="none"/>
        </w:rPr>
        <w:t>投标保证金的</w:t>
      </w:r>
      <w:r>
        <w:rPr>
          <w:rFonts w:hint="default" w:ascii="宋体" w:hAnsi="宋体"/>
          <w:color w:val="auto"/>
          <w:sz w:val="24"/>
          <w:szCs w:val="24"/>
          <w:highlight w:val="none"/>
        </w:rPr>
        <w:t>，银行保函原件</w:t>
      </w:r>
      <w:r>
        <w:rPr>
          <w:rFonts w:hint="eastAsia" w:ascii="宋体" w:hAnsi="宋体" w:cs="Times New Roman"/>
          <w:color w:val="auto"/>
          <w:sz w:val="24"/>
          <w:highlight w:val="none"/>
        </w:rPr>
        <w:t>逾期送达的或未送达指定地点的，招标人将予以拒收</w:t>
      </w:r>
      <w:r>
        <w:rPr>
          <w:rFonts w:hint="eastAsia" w:ascii="宋体" w:hAnsi="宋体" w:cs="Times New Roman"/>
          <w:color w:val="auto"/>
          <w:sz w:val="24"/>
          <w:highlight w:val="none"/>
          <w:lang w:eastAsia="zh-CN"/>
        </w:rPr>
        <w:t>。</w:t>
      </w:r>
    </w:p>
    <w:p w14:paraId="0213277E">
      <w:pPr>
        <w:pStyle w:val="6"/>
        <w:rPr>
          <w:rFonts w:hint="eastAsia" w:ascii="Calibri" w:hAnsi="Calibri"/>
          <w:b w:val="0"/>
          <w:bCs w:val="0"/>
          <w:sz w:val="28"/>
          <w:szCs w:val="32"/>
        </w:rPr>
      </w:pPr>
      <w:bookmarkStart w:id="215" w:name="_Toc513555550"/>
      <w:bookmarkStart w:id="216" w:name="_Toc523921622"/>
      <w:bookmarkStart w:id="217" w:name="_Toc519601451"/>
      <w:bookmarkStart w:id="218" w:name="_Toc513555794"/>
      <w:bookmarkStart w:id="219" w:name="_Toc513556627"/>
      <w:bookmarkStart w:id="220" w:name="_Toc74760848"/>
      <w:bookmarkStart w:id="221" w:name="_Toc509828616"/>
      <w:r>
        <w:rPr>
          <w:rFonts w:hint="eastAsia" w:ascii="Calibri" w:hAnsi="Calibri"/>
          <w:b w:val="0"/>
          <w:bCs w:val="0"/>
          <w:sz w:val="28"/>
          <w:szCs w:val="32"/>
        </w:rPr>
        <w:t>4.3 投标文件的修改与撤回</w:t>
      </w:r>
      <w:bookmarkEnd w:id="214"/>
      <w:bookmarkEnd w:id="215"/>
      <w:bookmarkEnd w:id="216"/>
      <w:bookmarkEnd w:id="217"/>
      <w:bookmarkEnd w:id="218"/>
      <w:bookmarkEnd w:id="219"/>
      <w:bookmarkEnd w:id="220"/>
      <w:bookmarkEnd w:id="221"/>
    </w:p>
    <w:p w14:paraId="68FA010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4.3.1 </w:t>
      </w:r>
      <w:r>
        <w:rPr>
          <w:rFonts w:hint="eastAsia" w:ascii="宋体" w:hAnsi="宋体" w:cs="宋体"/>
          <w:color w:val="auto"/>
          <w:sz w:val="24"/>
          <w:highlight w:val="none"/>
        </w:rPr>
        <w:t>在本章第</w:t>
      </w:r>
      <w:r>
        <w:rPr>
          <w:rFonts w:ascii="宋体" w:hAnsi="宋体" w:cs="宋体"/>
          <w:color w:val="auto"/>
          <w:sz w:val="24"/>
          <w:highlight w:val="none"/>
        </w:rPr>
        <w:t>4.2.1项规定的投标截止时间前,投标人可以修改或撤回已递交的投标文件</w:t>
      </w:r>
      <w:r>
        <w:rPr>
          <w:rFonts w:hint="eastAsia" w:ascii="宋体" w:hAnsi="宋体" w:cs="宋体"/>
          <w:color w:val="auto"/>
          <w:sz w:val="24"/>
          <w:highlight w:val="none"/>
        </w:rPr>
        <w:t>。投标人对加密的投标文件进行撤回的，应在“</w:t>
      </w:r>
      <w:r>
        <w:rPr>
          <w:rFonts w:hint="eastAsia" w:ascii="宋体" w:hAnsi="宋体" w:cs="宋体"/>
          <w:color w:val="auto"/>
          <w:sz w:val="24"/>
          <w:highlight w:val="none"/>
          <w:lang w:eastAsia="zh-CN"/>
        </w:rPr>
        <w:t>电子交易系统</w:t>
      </w:r>
      <w:r>
        <w:rPr>
          <w:rFonts w:hint="eastAsia" w:ascii="宋体" w:hAnsi="宋体" w:cs="宋体"/>
          <w:color w:val="auto"/>
          <w:sz w:val="24"/>
          <w:highlight w:val="none"/>
        </w:rPr>
        <w:t>”直接进行撤回操作；投标人对加密的投标文件进行修改的，应在投标截止时间前完成上传。</w:t>
      </w:r>
    </w:p>
    <w:p w14:paraId="1EC3DED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4.3.2 </w:t>
      </w:r>
      <w:r>
        <w:rPr>
          <w:rFonts w:hint="eastAsia" w:ascii="宋体" w:hAnsi="宋体" w:cs="宋体"/>
          <w:color w:val="auto"/>
          <w:sz w:val="24"/>
          <w:highlight w:val="none"/>
        </w:rPr>
        <w:t>投标人修改投标文件的，应使用“投标文件制作工具”制作成完整的投标文件，并按照本章第</w:t>
      </w:r>
      <w:r>
        <w:rPr>
          <w:rFonts w:ascii="宋体" w:hAnsi="宋体" w:cs="宋体"/>
          <w:color w:val="auto"/>
          <w:sz w:val="24"/>
          <w:highlight w:val="none"/>
        </w:rPr>
        <w:t>3条、第4条规定进行编制、加密和递交。</w:t>
      </w:r>
      <w:r>
        <w:rPr>
          <w:rFonts w:hint="eastAsia" w:ascii="宋体" w:hAnsi="宋体" w:cs="宋体"/>
          <w:color w:val="auto"/>
          <w:sz w:val="24"/>
          <w:highlight w:val="none"/>
        </w:rPr>
        <w:t>上传</w:t>
      </w:r>
      <w:r>
        <w:rPr>
          <w:rFonts w:ascii="宋体" w:hAnsi="宋体" w:cs="宋体"/>
          <w:color w:val="auto"/>
          <w:sz w:val="24"/>
          <w:highlight w:val="none"/>
        </w:rPr>
        <w:t>加密的投标文件，以投标截止时间前最后完成上传的文件为准。</w:t>
      </w:r>
    </w:p>
    <w:p w14:paraId="526743D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4.3.3 </w:t>
      </w:r>
      <w:r>
        <w:rPr>
          <w:rFonts w:hint="eastAsia" w:ascii="宋体" w:hAnsi="宋体" w:cs="宋体"/>
          <w:color w:val="auto"/>
          <w:sz w:val="24"/>
          <w:highlight w:val="none"/>
        </w:rPr>
        <w:t>投标人撤回投标文件的</w:t>
      </w:r>
      <w:r>
        <w:rPr>
          <w:rFonts w:ascii="宋体" w:hAnsi="宋体" w:cs="宋体"/>
          <w:color w:val="auto"/>
          <w:sz w:val="24"/>
          <w:highlight w:val="none"/>
        </w:rPr>
        <w:t>,招标人自收到投标人书面撤回通知之日起5日内退还已收取的投标保证金。</w:t>
      </w:r>
    </w:p>
    <w:p w14:paraId="29D288E4">
      <w:pPr>
        <w:pStyle w:val="5"/>
      </w:pPr>
      <w:bookmarkStart w:id="222" w:name="_Toc74760849"/>
      <w:bookmarkStart w:id="223" w:name="_Toc234382620"/>
      <w:bookmarkStart w:id="224" w:name="_Toc28187720"/>
      <w:bookmarkStart w:id="225" w:name="_Toc523921623"/>
      <w:r>
        <w:t xml:space="preserve">5. </w:t>
      </w:r>
      <w:r>
        <w:rPr>
          <w:rFonts w:hint="eastAsia"/>
        </w:rPr>
        <w:t>开标</w:t>
      </w:r>
      <w:bookmarkEnd w:id="222"/>
      <w:bookmarkEnd w:id="223"/>
      <w:bookmarkEnd w:id="224"/>
      <w:bookmarkEnd w:id="225"/>
    </w:p>
    <w:p w14:paraId="37DFC596">
      <w:pPr>
        <w:pStyle w:val="6"/>
        <w:rPr>
          <w:rFonts w:hint="eastAsia" w:ascii="Calibri" w:hAnsi="Calibri"/>
          <w:b w:val="0"/>
          <w:bCs w:val="0"/>
          <w:sz w:val="28"/>
          <w:szCs w:val="32"/>
        </w:rPr>
      </w:pPr>
      <w:bookmarkStart w:id="226" w:name="_Toc513555795"/>
      <w:bookmarkStart w:id="227" w:name="_Toc513556628"/>
      <w:bookmarkStart w:id="228" w:name="_Toc523921624"/>
      <w:bookmarkStart w:id="229" w:name="_Toc509828617"/>
      <w:bookmarkStart w:id="230" w:name="_Toc74760850"/>
      <w:bookmarkStart w:id="231" w:name="_Toc513555551"/>
      <w:bookmarkStart w:id="232" w:name="_Toc234382621"/>
      <w:bookmarkStart w:id="233" w:name="_Toc519601452"/>
      <w:r>
        <w:rPr>
          <w:rFonts w:hint="eastAsia" w:ascii="Calibri" w:hAnsi="Calibri"/>
          <w:b w:val="0"/>
          <w:bCs w:val="0"/>
          <w:sz w:val="28"/>
          <w:szCs w:val="32"/>
        </w:rPr>
        <w:t>5.1 开标时间和地点</w:t>
      </w:r>
      <w:bookmarkEnd w:id="226"/>
      <w:bookmarkEnd w:id="227"/>
      <w:bookmarkEnd w:id="228"/>
      <w:bookmarkEnd w:id="229"/>
      <w:bookmarkEnd w:id="230"/>
      <w:bookmarkEnd w:id="231"/>
      <w:bookmarkEnd w:id="232"/>
      <w:bookmarkEnd w:id="233"/>
    </w:p>
    <w:p w14:paraId="7EC160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招标人在本章第</w:t>
      </w:r>
      <w:r>
        <w:rPr>
          <w:rFonts w:ascii="宋体" w:hAnsi="宋体" w:cs="宋体"/>
          <w:color w:val="auto"/>
          <w:sz w:val="24"/>
          <w:highlight w:val="none"/>
        </w:rPr>
        <w:t>4.2.1</w:t>
      </w:r>
      <w:r>
        <w:rPr>
          <w:rFonts w:hint="eastAsia" w:ascii="宋体" w:hAnsi="宋体" w:cs="宋体"/>
          <w:color w:val="auto"/>
          <w:sz w:val="24"/>
          <w:highlight w:val="none"/>
        </w:rPr>
        <w:t>项规定的投标截止时间（开标时间）和投标人须知前附表规定的地点对收到的投标文件第一个信封（商务及技术文件）公开开标，并邀请所有投标人的法定代表人或其委托代理人准时参加。</w:t>
      </w:r>
    </w:p>
    <w:p w14:paraId="7A5D1F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招标人在投标人须知前附表规定的时间和地点对投标文件第二个信封（报价文件）进行公开开标，并邀请所有投标人的法定代表人或其委托代理人准时参加。</w:t>
      </w:r>
    </w:p>
    <w:p w14:paraId="24FC74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投标人若未派法定代表人或委托代理人参加开标的，视为该投标人默认开标结果。</w:t>
      </w:r>
    </w:p>
    <w:p w14:paraId="22F3A822">
      <w:pPr>
        <w:pStyle w:val="6"/>
        <w:rPr>
          <w:rFonts w:hint="eastAsia" w:ascii="Calibri" w:hAnsi="Calibri"/>
          <w:b w:val="0"/>
          <w:bCs w:val="0"/>
          <w:sz w:val="28"/>
          <w:szCs w:val="32"/>
        </w:rPr>
      </w:pPr>
      <w:bookmarkStart w:id="234" w:name="_Toc519601453"/>
      <w:bookmarkStart w:id="235" w:name="_Toc523921625"/>
      <w:bookmarkStart w:id="236" w:name="_Toc234382623"/>
      <w:bookmarkStart w:id="237" w:name="_Toc509828618"/>
      <w:bookmarkStart w:id="238" w:name="_Toc513556629"/>
      <w:bookmarkStart w:id="239" w:name="_Toc513555796"/>
      <w:bookmarkStart w:id="240" w:name="_Toc74760851"/>
      <w:bookmarkStart w:id="241" w:name="_Toc513555552"/>
      <w:r>
        <w:rPr>
          <w:rFonts w:hint="eastAsia" w:ascii="Calibri" w:hAnsi="Calibri"/>
          <w:b w:val="0"/>
          <w:bCs w:val="0"/>
          <w:sz w:val="28"/>
          <w:szCs w:val="32"/>
        </w:rPr>
        <w:t>5.2 开标程序</w:t>
      </w:r>
      <w:bookmarkEnd w:id="234"/>
      <w:bookmarkEnd w:id="235"/>
      <w:bookmarkEnd w:id="236"/>
      <w:bookmarkEnd w:id="237"/>
      <w:bookmarkEnd w:id="238"/>
      <w:bookmarkEnd w:id="239"/>
      <w:bookmarkEnd w:id="240"/>
      <w:bookmarkEnd w:id="241"/>
    </w:p>
    <w:p w14:paraId="56F7E621">
      <w:pPr>
        <w:spacing w:line="360" w:lineRule="auto"/>
        <w:ind w:left="479" w:leftChars="228"/>
        <w:rPr>
          <w:rFonts w:hint="eastAsia" w:ascii="宋体" w:hAnsi="宋体" w:eastAsia="宋体" w:cs="宋体"/>
          <w:color w:val="auto"/>
          <w:sz w:val="24"/>
          <w:highlight w:val="none"/>
          <w:lang w:eastAsia="zh-CN"/>
        </w:rPr>
      </w:pPr>
      <w:r>
        <w:rPr>
          <w:rFonts w:ascii="宋体" w:hAnsi="宋体" w:cs="宋体"/>
          <w:color w:val="auto"/>
          <w:sz w:val="24"/>
          <w:highlight w:val="none"/>
        </w:rPr>
        <w:t xml:space="preserve">5.2.1 </w:t>
      </w:r>
      <w:r>
        <w:rPr>
          <w:rFonts w:hint="eastAsia" w:ascii="宋体" w:hAnsi="宋体" w:cs="宋体"/>
          <w:color w:val="auto"/>
          <w:sz w:val="24"/>
          <w:highlight w:val="none"/>
        </w:rPr>
        <w:t>投标文件第一个信封（商务及技术文件）开标程序：见投标人须知前附表。</w:t>
      </w:r>
    </w:p>
    <w:p w14:paraId="462B26F8">
      <w:pPr>
        <w:spacing w:line="360" w:lineRule="auto"/>
        <w:ind w:left="479" w:leftChars="228"/>
        <w:rPr>
          <w:rFonts w:ascii="宋体" w:hAnsi="宋体" w:cs="宋体"/>
          <w:color w:val="auto"/>
          <w:sz w:val="24"/>
          <w:highlight w:val="none"/>
        </w:rPr>
      </w:pPr>
      <w:r>
        <w:rPr>
          <w:rFonts w:ascii="宋体" w:hAnsi="宋体" w:cs="宋体"/>
          <w:color w:val="auto"/>
          <w:sz w:val="24"/>
          <w:highlight w:val="none"/>
        </w:rPr>
        <w:t xml:space="preserve">5.2.2 </w:t>
      </w:r>
      <w:r>
        <w:rPr>
          <w:rFonts w:hint="eastAsia" w:ascii="宋体" w:hAnsi="宋体" w:cs="宋体"/>
          <w:color w:val="auto"/>
          <w:sz w:val="24"/>
          <w:highlight w:val="none"/>
        </w:rPr>
        <w:t>投标文件第二个信封（报价文件）</w:t>
      </w:r>
      <w:r>
        <w:rPr>
          <w:rFonts w:hint="eastAsia" w:ascii="宋体" w:hAnsi="宋体" w:cs="宋体"/>
          <w:color w:val="auto"/>
          <w:sz w:val="24"/>
          <w:highlight w:val="none"/>
          <w:lang w:val="en-US" w:eastAsia="zh-CN"/>
        </w:rPr>
        <w:t>开标前</w:t>
      </w:r>
      <w:r>
        <w:rPr>
          <w:rFonts w:hint="eastAsia" w:ascii="宋体" w:hAnsi="宋体" w:cs="宋体"/>
          <w:color w:val="auto"/>
          <w:sz w:val="24"/>
          <w:highlight w:val="none"/>
        </w:rPr>
        <w:t>的处置：见投标人须知前附表。</w:t>
      </w:r>
    </w:p>
    <w:p w14:paraId="4CC62B07">
      <w:pPr>
        <w:spacing w:line="360" w:lineRule="auto"/>
        <w:ind w:left="479" w:leftChars="228"/>
        <w:rPr>
          <w:rFonts w:ascii="宋体" w:hAnsi="宋体" w:cs="宋体"/>
          <w:color w:val="auto"/>
          <w:sz w:val="24"/>
          <w:highlight w:val="none"/>
        </w:rPr>
      </w:pPr>
      <w:r>
        <w:rPr>
          <w:rFonts w:ascii="宋体" w:hAnsi="宋体" w:cs="宋体"/>
          <w:color w:val="auto"/>
          <w:sz w:val="24"/>
          <w:highlight w:val="none"/>
        </w:rPr>
        <w:t xml:space="preserve">5.2.3 </w:t>
      </w:r>
      <w:r>
        <w:rPr>
          <w:rFonts w:hint="eastAsia" w:ascii="宋体" w:hAnsi="宋体" w:cs="宋体"/>
          <w:color w:val="auto"/>
          <w:sz w:val="24"/>
          <w:highlight w:val="none"/>
        </w:rPr>
        <w:t>投标文件第二个信封（报价文件）开标程序：见投标人须知前附表。</w:t>
      </w:r>
    </w:p>
    <w:p w14:paraId="669DB916">
      <w:pPr>
        <w:spacing w:line="360" w:lineRule="auto"/>
        <w:ind w:firstLine="480" w:firstLineChars="200"/>
        <w:rPr>
          <w:rFonts w:hint="eastAsia" w:ascii="宋体" w:hAnsi="宋体" w:eastAsia="宋体" w:cs="宋体"/>
          <w:color w:val="auto"/>
          <w:sz w:val="24"/>
          <w:highlight w:val="none"/>
          <w:lang w:eastAsia="zh-CN"/>
        </w:rPr>
      </w:pPr>
      <w:r>
        <w:rPr>
          <w:rFonts w:ascii="宋体" w:hAnsi="宋体" w:cs="宋体"/>
          <w:color w:val="auto"/>
          <w:sz w:val="24"/>
          <w:highlight w:val="none"/>
        </w:rPr>
        <w:t xml:space="preserve">5.2.4 </w:t>
      </w:r>
      <w:r>
        <w:rPr>
          <w:rFonts w:hint="eastAsia" w:ascii="宋体" w:hAnsi="宋体" w:cs="宋体"/>
          <w:color w:val="auto"/>
          <w:sz w:val="24"/>
          <w:highlight w:val="none"/>
        </w:rPr>
        <w:t>在投标文件第二个信封（报价文件）开标现场</w:t>
      </w:r>
      <w:r>
        <w:rPr>
          <w:rFonts w:ascii="宋体" w:hAnsi="宋体" w:cs="宋体"/>
          <w:color w:val="auto"/>
          <w:sz w:val="24"/>
          <w:highlight w:val="none"/>
        </w:rPr>
        <w:t>,招标人将按第三章“评标办法”</w:t>
      </w:r>
      <w:r>
        <w:rPr>
          <w:rFonts w:hint="eastAsia" w:ascii="宋体" w:hAnsi="宋体" w:cs="宋体"/>
          <w:color w:val="auto"/>
          <w:sz w:val="24"/>
          <w:highlight w:val="none"/>
        </w:rPr>
        <w:t>前附表第2</w:t>
      </w:r>
      <w:r>
        <w:rPr>
          <w:rFonts w:ascii="宋体" w:hAnsi="宋体" w:cs="宋体"/>
          <w:color w:val="auto"/>
          <w:sz w:val="24"/>
          <w:highlight w:val="none"/>
        </w:rPr>
        <w:t>.2.2</w:t>
      </w:r>
      <w:r>
        <w:rPr>
          <w:rFonts w:hint="eastAsia" w:ascii="宋体" w:hAnsi="宋体" w:cs="宋体"/>
          <w:color w:val="auto"/>
          <w:sz w:val="24"/>
          <w:highlight w:val="none"/>
        </w:rPr>
        <w:t>项</w:t>
      </w:r>
      <w:r>
        <w:rPr>
          <w:rFonts w:ascii="宋体" w:hAnsi="宋体" w:cs="宋体"/>
          <w:color w:val="auto"/>
          <w:sz w:val="24"/>
          <w:highlight w:val="none"/>
        </w:rPr>
        <w:t>规定的原则计算并宣布评标基准价</w:t>
      </w:r>
      <w:r>
        <w:rPr>
          <w:rFonts w:hint="eastAsia" w:ascii="宋体" w:hAnsi="宋体" w:cs="宋体"/>
          <w:color w:val="auto"/>
          <w:sz w:val="24"/>
          <w:highlight w:val="none"/>
        </w:rPr>
        <w:t>。若招标人发现投标文件出现</w:t>
      </w:r>
      <w:r>
        <w:rPr>
          <w:rFonts w:hint="eastAsia" w:ascii="宋体" w:hAnsi="宋体"/>
          <w:color w:val="auto"/>
          <w:sz w:val="24"/>
          <w:highlight w:val="none"/>
        </w:rPr>
        <w:t>第三章“评标办法”前附表第2</w:t>
      </w:r>
      <w:r>
        <w:rPr>
          <w:rFonts w:ascii="宋体" w:hAnsi="宋体"/>
          <w:color w:val="auto"/>
          <w:sz w:val="24"/>
          <w:highlight w:val="none"/>
        </w:rPr>
        <w:t>.2.2</w:t>
      </w:r>
      <w:r>
        <w:rPr>
          <w:rFonts w:hint="eastAsia" w:ascii="宋体" w:hAnsi="宋体"/>
          <w:color w:val="auto"/>
          <w:sz w:val="24"/>
          <w:highlight w:val="none"/>
        </w:rPr>
        <w:t>项中所述不参加评标基准价计算的</w:t>
      </w:r>
      <w:r>
        <w:rPr>
          <w:rFonts w:hint="eastAsia" w:ascii="宋体" w:hAnsi="宋体" w:cs="宋体"/>
          <w:color w:val="auto"/>
          <w:sz w:val="24"/>
          <w:highlight w:val="none"/>
        </w:rPr>
        <w:t>任一情形。其投标报价将不再参加评标基准价的计算。</w:t>
      </w:r>
    </w:p>
    <w:p w14:paraId="5CA4077B">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如果投标人认为某一标段的评标基准价计算有误</w:t>
      </w:r>
      <w:r>
        <w:rPr>
          <w:rFonts w:ascii="宋体" w:hAnsi="宋体" w:cs="宋体"/>
          <w:color w:val="auto"/>
          <w:sz w:val="24"/>
          <w:highlight w:val="none"/>
        </w:rPr>
        <w:t>,有权在开标现场提出,经招标人当场核实确认之后,可重新宣布评标基准价。开标现场宣布的评标基准价除计算有误经评标委员会修正外,在整个评标期间保持不变,不随任何因素发生变化。</w:t>
      </w:r>
    </w:p>
    <w:p w14:paraId="3402CD6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5.2.5 </w:t>
      </w:r>
      <w:r>
        <w:rPr>
          <w:rFonts w:hint="eastAsia" w:ascii="宋体" w:hAnsi="宋体" w:cs="宋体"/>
          <w:color w:val="auto"/>
          <w:sz w:val="24"/>
          <w:highlight w:val="none"/>
        </w:rPr>
        <w:t>在投标文件第一个信封（商务及技术文件）或第二个信封（报价文件）开标过程中</w:t>
      </w:r>
      <w:r>
        <w:rPr>
          <w:rFonts w:ascii="宋体" w:hAnsi="宋体" w:cs="宋体"/>
          <w:color w:val="auto"/>
          <w:sz w:val="24"/>
          <w:highlight w:val="none"/>
        </w:rPr>
        <w:t>,若招标人宣读的内容与投标文件不符,投标人有权在开标现场提出疑问,经招标人当场核查确认之后,可重新宣读其投标文件。若投标人现场未提出疑问,则认为投标人</w:t>
      </w:r>
      <w:r>
        <w:rPr>
          <w:rFonts w:hint="eastAsia" w:ascii="宋体" w:hAnsi="宋体" w:cs="宋体"/>
          <w:color w:val="auto"/>
          <w:sz w:val="24"/>
          <w:highlight w:val="none"/>
          <w:lang w:val="en-US" w:eastAsia="zh-CN"/>
        </w:rPr>
        <w:t>已</w:t>
      </w:r>
      <w:r>
        <w:rPr>
          <w:rFonts w:ascii="宋体" w:hAnsi="宋体" w:cs="宋体"/>
          <w:color w:val="auto"/>
          <w:sz w:val="24"/>
          <w:highlight w:val="none"/>
        </w:rPr>
        <w:t>确认招标人</w:t>
      </w:r>
      <w:r>
        <w:rPr>
          <w:rFonts w:hint="eastAsia" w:ascii="宋体" w:hAnsi="宋体" w:cs="宋体"/>
          <w:color w:val="auto"/>
          <w:sz w:val="24"/>
          <w:highlight w:val="none"/>
        </w:rPr>
        <w:t>宣读的内容。</w:t>
      </w:r>
    </w:p>
    <w:p w14:paraId="0B8EFEA4">
      <w:pPr>
        <w:pStyle w:val="6"/>
        <w:rPr>
          <w:rFonts w:hint="eastAsia" w:ascii="Calibri" w:hAnsi="Calibri" w:eastAsia="黑体"/>
          <w:b w:val="0"/>
          <w:bCs w:val="0"/>
          <w:kern w:val="0"/>
          <w:sz w:val="28"/>
        </w:rPr>
      </w:pPr>
      <w:bookmarkStart w:id="242" w:name="_Toc27059896"/>
      <w:bookmarkStart w:id="243" w:name="_Toc27059794"/>
      <w:bookmarkStart w:id="244" w:name="_Toc27060692"/>
      <w:bookmarkStart w:id="245" w:name="_Toc27059523"/>
      <w:bookmarkStart w:id="246" w:name="_Toc27059704"/>
      <w:r>
        <w:rPr>
          <w:rFonts w:hint="eastAsia" w:ascii="Calibri" w:hAnsi="Calibri" w:eastAsia="黑体" w:cs="Times New Roman"/>
          <w:b w:val="0"/>
          <w:bCs w:val="0"/>
          <w:kern w:val="0"/>
          <w:sz w:val="28"/>
        </w:rPr>
        <w:t>5.3 开</w:t>
      </w:r>
      <w:r>
        <w:rPr>
          <w:rFonts w:hint="eastAsia" w:ascii="Calibri" w:hAnsi="Calibri" w:eastAsia="黑体"/>
          <w:b w:val="0"/>
          <w:bCs w:val="0"/>
          <w:kern w:val="0"/>
          <w:sz w:val="28"/>
        </w:rPr>
        <w:t>标补救措施</w:t>
      </w:r>
      <w:bookmarkEnd w:id="242"/>
      <w:bookmarkEnd w:id="243"/>
      <w:bookmarkEnd w:id="244"/>
      <w:bookmarkEnd w:id="245"/>
      <w:bookmarkEnd w:id="246"/>
    </w:p>
    <w:p w14:paraId="657C0B1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5.3.1 </w:t>
      </w:r>
      <w:r>
        <w:rPr>
          <w:rFonts w:hint="eastAsia" w:ascii="宋体" w:hAnsi="宋体" w:cs="宋体"/>
          <w:color w:val="auto"/>
          <w:sz w:val="24"/>
          <w:highlight w:val="none"/>
        </w:rPr>
        <w:t>开标过程中因本章第</w:t>
      </w:r>
      <w:r>
        <w:rPr>
          <w:rFonts w:ascii="宋体" w:hAnsi="宋体" w:cs="宋体"/>
          <w:color w:val="auto"/>
          <w:sz w:val="24"/>
          <w:highlight w:val="none"/>
        </w:rPr>
        <w:t>5.3.2项、第5.3.3项所列原因，导致系统无法正常运行，</w:t>
      </w:r>
      <w:r>
        <w:rPr>
          <w:rFonts w:hint="eastAsia" w:ascii="宋体" w:hAnsi="宋体" w:cs="宋体"/>
          <w:color w:val="auto"/>
          <w:sz w:val="24"/>
          <w:highlight w:val="none"/>
        </w:rPr>
        <w:t>将按投标人须知前附表的规定采取补救措施。</w:t>
      </w:r>
    </w:p>
    <w:p w14:paraId="65E2676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5.3.2 </w:t>
      </w:r>
      <w:r>
        <w:rPr>
          <w:rFonts w:hint="eastAsia" w:ascii="宋体" w:hAnsi="宋体" w:cs="宋体"/>
          <w:color w:val="auto"/>
          <w:sz w:val="24"/>
          <w:highlight w:val="none"/>
        </w:rPr>
        <w:t>在投标截止时间止，因“</w:t>
      </w:r>
      <w:r>
        <w:rPr>
          <w:rFonts w:hint="eastAsia" w:ascii="宋体" w:hAnsi="宋体" w:cs="宋体"/>
          <w:color w:val="auto"/>
          <w:sz w:val="24"/>
          <w:highlight w:val="none"/>
          <w:lang w:eastAsia="zh-CN"/>
        </w:rPr>
        <w:t>电子交易系统</w:t>
      </w:r>
      <w:r>
        <w:rPr>
          <w:rFonts w:hint="eastAsia" w:ascii="宋体" w:hAnsi="宋体" w:cs="宋体"/>
          <w:color w:val="auto"/>
          <w:sz w:val="24"/>
          <w:highlight w:val="none"/>
        </w:rPr>
        <w:t>”系统故障导致投标人无法正常上传加密的投标文件的情形，投标人应打印并递交</w:t>
      </w:r>
      <w:r>
        <w:rPr>
          <w:rFonts w:hint="eastAsia" w:ascii="宋体" w:hAnsi="宋体" w:cs="宋体"/>
          <w:color w:val="auto"/>
          <w:sz w:val="24"/>
          <w:highlight w:val="none"/>
          <w:lang w:eastAsia="zh-CN"/>
        </w:rPr>
        <w:t>电子交易系统</w:t>
      </w:r>
      <w:r>
        <w:rPr>
          <w:rFonts w:hint="eastAsia" w:ascii="宋体" w:hAnsi="宋体" w:cs="宋体"/>
          <w:color w:val="auto"/>
          <w:sz w:val="24"/>
          <w:highlight w:val="none"/>
        </w:rPr>
        <w:t>自动生成的上传失败的异常记录单。</w:t>
      </w:r>
    </w:p>
    <w:p w14:paraId="4890C96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5.3.3 </w:t>
      </w:r>
      <w:r>
        <w:rPr>
          <w:rFonts w:hint="eastAsia" w:ascii="宋体" w:hAnsi="宋体" w:cs="宋体"/>
          <w:color w:val="auto"/>
          <w:sz w:val="24"/>
          <w:highlight w:val="none"/>
        </w:rPr>
        <w:t>当出现以下情况时，应对未开标的中止电子开标，并</w:t>
      </w:r>
      <w:r>
        <w:rPr>
          <w:rFonts w:hint="eastAsia" w:ascii="宋体" w:hAnsi="宋体" w:cs="宋体"/>
          <w:color w:val="auto"/>
          <w:sz w:val="24"/>
          <w:highlight w:val="none"/>
          <w:lang w:val="en-US" w:eastAsia="zh-CN"/>
        </w:rPr>
        <w:t>在</w:t>
      </w:r>
      <w:r>
        <w:rPr>
          <w:rFonts w:hint="eastAsia" w:ascii="宋体" w:hAnsi="宋体" w:cs="宋体"/>
          <w:color w:val="auto"/>
          <w:sz w:val="24"/>
          <w:highlight w:val="none"/>
        </w:rPr>
        <w:t>恢复正常后及时安排时间开标：</w:t>
      </w:r>
    </w:p>
    <w:p w14:paraId="2408E1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1）系统服务器发生故障，无法访问或无法使用系统；</w:t>
      </w:r>
    </w:p>
    <w:p w14:paraId="3BE01F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2）系统的软件或数据库出现错误，不能进行正常操作；</w:t>
      </w:r>
    </w:p>
    <w:p w14:paraId="149932D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3）系统发现有安全漏洞，有潜在的泄密危险；</w:t>
      </w:r>
    </w:p>
    <w:p w14:paraId="7FC597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4）出现断电事故且短时间内无法恢复供电；</w:t>
      </w:r>
    </w:p>
    <w:p w14:paraId="63AAD8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5）其他无法保证招投标过程正常进行的情形。</w:t>
      </w:r>
    </w:p>
    <w:p w14:paraId="06C2BD7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5.3.4 </w:t>
      </w:r>
      <w:r>
        <w:rPr>
          <w:rFonts w:hint="eastAsia" w:ascii="宋体" w:hAnsi="宋体" w:cs="宋体"/>
          <w:color w:val="auto"/>
          <w:sz w:val="24"/>
          <w:highlight w:val="none"/>
        </w:rPr>
        <w:t>采取补救措施时，必须对原有资料及信息作出妥善保密处理。</w:t>
      </w:r>
    </w:p>
    <w:p w14:paraId="0D9B1625">
      <w:pPr>
        <w:pStyle w:val="6"/>
        <w:rPr>
          <w:rFonts w:hint="eastAsia" w:ascii="Calibri" w:hAnsi="Calibri" w:eastAsia="黑体"/>
          <w:b w:val="0"/>
          <w:bCs w:val="0"/>
          <w:kern w:val="0"/>
          <w:sz w:val="28"/>
        </w:rPr>
      </w:pPr>
      <w:bookmarkStart w:id="247" w:name="_Toc27059705"/>
      <w:bookmarkStart w:id="248" w:name="_Toc27059897"/>
      <w:bookmarkStart w:id="249" w:name="_Toc27059524"/>
      <w:bookmarkStart w:id="250" w:name="_Toc27059795"/>
      <w:bookmarkStart w:id="251" w:name="_Toc27060693"/>
      <w:r>
        <w:rPr>
          <w:rFonts w:hint="eastAsia" w:ascii="Calibri" w:hAnsi="Calibri" w:eastAsia="黑体"/>
          <w:b w:val="0"/>
          <w:bCs w:val="0"/>
          <w:kern w:val="0"/>
          <w:sz w:val="28"/>
        </w:rPr>
        <w:t>5.4 开标异议</w:t>
      </w:r>
      <w:bookmarkEnd w:id="247"/>
      <w:bookmarkEnd w:id="248"/>
      <w:bookmarkEnd w:id="249"/>
      <w:bookmarkEnd w:id="250"/>
      <w:bookmarkEnd w:id="251"/>
    </w:p>
    <w:p w14:paraId="2FB82A08">
      <w:pPr>
        <w:pStyle w:val="276"/>
        <w:adjustRightInd w:val="0"/>
        <w:snapToGrid w:val="0"/>
        <w:spacing w:line="360" w:lineRule="auto"/>
        <w:rPr>
          <w:rFonts w:ascii="宋体" w:hAnsi="宋体" w:cs="宋体"/>
          <w:color w:val="auto"/>
          <w:sz w:val="24"/>
          <w:highlight w:val="none"/>
        </w:rPr>
      </w:pPr>
      <w:r>
        <w:rPr>
          <w:rFonts w:ascii="宋体" w:hAnsi="宋体" w:cs="宋体"/>
          <w:color w:val="auto"/>
          <w:sz w:val="24"/>
          <w:highlight w:val="none"/>
        </w:rPr>
        <w:t xml:space="preserve">    投标人对开标有异议的,应在开标现场提出,招标人当场作出答复,并</w:t>
      </w:r>
      <w:r>
        <w:rPr>
          <w:rFonts w:hint="eastAsia" w:ascii="宋体" w:hAnsi="宋体" w:cs="宋体"/>
          <w:color w:val="auto"/>
          <w:sz w:val="24"/>
          <w:highlight w:val="none"/>
          <w:lang w:val="en-US" w:eastAsia="zh-CN"/>
        </w:rPr>
        <w:t>予以</w:t>
      </w:r>
      <w:r>
        <w:rPr>
          <w:rFonts w:ascii="宋体" w:hAnsi="宋体" w:cs="宋体"/>
          <w:color w:val="auto"/>
          <w:sz w:val="24"/>
          <w:highlight w:val="none"/>
        </w:rPr>
        <w:t>记录。</w:t>
      </w:r>
    </w:p>
    <w:p w14:paraId="151AF88C">
      <w:pPr>
        <w:pStyle w:val="5"/>
      </w:pPr>
      <w:bookmarkStart w:id="252" w:name="_Toc234382625"/>
      <w:bookmarkStart w:id="253" w:name="_Toc28187721"/>
      <w:bookmarkStart w:id="254" w:name="_Toc74760852"/>
      <w:bookmarkStart w:id="255" w:name="_Toc523921626"/>
      <w:r>
        <w:t xml:space="preserve">6. </w:t>
      </w:r>
      <w:r>
        <w:rPr>
          <w:rFonts w:hint="eastAsia"/>
        </w:rPr>
        <w:t>评标</w:t>
      </w:r>
      <w:bookmarkEnd w:id="252"/>
      <w:bookmarkEnd w:id="253"/>
      <w:bookmarkEnd w:id="254"/>
      <w:bookmarkEnd w:id="255"/>
    </w:p>
    <w:p w14:paraId="70EF78FE">
      <w:pPr>
        <w:pStyle w:val="6"/>
        <w:rPr>
          <w:rFonts w:hint="eastAsia" w:ascii="Calibri" w:hAnsi="Calibri" w:eastAsia="黑体"/>
          <w:b w:val="0"/>
          <w:bCs w:val="0"/>
          <w:kern w:val="0"/>
          <w:sz w:val="28"/>
        </w:rPr>
      </w:pPr>
      <w:bookmarkStart w:id="256" w:name="_Toc27059797"/>
      <w:bookmarkStart w:id="257" w:name="_Toc501257099"/>
      <w:bookmarkStart w:id="258" w:name="_Toc27059526"/>
      <w:bookmarkStart w:id="259" w:name="_Toc234832907"/>
      <w:bookmarkStart w:id="260" w:name="_Toc27059707"/>
      <w:bookmarkStart w:id="261" w:name="_Toc27060695"/>
      <w:bookmarkStart w:id="262" w:name="_Toc27059899"/>
      <w:r>
        <w:rPr>
          <w:rFonts w:hint="eastAsia" w:ascii="Calibri" w:hAnsi="Calibri" w:eastAsia="黑体"/>
          <w:b w:val="0"/>
          <w:bCs w:val="0"/>
          <w:kern w:val="0"/>
          <w:sz w:val="28"/>
        </w:rPr>
        <w:t>6.1</w:t>
      </w:r>
      <w:r>
        <w:rPr>
          <w:rFonts w:hint="eastAsia" w:ascii="Calibri" w:hAnsi="Calibri" w:eastAsia="黑体"/>
          <w:b w:val="0"/>
          <w:bCs w:val="0"/>
          <w:kern w:val="0"/>
          <w:sz w:val="28"/>
        </w:rPr>
        <w:tab/>
      </w:r>
      <w:r>
        <w:rPr>
          <w:rFonts w:hint="eastAsia" w:ascii="Calibri" w:hAnsi="Calibri" w:eastAsia="黑体"/>
          <w:b w:val="0"/>
          <w:bCs w:val="0"/>
          <w:kern w:val="0"/>
          <w:sz w:val="28"/>
        </w:rPr>
        <w:t xml:space="preserve"> 评标委员会</w:t>
      </w:r>
      <w:bookmarkEnd w:id="256"/>
      <w:bookmarkEnd w:id="257"/>
      <w:bookmarkEnd w:id="258"/>
      <w:bookmarkEnd w:id="259"/>
      <w:bookmarkEnd w:id="260"/>
      <w:bookmarkEnd w:id="261"/>
      <w:bookmarkEnd w:id="262"/>
    </w:p>
    <w:p w14:paraId="0A679CF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6.1.1 </w:t>
      </w:r>
      <w:r>
        <w:rPr>
          <w:rFonts w:hint="eastAsia" w:ascii="宋体" w:hAnsi="宋体" w:cs="宋体"/>
          <w:color w:val="auto"/>
          <w:sz w:val="24"/>
          <w:highlight w:val="none"/>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555C287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6.1.2 </w:t>
      </w:r>
      <w:r>
        <w:rPr>
          <w:rFonts w:hint="eastAsia" w:ascii="宋体" w:hAnsi="宋体" w:cs="宋体"/>
          <w:color w:val="auto"/>
          <w:sz w:val="24"/>
          <w:highlight w:val="none"/>
        </w:rPr>
        <w:t>评标委员会成员有下列情形之一的，应主动提出回避：</w:t>
      </w:r>
    </w:p>
    <w:p w14:paraId="213338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1）为负责招标项目监督管理的交通运输主管部门的工作人员；</w:t>
      </w:r>
    </w:p>
    <w:p w14:paraId="56E5A5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2）与投标人法定代表人或其委托代理人有近亲属关系；</w:t>
      </w:r>
    </w:p>
    <w:p w14:paraId="4B786C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3）为投标人的工作人员或退休人员；</w:t>
      </w:r>
    </w:p>
    <w:p w14:paraId="7548FE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4）与投标人有其他利害关系，可能影响评标活动公正性；</w:t>
      </w:r>
    </w:p>
    <w:p w14:paraId="5F18E7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5）在与招标投标有关活动中有过违法违规行为</w:t>
      </w:r>
      <w:r>
        <w:rPr>
          <w:rFonts w:hint="eastAsia" w:ascii="宋体" w:hAnsi="宋体" w:cs="宋体"/>
          <w:color w:val="auto"/>
          <w:sz w:val="24"/>
          <w:highlight w:val="none"/>
        </w:rPr>
        <w:t>、曾受过行政处罚或刑事处罚。</w:t>
      </w:r>
    </w:p>
    <w:p w14:paraId="1CB77972">
      <w:pPr>
        <w:spacing w:line="360" w:lineRule="auto"/>
        <w:ind w:firstLine="480" w:firstLineChars="200"/>
        <w:rPr>
          <w:rFonts w:ascii="宋体" w:hAnsi="宋体" w:cs="宋体"/>
          <w:color w:val="auto"/>
          <w:sz w:val="24"/>
          <w:highlight w:val="none"/>
        </w:rPr>
      </w:pPr>
      <w:r>
        <w:rPr>
          <w:rFonts w:hint="eastAsia" w:ascii="宋体" w:hAnsi="宋体" w:cs="宋体"/>
          <w:sz w:val="24"/>
        </w:rPr>
        <w:t>招标人及其子公司、</w:t>
      </w:r>
      <w:r>
        <w:rPr>
          <w:rFonts w:hint="eastAsia" w:ascii="宋体" w:hAnsi="宋体" w:cs="宋体"/>
          <w:sz w:val="24"/>
          <w:lang w:val="en-US" w:eastAsia="zh-CN"/>
        </w:rPr>
        <w:t>招标人下属单位、</w:t>
      </w:r>
      <w:r>
        <w:rPr>
          <w:rFonts w:hint="eastAsia" w:ascii="宋体" w:hAnsi="宋体" w:cs="宋体"/>
          <w:sz w:val="24"/>
        </w:rPr>
        <w:t>招标人的上级主管部门或者控股公司、招标代理机构的工作人员或者退休人员不得以专家身份参与本单位或者招标代理项目的评标。</w:t>
      </w:r>
    </w:p>
    <w:p w14:paraId="21640B7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6.1.3 </w:t>
      </w:r>
      <w:r>
        <w:rPr>
          <w:rFonts w:hint="eastAsia" w:ascii="宋体" w:hAnsi="宋体" w:cs="宋体"/>
          <w:color w:val="auto"/>
          <w:sz w:val="24"/>
          <w:highlight w:val="none"/>
        </w:rPr>
        <w:t>评标过程中，评标委员会成员有回避事由、擅离职守或者因健康等原因不能继续评标的，招标人有权更换。被更换的评标委员会成员作出的评审结论无效，由更换后的评标委员会成员重新进行评审。</w:t>
      </w:r>
    </w:p>
    <w:p w14:paraId="1EA0747D">
      <w:pPr>
        <w:pStyle w:val="6"/>
        <w:rPr>
          <w:rFonts w:hint="eastAsia" w:ascii="Calibri" w:hAnsi="Calibri"/>
          <w:b w:val="0"/>
          <w:bCs w:val="0"/>
          <w:sz w:val="28"/>
          <w:szCs w:val="32"/>
        </w:rPr>
      </w:pPr>
      <w:bookmarkStart w:id="263" w:name="_Toc74760853"/>
      <w:bookmarkStart w:id="264" w:name="_Toc519601455"/>
      <w:bookmarkStart w:id="265" w:name="_Toc523921628"/>
      <w:bookmarkStart w:id="266" w:name="_Toc509828620"/>
      <w:bookmarkStart w:id="267" w:name="_Toc513555554"/>
      <w:bookmarkStart w:id="268" w:name="_Toc234382627"/>
      <w:bookmarkStart w:id="269" w:name="_Toc513555798"/>
      <w:bookmarkStart w:id="270" w:name="_Toc513556631"/>
      <w:r>
        <w:rPr>
          <w:rFonts w:hint="eastAsia" w:ascii="Calibri" w:hAnsi="Calibri"/>
          <w:b w:val="0"/>
          <w:bCs w:val="0"/>
          <w:sz w:val="28"/>
          <w:szCs w:val="32"/>
        </w:rPr>
        <w:t>6.2 评标原则</w:t>
      </w:r>
      <w:bookmarkEnd w:id="263"/>
      <w:bookmarkEnd w:id="264"/>
      <w:bookmarkEnd w:id="265"/>
      <w:bookmarkEnd w:id="266"/>
      <w:bookmarkEnd w:id="267"/>
      <w:bookmarkEnd w:id="268"/>
      <w:bookmarkEnd w:id="269"/>
      <w:bookmarkEnd w:id="270"/>
    </w:p>
    <w:p w14:paraId="0C6F52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评标活动遵循公平、公正、科学和择优的原则。</w:t>
      </w:r>
    </w:p>
    <w:p w14:paraId="4F02E0D2">
      <w:pPr>
        <w:pStyle w:val="6"/>
        <w:rPr>
          <w:rFonts w:hint="eastAsia" w:ascii="Calibri" w:hAnsi="Calibri"/>
          <w:b w:val="0"/>
          <w:bCs w:val="0"/>
          <w:sz w:val="28"/>
          <w:szCs w:val="32"/>
        </w:rPr>
      </w:pPr>
      <w:bookmarkStart w:id="271" w:name="_Toc523921629"/>
      <w:bookmarkStart w:id="272" w:name="_Toc513555799"/>
      <w:bookmarkStart w:id="273" w:name="_Toc519601456"/>
      <w:bookmarkStart w:id="274" w:name="_Toc234382628"/>
      <w:bookmarkStart w:id="275" w:name="_Toc74760854"/>
      <w:bookmarkStart w:id="276" w:name="_Toc513555555"/>
      <w:bookmarkStart w:id="277" w:name="_Toc513556632"/>
      <w:bookmarkStart w:id="278" w:name="_Toc509828621"/>
      <w:r>
        <w:rPr>
          <w:rFonts w:hint="eastAsia" w:ascii="Calibri" w:hAnsi="Calibri"/>
          <w:b w:val="0"/>
          <w:bCs w:val="0"/>
          <w:sz w:val="28"/>
          <w:szCs w:val="32"/>
        </w:rPr>
        <w:t>6.3 评标</w:t>
      </w:r>
      <w:bookmarkEnd w:id="271"/>
      <w:bookmarkEnd w:id="272"/>
      <w:bookmarkEnd w:id="273"/>
      <w:bookmarkEnd w:id="274"/>
      <w:bookmarkEnd w:id="275"/>
      <w:bookmarkEnd w:id="276"/>
      <w:bookmarkEnd w:id="277"/>
      <w:bookmarkEnd w:id="278"/>
    </w:p>
    <w:p w14:paraId="132805B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6.3.1 </w:t>
      </w:r>
      <w:r>
        <w:rPr>
          <w:rFonts w:hint="eastAsia" w:ascii="宋体" w:hAnsi="宋体" w:cs="宋体"/>
          <w:color w:val="auto"/>
          <w:sz w:val="24"/>
          <w:highlight w:val="none"/>
        </w:rPr>
        <w:t>评标委员会按照第三章“评标办法”规定的方法、评审因素、标准和程序对投标文件进行评审。第三章“评标办法”中没有规定的方法、评审因素和标准，不作为评标依据。</w:t>
      </w:r>
    </w:p>
    <w:p w14:paraId="20F4259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6.3.2 </w:t>
      </w:r>
      <w:r>
        <w:rPr>
          <w:rFonts w:hint="eastAsia" w:ascii="宋体" w:hAnsi="宋体" w:cs="宋体"/>
          <w:color w:val="auto"/>
          <w:sz w:val="24"/>
          <w:highlight w:val="none"/>
        </w:rPr>
        <w:t>评标委员会按照本章第</w:t>
      </w:r>
      <w:r>
        <w:rPr>
          <w:rFonts w:ascii="宋体" w:hAnsi="宋体" w:cs="宋体"/>
          <w:color w:val="auto"/>
          <w:sz w:val="24"/>
          <w:highlight w:val="none"/>
        </w:rPr>
        <w:t>6.3.1项的规定在电子评标系统上开展评审工作。如果评标过程中出现异常情况，导致无法继续评审工作的，可暂停评标，对原有资料及信息作出妥善保密处理，待电子评标系统恢复正常之后，应重新组织评审。</w:t>
      </w:r>
    </w:p>
    <w:p w14:paraId="7501C1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评标完成后，评标委员会应当向招标人提交评标报告和中标候选人名单。评标委员会推荐中标候选人的数量、提交的评标报告形式要求见投标人须知前附表。</w:t>
      </w:r>
    </w:p>
    <w:p w14:paraId="2B5A7DE1">
      <w:pPr>
        <w:pStyle w:val="5"/>
      </w:pPr>
      <w:bookmarkStart w:id="279" w:name="_Toc523921630"/>
      <w:bookmarkStart w:id="280" w:name="_Toc513555556"/>
      <w:bookmarkStart w:id="281" w:name="_Toc74760855"/>
      <w:bookmarkStart w:id="282" w:name="_Toc513555800"/>
      <w:bookmarkStart w:id="283" w:name="_Toc513556633"/>
      <w:bookmarkStart w:id="284" w:name="_Toc519601457"/>
      <w:bookmarkStart w:id="285" w:name="_Toc28187722"/>
      <w:bookmarkStart w:id="286" w:name="_Toc509828622"/>
      <w:r>
        <w:t xml:space="preserve">7. </w:t>
      </w:r>
      <w:r>
        <w:rPr>
          <w:rFonts w:hint="eastAsia"/>
        </w:rPr>
        <w:t>合同授予</w:t>
      </w:r>
      <w:bookmarkEnd w:id="279"/>
      <w:bookmarkEnd w:id="280"/>
      <w:bookmarkEnd w:id="281"/>
      <w:bookmarkEnd w:id="282"/>
      <w:bookmarkEnd w:id="283"/>
      <w:bookmarkEnd w:id="284"/>
      <w:bookmarkEnd w:id="285"/>
    </w:p>
    <w:p w14:paraId="3E14C2A6">
      <w:pPr>
        <w:pStyle w:val="6"/>
        <w:rPr>
          <w:rFonts w:hint="eastAsia" w:ascii="Calibri" w:hAnsi="Calibri"/>
          <w:b w:val="0"/>
          <w:bCs w:val="0"/>
          <w:sz w:val="28"/>
          <w:szCs w:val="32"/>
        </w:rPr>
      </w:pPr>
      <w:bookmarkStart w:id="287" w:name="_Toc74760856"/>
      <w:bookmarkStart w:id="288" w:name="_Toc513555557"/>
      <w:bookmarkStart w:id="289" w:name="_Toc519601458"/>
      <w:bookmarkStart w:id="290" w:name="_Toc523921631"/>
      <w:bookmarkStart w:id="291" w:name="_Toc513555801"/>
      <w:bookmarkStart w:id="292" w:name="_Toc513556634"/>
      <w:r>
        <w:rPr>
          <w:rFonts w:hint="eastAsia" w:ascii="Calibri" w:hAnsi="Calibri"/>
          <w:b w:val="0"/>
          <w:bCs w:val="0"/>
          <w:sz w:val="28"/>
          <w:szCs w:val="32"/>
        </w:rPr>
        <w:t>7.1</w:t>
      </w:r>
      <w:r>
        <w:rPr>
          <w:rFonts w:hint="eastAsia"/>
          <w:b w:val="0"/>
          <w:bCs w:val="0"/>
          <w:sz w:val="28"/>
          <w:szCs w:val="32"/>
          <w:lang w:val="en-US" w:eastAsia="zh-CN"/>
        </w:rPr>
        <w:t xml:space="preserve"> </w:t>
      </w:r>
      <w:r>
        <w:rPr>
          <w:rFonts w:hint="eastAsia" w:ascii="Calibri" w:hAnsi="Calibri"/>
          <w:b w:val="0"/>
          <w:bCs w:val="0"/>
          <w:sz w:val="28"/>
          <w:szCs w:val="32"/>
        </w:rPr>
        <w:t>中标候选人公示</w:t>
      </w:r>
      <w:bookmarkEnd w:id="286"/>
      <w:bookmarkEnd w:id="287"/>
      <w:bookmarkEnd w:id="288"/>
      <w:bookmarkEnd w:id="289"/>
      <w:bookmarkEnd w:id="290"/>
      <w:bookmarkEnd w:id="291"/>
      <w:bookmarkEnd w:id="292"/>
    </w:p>
    <w:p w14:paraId="3B667462">
      <w:pPr>
        <w:spacing w:line="360" w:lineRule="auto"/>
        <w:ind w:firstLine="480" w:firstLineChars="200"/>
        <w:rPr>
          <w:rFonts w:ascii="宋体" w:hAnsi="宋体" w:cs="宋体"/>
          <w:color w:val="auto"/>
          <w:sz w:val="24"/>
          <w:highlight w:val="none"/>
        </w:rPr>
      </w:pPr>
      <w:bookmarkStart w:id="293" w:name="_Toc234382629"/>
      <w:r>
        <w:rPr>
          <w:rFonts w:hint="eastAsia" w:ascii="宋体" w:hAnsi="宋体" w:cs="宋体"/>
          <w:color w:val="auto"/>
          <w:sz w:val="24"/>
          <w:highlight w:val="none"/>
        </w:rPr>
        <w:t>招标人应在收到评标报告之日起</w:t>
      </w:r>
      <w:r>
        <w:rPr>
          <w:rFonts w:ascii="宋体" w:hAnsi="宋体" w:cs="宋体"/>
          <w:color w:val="auto"/>
          <w:sz w:val="24"/>
          <w:highlight w:val="none"/>
        </w:rPr>
        <w:t>3日内，按照投标人须知前附表规定的公示媒介和期限公示中标候选人，公示期不得少于3个工作日，公示内容包括：</w:t>
      </w:r>
    </w:p>
    <w:p w14:paraId="52270E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1）中标候选人排序、名称、投标报价，对监理</w:t>
      </w:r>
      <w:r>
        <w:rPr>
          <w:rFonts w:hint="eastAsia" w:ascii="宋体" w:hAnsi="宋体" w:cs="宋体"/>
          <w:color w:val="auto"/>
          <w:sz w:val="24"/>
          <w:highlight w:val="none"/>
        </w:rPr>
        <w:t>试验室质量要求、安全目标和监理试验室服务期限的响应情况；</w:t>
      </w:r>
    </w:p>
    <w:p w14:paraId="020FCA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2）中标候选人在投标文件中承诺的试验室主任</w:t>
      </w:r>
      <w:r>
        <w:rPr>
          <w:rFonts w:hint="eastAsia" w:ascii="宋体" w:hAnsi="宋体" w:cs="宋体"/>
          <w:color w:val="auto"/>
          <w:sz w:val="24"/>
          <w:highlight w:val="none"/>
        </w:rPr>
        <w:t>、技术负责人（如有）姓名、个人业绩、相关证书名称和编号；</w:t>
      </w:r>
    </w:p>
    <w:p w14:paraId="62D052B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3）中标候选人在投标文件中填报的项目业绩；</w:t>
      </w:r>
    </w:p>
    <w:p w14:paraId="080C38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4）被否决投标的投标人名称、否决依据和原因；</w:t>
      </w:r>
    </w:p>
    <w:p w14:paraId="2EBA77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5）提出异议的渠道和方式；</w:t>
      </w:r>
    </w:p>
    <w:p w14:paraId="2CAB7AB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 xml:space="preserve">6）投标人须知前附表规定公示的其他内容。 </w:t>
      </w:r>
    </w:p>
    <w:p w14:paraId="207021DA">
      <w:pPr>
        <w:pStyle w:val="6"/>
        <w:rPr>
          <w:rFonts w:hint="eastAsia" w:ascii="Calibri" w:hAnsi="Calibri"/>
          <w:b w:val="0"/>
          <w:bCs w:val="0"/>
          <w:sz w:val="28"/>
          <w:szCs w:val="32"/>
        </w:rPr>
      </w:pPr>
      <w:bookmarkStart w:id="294" w:name="_Toc513555558"/>
      <w:bookmarkStart w:id="295" w:name="_Toc513555802"/>
      <w:bookmarkStart w:id="296" w:name="_Toc74760857"/>
      <w:bookmarkStart w:id="297" w:name="_Toc513556635"/>
      <w:bookmarkStart w:id="298" w:name="_Toc523921632"/>
      <w:bookmarkStart w:id="299" w:name="_Toc519601459"/>
      <w:r>
        <w:rPr>
          <w:rFonts w:hint="eastAsia" w:ascii="Calibri" w:hAnsi="Calibri"/>
          <w:b w:val="0"/>
          <w:bCs w:val="0"/>
          <w:sz w:val="28"/>
          <w:szCs w:val="32"/>
        </w:rPr>
        <w:t>7.2</w:t>
      </w:r>
      <w:r>
        <w:rPr>
          <w:rFonts w:hint="eastAsia"/>
          <w:b w:val="0"/>
          <w:bCs w:val="0"/>
          <w:sz w:val="28"/>
          <w:szCs w:val="32"/>
          <w:lang w:val="en-US" w:eastAsia="zh-CN"/>
        </w:rPr>
        <w:t xml:space="preserve"> </w:t>
      </w:r>
      <w:r>
        <w:rPr>
          <w:rFonts w:hint="eastAsia" w:ascii="Calibri" w:hAnsi="Calibri"/>
          <w:b w:val="0"/>
          <w:bCs w:val="0"/>
          <w:sz w:val="28"/>
          <w:szCs w:val="32"/>
        </w:rPr>
        <w:t>评标结果异议</w:t>
      </w:r>
      <w:bookmarkEnd w:id="294"/>
      <w:bookmarkEnd w:id="295"/>
      <w:bookmarkEnd w:id="296"/>
      <w:bookmarkEnd w:id="297"/>
      <w:bookmarkEnd w:id="298"/>
      <w:bookmarkEnd w:id="299"/>
      <w:r>
        <w:rPr>
          <w:rFonts w:hint="eastAsia" w:ascii="Calibri" w:hAnsi="Calibri"/>
          <w:b w:val="0"/>
          <w:bCs w:val="0"/>
          <w:sz w:val="28"/>
          <w:szCs w:val="32"/>
        </w:rPr>
        <w:t xml:space="preserve">   </w:t>
      </w:r>
    </w:p>
    <w:p w14:paraId="180B87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投标人或者其他利害关系人对依法必须招标的项目的评标结果有异议的，应在中标候选人公示期间提出。招标人将在收到异议之日起</w:t>
      </w:r>
      <w:r>
        <w:rPr>
          <w:rFonts w:ascii="宋体" w:hAnsi="宋体" w:cs="宋体"/>
          <w:color w:val="auto"/>
          <w:sz w:val="24"/>
          <w:highlight w:val="none"/>
        </w:rPr>
        <w:t>3</w:t>
      </w:r>
      <w:r>
        <w:rPr>
          <w:rFonts w:hint="eastAsia" w:ascii="宋体" w:hAnsi="宋体" w:cs="宋体"/>
          <w:color w:val="auto"/>
          <w:sz w:val="24"/>
          <w:highlight w:val="none"/>
        </w:rPr>
        <w:t>日内作出答复；作出答复前，应暂停招标投标活动。</w:t>
      </w:r>
    </w:p>
    <w:p w14:paraId="4AD2862F">
      <w:pPr>
        <w:pStyle w:val="6"/>
        <w:rPr>
          <w:rFonts w:hint="eastAsia" w:ascii="Calibri" w:hAnsi="Calibri"/>
          <w:b w:val="0"/>
          <w:bCs w:val="0"/>
          <w:sz w:val="28"/>
          <w:szCs w:val="32"/>
        </w:rPr>
      </w:pPr>
      <w:bookmarkStart w:id="300" w:name="_Toc523921633"/>
      <w:bookmarkStart w:id="301" w:name="_Toc74760858"/>
      <w:r>
        <w:rPr>
          <w:rFonts w:hint="eastAsia" w:ascii="Calibri" w:hAnsi="Calibri"/>
          <w:b w:val="0"/>
          <w:bCs w:val="0"/>
          <w:sz w:val="28"/>
          <w:szCs w:val="32"/>
        </w:rPr>
        <w:t>7.3</w:t>
      </w:r>
      <w:r>
        <w:rPr>
          <w:rFonts w:hint="eastAsia"/>
          <w:b w:val="0"/>
          <w:bCs w:val="0"/>
          <w:sz w:val="28"/>
          <w:szCs w:val="32"/>
          <w:lang w:val="en-US" w:eastAsia="zh-CN"/>
        </w:rPr>
        <w:t xml:space="preserve"> </w:t>
      </w:r>
      <w:r>
        <w:rPr>
          <w:rFonts w:hint="eastAsia" w:ascii="Calibri" w:hAnsi="Calibri"/>
          <w:b w:val="0"/>
          <w:bCs w:val="0"/>
          <w:sz w:val="28"/>
          <w:szCs w:val="32"/>
        </w:rPr>
        <w:t>中标候选人履约能力审查</w:t>
      </w:r>
      <w:bookmarkEnd w:id="300"/>
      <w:bookmarkEnd w:id="301"/>
    </w:p>
    <w:p w14:paraId="5C4931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中标候选人的经营、财务状况发生较大变化或者存在违法行为，招标人认为可能影响其履约能力的，将在发出中标通知书前提请原评标委员会按照招标文件规定的标准和方法进行审查确认。</w:t>
      </w:r>
    </w:p>
    <w:bookmarkEnd w:id="293"/>
    <w:p w14:paraId="475223E8">
      <w:pPr>
        <w:pStyle w:val="6"/>
        <w:rPr>
          <w:rFonts w:hint="eastAsia" w:ascii="Calibri" w:hAnsi="Calibri"/>
          <w:b w:val="0"/>
          <w:bCs w:val="0"/>
          <w:sz w:val="28"/>
          <w:szCs w:val="32"/>
        </w:rPr>
      </w:pPr>
      <w:bookmarkStart w:id="302" w:name="_Toc513555559"/>
      <w:bookmarkStart w:id="303" w:name="_Toc74760859"/>
      <w:bookmarkStart w:id="304" w:name="_Toc519601460"/>
      <w:bookmarkStart w:id="305" w:name="_Toc513555803"/>
      <w:bookmarkStart w:id="306" w:name="_Toc513556636"/>
      <w:bookmarkStart w:id="307" w:name="_Toc234382630"/>
      <w:bookmarkStart w:id="308" w:name="_Toc523921634"/>
      <w:bookmarkStart w:id="309" w:name="_Toc509828623"/>
      <w:r>
        <w:rPr>
          <w:rFonts w:hint="eastAsia" w:ascii="Calibri" w:hAnsi="Calibri"/>
          <w:b w:val="0"/>
          <w:bCs w:val="0"/>
          <w:sz w:val="28"/>
          <w:szCs w:val="32"/>
        </w:rPr>
        <w:t>7.4</w:t>
      </w:r>
      <w:r>
        <w:rPr>
          <w:rFonts w:hint="eastAsia"/>
          <w:b w:val="0"/>
          <w:bCs w:val="0"/>
          <w:sz w:val="28"/>
          <w:szCs w:val="32"/>
          <w:lang w:val="en-US" w:eastAsia="zh-CN"/>
        </w:rPr>
        <w:t xml:space="preserve"> </w:t>
      </w:r>
      <w:r>
        <w:rPr>
          <w:rFonts w:hint="eastAsia" w:ascii="Calibri" w:hAnsi="Calibri"/>
          <w:b w:val="0"/>
          <w:bCs w:val="0"/>
          <w:sz w:val="28"/>
          <w:szCs w:val="32"/>
        </w:rPr>
        <w:t>定标</w:t>
      </w:r>
      <w:bookmarkEnd w:id="302"/>
      <w:bookmarkEnd w:id="303"/>
      <w:bookmarkEnd w:id="304"/>
      <w:bookmarkEnd w:id="305"/>
      <w:bookmarkEnd w:id="306"/>
      <w:bookmarkEnd w:id="307"/>
      <w:bookmarkEnd w:id="308"/>
      <w:bookmarkEnd w:id="309"/>
    </w:p>
    <w:p w14:paraId="54D16A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按照投标人须知前附表的规定，招标人或招标人授权的评标委员会依法确定中标人。</w:t>
      </w:r>
    </w:p>
    <w:p w14:paraId="68A9114B">
      <w:pPr>
        <w:pStyle w:val="6"/>
        <w:rPr>
          <w:rFonts w:hint="eastAsia" w:ascii="Calibri" w:hAnsi="Calibri"/>
          <w:b w:val="0"/>
          <w:bCs w:val="0"/>
          <w:sz w:val="28"/>
          <w:szCs w:val="32"/>
        </w:rPr>
      </w:pPr>
      <w:bookmarkStart w:id="310" w:name="_Toc513555560"/>
      <w:bookmarkStart w:id="311" w:name="_Toc513555804"/>
      <w:bookmarkStart w:id="312" w:name="_Toc234382631"/>
      <w:bookmarkStart w:id="313" w:name="_Toc523921635"/>
      <w:bookmarkStart w:id="314" w:name="_Toc519601461"/>
      <w:bookmarkStart w:id="315" w:name="_Toc74760860"/>
      <w:bookmarkStart w:id="316" w:name="_Toc509828624"/>
      <w:bookmarkStart w:id="317" w:name="_Toc513556637"/>
      <w:r>
        <w:rPr>
          <w:rFonts w:hint="eastAsia" w:ascii="Calibri" w:hAnsi="Calibri"/>
          <w:b w:val="0"/>
          <w:bCs w:val="0"/>
          <w:sz w:val="28"/>
          <w:szCs w:val="32"/>
        </w:rPr>
        <w:t>7.5 中标通知</w:t>
      </w:r>
      <w:bookmarkEnd w:id="310"/>
      <w:bookmarkEnd w:id="311"/>
      <w:bookmarkEnd w:id="312"/>
      <w:bookmarkEnd w:id="313"/>
      <w:bookmarkEnd w:id="314"/>
      <w:bookmarkEnd w:id="315"/>
      <w:bookmarkEnd w:id="316"/>
      <w:bookmarkEnd w:id="317"/>
    </w:p>
    <w:p w14:paraId="68B17D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在本章第</w:t>
      </w:r>
      <w:r>
        <w:rPr>
          <w:rFonts w:ascii="宋体" w:hAnsi="宋体" w:cs="宋体"/>
          <w:color w:val="auto"/>
          <w:sz w:val="24"/>
          <w:highlight w:val="none"/>
        </w:rPr>
        <w:t>3.3</w:t>
      </w:r>
      <w:r>
        <w:rPr>
          <w:rFonts w:hint="eastAsia" w:ascii="宋体" w:hAnsi="宋体" w:cs="宋体"/>
          <w:color w:val="auto"/>
          <w:sz w:val="24"/>
          <w:highlight w:val="none"/>
        </w:rPr>
        <w:t>款规定的投标有效期内，招标人以投标人须知前附表规定的形式向中标人发出中标通知书，同时将中标结果通知未中标的投标人。</w:t>
      </w:r>
    </w:p>
    <w:p w14:paraId="26469F33">
      <w:pPr>
        <w:pStyle w:val="6"/>
        <w:rPr>
          <w:rFonts w:hint="eastAsia" w:ascii="Calibri" w:hAnsi="Calibri"/>
          <w:b w:val="0"/>
          <w:bCs w:val="0"/>
          <w:sz w:val="28"/>
          <w:szCs w:val="32"/>
        </w:rPr>
      </w:pPr>
      <w:bookmarkStart w:id="318" w:name="_Toc513555561"/>
      <w:bookmarkStart w:id="319" w:name="_Toc523921636"/>
      <w:bookmarkStart w:id="320" w:name="_Toc513555805"/>
      <w:bookmarkStart w:id="321" w:name="_Toc74760861"/>
      <w:bookmarkStart w:id="322" w:name="_Toc519601462"/>
      <w:bookmarkStart w:id="323" w:name="_Toc513556638"/>
      <w:bookmarkStart w:id="324" w:name="_Toc509828625"/>
      <w:bookmarkStart w:id="325" w:name="_Toc234382632"/>
      <w:r>
        <w:rPr>
          <w:rFonts w:hint="eastAsia" w:ascii="Calibri" w:hAnsi="Calibri"/>
          <w:b w:val="0"/>
          <w:bCs w:val="0"/>
          <w:sz w:val="28"/>
          <w:szCs w:val="32"/>
        </w:rPr>
        <w:t>7.6</w:t>
      </w:r>
      <w:r>
        <w:rPr>
          <w:rFonts w:hint="eastAsia"/>
          <w:b w:val="0"/>
          <w:bCs w:val="0"/>
          <w:sz w:val="28"/>
          <w:szCs w:val="32"/>
          <w:lang w:val="en-US" w:eastAsia="zh-CN"/>
        </w:rPr>
        <w:t xml:space="preserve"> </w:t>
      </w:r>
      <w:r>
        <w:rPr>
          <w:rFonts w:hint="eastAsia" w:ascii="Calibri" w:hAnsi="Calibri"/>
          <w:b w:val="0"/>
          <w:bCs w:val="0"/>
          <w:sz w:val="28"/>
          <w:szCs w:val="32"/>
        </w:rPr>
        <w:t>中标结果公告</w:t>
      </w:r>
      <w:bookmarkEnd w:id="318"/>
      <w:bookmarkEnd w:id="319"/>
      <w:bookmarkEnd w:id="320"/>
      <w:bookmarkEnd w:id="321"/>
      <w:bookmarkEnd w:id="322"/>
      <w:bookmarkEnd w:id="323"/>
    </w:p>
    <w:p w14:paraId="40339A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招标人在确定中标人之日起</w:t>
      </w:r>
      <w:r>
        <w:rPr>
          <w:rFonts w:ascii="宋体" w:hAnsi="宋体" w:cs="宋体"/>
          <w:color w:val="auto"/>
          <w:sz w:val="24"/>
          <w:highlight w:val="none"/>
        </w:rPr>
        <w:t>3日内，按照投标人须知前附表规定的公告媒介和期限公告中标结果，公告期不得少于3日。公告内容包括中标人名称、中标价。</w:t>
      </w:r>
    </w:p>
    <w:p w14:paraId="19D3588C">
      <w:pPr>
        <w:pStyle w:val="6"/>
        <w:rPr>
          <w:rFonts w:hint="eastAsia" w:ascii="Calibri" w:hAnsi="Calibri"/>
          <w:b w:val="0"/>
          <w:bCs w:val="0"/>
          <w:sz w:val="28"/>
          <w:szCs w:val="32"/>
        </w:rPr>
      </w:pPr>
      <w:bookmarkStart w:id="326" w:name="_Toc513555562"/>
      <w:bookmarkStart w:id="327" w:name="_Toc513556639"/>
      <w:bookmarkStart w:id="328" w:name="_Toc519601463"/>
      <w:bookmarkStart w:id="329" w:name="_Toc513555806"/>
      <w:bookmarkStart w:id="330" w:name="_Toc523921637"/>
      <w:bookmarkStart w:id="331" w:name="_Toc74760862"/>
      <w:r>
        <w:rPr>
          <w:rFonts w:hint="eastAsia" w:ascii="Calibri" w:hAnsi="Calibri"/>
          <w:b w:val="0"/>
          <w:bCs w:val="0"/>
          <w:sz w:val="28"/>
          <w:szCs w:val="32"/>
        </w:rPr>
        <w:t xml:space="preserve">7.7 </w:t>
      </w:r>
      <w:bookmarkEnd w:id="324"/>
      <w:bookmarkEnd w:id="325"/>
      <w:r>
        <w:rPr>
          <w:rFonts w:hint="eastAsia" w:ascii="Calibri" w:hAnsi="Calibri"/>
          <w:b w:val="0"/>
          <w:bCs w:val="0"/>
          <w:sz w:val="28"/>
          <w:szCs w:val="32"/>
        </w:rPr>
        <w:t>履约保证金</w:t>
      </w:r>
      <w:bookmarkEnd w:id="326"/>
      <w:bookmarkEnd w:id="327"/>
      <w:bookmarkEnd w:id="328"/>
      <w:bookmarkEnd w:id="329"/>
      <w:bookmarkEnd w:id="330"/>
      <w:bookmarkEnd w:id="331"/>
    </w:p>
    <w:p w14:paraId="499CF70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7.7.1 </w:t>
      </w:r>
      <w:r>
        <w:rPr>
          <w:rFonts w:hint="eastAsia" w:ascii="宋体" w:hAnsi="宋体" w:cs="宋体"/>
          <w:color w:val="auto"/>
          <w:sz w:val="24"/>
          <w:highlight w:val="none"/>
        </w:rPr>
        <w:t>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w:t>
      </w:r>
      <w:r>
        <w:rPr>
          <w:rFonts w:ascii="宋体" w:hAnsi="宋体" w:cs="宋体"/>
          <w:color w:val="auto"/>
          <w:sz w:val="24"/>
          <w:highlight w:val="none"/>
        </w:rPr>
        <w:t>10%。联合体中标的，其履约保证金以联合体各方或联合体中牵头人的名义提交。</w:t>
      </w:r>
    </w:p>
    <w:p w14:paraId="502693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采用银行保函时，应由符合投标人须知前附表规定级别的银行开具，所需的费用由中标人承担，中标人应保证银行保函有效。</w:t>
      </w:r>
    </w:p>
    <w:p w14:paraId="732200D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7.7.2 </w:t>
      </w:r>
      <w:r>
        <w:rPr>
          <w:rFonts w:hint="eastAsia" w:ascii="宋体" w:hAnsi="宋体" w:cs="宋体"/>
          <w:color w:val="auto"/>
          <w:sz w:val="24"/>
          <w:highlight w:val="none"/>
        </w:rPr>
        <w:t>中标人不能按本章第</w:t>
      </w:r>
      <w:r>
        <w:rPr>
          <w:rFonts w:ascii="宋体" w:hAnsi="宋体" w:cs="宋体"/>
          <w:color w:val="auto"/>
          <w:sz w:val="24"/>
          <w:highlight w:val="none"/>
        </w:rPr>
        <w:t>7.</w:t>
      </w:r>
      <w:r>
        <w:rPr>
          <w:rFonts w:hint="eastAsia" w:ascii="宋体" w:hAnsi="宋体" w:cs="宋体"/>
          <w:color w:val="auto"/>
          <w:sz w:val="24"/>
          <w:highlight w:val="none"/>
          <w:lang w:val="en-US" w:eastAsia="zh-CN"/>
        </w:rPr>
        <w:t>7</w:t>
      </w:r>
      <w:r>
        <w:rPr>
          <w:rFonts w:ascii="宋体" w:hAnsi="宋体" w:cs="宋体"/>
          <w:color w:val="auto"/>
          <w:sz w:val="24"/>
          <w:highlight w:val="none"/>
        </w:rPr>
        <w:t>.1项要求提交履约保证金的，视为放弃中标，其</w:t>
      </w:r>
      <w:r>
        <w:rPr>
          <w:rFonts w:hint="eastAsia" w:ascii="宋体" w:hAnsi="宋体" w:cs="宋体"/>
          <w:color w:val="auto"/>
          <w:sz w:val="24"/>
          <w:highlight w:val="none"/>
        </w:rPr>
        <w:t>投标保证金不予退还，给招标人造成的损失超过投标保证金数额的，中标人还应当对超过部分予以赔偿。</w:t>
      </w:r>
    </w:p>
    <w:p w14:paraId="143578E2">
      <w:pPr>
        <w:pStyle w:val="6"/>
        <w:rPr>
          <w:rFonts w:hint="eastAsia" w:ascii="Calibri" w:hAnsi="Calibri"/>
          <w:b w:val="0"/>
          <w:bCs w:val="0"/>
          <w:sz w:val="28"/>
          <w:szCs w:val="32"/>
        </w:rPr>
      </w:pPr>
      <w:bookmarkStart w:id="332" w:name="_Toc523921638"/>
      <w:bookmarkStart w:id="333" w:name="_Toc519601464"/>
      <w:bookmarkStart w:id="334" w:name="_Toc74760863"/>
      <w:bookmarkStart w:id="335" w:name="_Toc513555563"/>
      <w:bookmarkStart w:id="336" w:name="_Toc513555807"/>
      <w:bookmarkStart w:id="337" w:name="_Toc513556640"/>
      <w:bookmarkStart w:id="338" w:name="_Toc234382633"/>
      <w:bookmarkStart w:id="339" w:name="_Toc509828626"/>
      <w:r>
        <w:rPr>
          <w:rFonts w:hint="eastAsia" w:ascii="Calibri" w:hAnsi="Calibri"/>
          <w:b w:val="0"/>
          <w:bCs w:val="0"/>
          <w:sz w:val="28"/>
          <w:szCs w:val="32"/>
        </w:rPr>
        <w:t>7.8 签订合同</w:t>
      </w:r>
      <w:bookmarkEnd w:id="332"/>
      <w:bookmarkEnd w:id="333"/>
      <w:bookmarkEnd w:id="334"/>
      <w:bookmarkEnd w:id="335"/>
      <w:bookmarkEnd w:id="336"/>
      <w:bookmarkEnd w:id="337"/>
      <w:bookmarkEnd w:id="338"/>
      <w:bookmarkEnd w:id="339"/>
    </w:p>
    <w:p w14:paraId="234574F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7.8.1 </w:t>
      </w:r>
      <w:r>
        <w:rPr>
          <w:rFonts w:hint="eastAsia" w:ascii="宋体" w:hAnsi="宋体" w:cs="宋体"/>
          <w:color w:val="auto"/>
          <w:sz w:val="24"/>
          <w:highlight w:val="none"/>
        </w:rPr>
        <w:t>招标人和中标人应当在中标通知书发出之日起</w:t>
      </w:r>
      <w:r>
        <w:rPr>
          <w:rFonts w:ascii="宋体" w:hAnsi="宋体" w:cs="宋体"/>
          <w:color w:val="auto"/>
          <w:sz w:val="24"/>
          <w:highlight w:val="none"/>
        </w:rPr>
        <w:t>30日内，根据招标文件和中标人的投标文件订立</w:t>
      </w:r>
      <w:r>
        <w:rPr>
          <w:rFonts w:hint="eastAsia" w:ascii="宋体" w:hAnsi="宋体" w:cs="宋体"/>
          <w:color w:val="auto"/>
          <w:sz w:val="24"/>
          <w:highlight w:val="none"/>
          <w:lang w:val="en-US" w:eastAsia="zh-CN"/>
        </w:rPr>
        <w:t>书面</w:t>
      </w:r>
      <w:r>
        <w:rPr>
          <w:rFonts w:ascii="宋体" w:hAnsi="宋体" w:cs="宋体"/>
          <w:color w:val="auto"/>
          <w:sz w:val="24"/>
          <w:highlight w:val="none"/>
        </w:rPr>
        <w:t>合同，合同形式见投标人须知前附表。中标人无正当理由拒签合同，在签订合同时向招标人提出附加条件，或者不按照招标文件要求提交履约保证金的，招标人取消其中标资格，其投标保证金不予退还；给招标人造成的损失超过投标保证金数额的，中标人还应当对超过部分予以赔偿。</w:t>
      </w:r>
    </w:p>
    <w:p w14:paraId="17B2647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7.8.2 </w:t>
      </w:r>
      <w:r>
        <w:rPr>
          <w:rFonts w:hint="eastAsia" w:ascii="宋体" w:hAnsi="宋体" w:cs="宋体"/>
          <w:color w:val="auto"/>
          <w:sz w:val="24"/>
          <w:highlight w:val="none"/>
        </w:rPr>
        <w:t>发出中标通知书后，招标人无正当理由拒签合同，或者在签订合同时向中标人提出附加条件的，招标人向中标人退还投标保证金；给中标人造成损失的，还应当赔偿损失。</w:t>
      </w:r>
    </w:p>
    <w:p w14:paraId="099BE75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7.8.3 </w:t>
      </w:r>
      <w:r>
        <w:rPr>
          <w:rFonts w:hint="eastAsia" w:ascii="宋体" w:hAnsi="宋体" w:cs="宋体"/>
          <w:color w:val="auto"/>
          <w:sz w:val="24"/>
          <w:highlight w:val="none"/>
        </w:rPr>
        <w:t>签约合同价的确定原则：见投标人须知前附表。</w:t>
      </w:r>
    </w:p>
    <w:p w14:paraId="14DC134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7.8.4 </w:t>
      </w:r>
      <w:r>
        <w:rPr>
          <w:rFonts w:hint="eastAsia" w:ascii="宋体" w:hAnsi="宋体" w:cs="宋体"/>
          <w:color w:val="auto"/>
          <w:sz w:val="24"/>
          <w:highlight w:val="none"/>
        </w:rPr>
        <w:t>联合体中标的</w:t>
      </w:r>
      <w:r>
        <w:rPr>
          <w:rFonts w:ascii="宋体" w:hAnsi="宋体" w:cs="宋体"/>
          <w:color w:val="auto"/>
          <w:sz w:val="24"/>
          <w:highlight w:val="none"/>
        </w:rPr>
        <w:t>,联合体各方应共同与招标人签订合同,就中标项目向招标人承担连带责任。</w:t>
      </w:r>
    </w:p>
    <w:p w14:paraId="121C6249">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 xml:space="preserve">7.8.5 </w:t>
      </w:r>
      <w:r>
        <w:rPr>
          <w:rFonts w:hint="eastAsia" w:ascii="宋体" w:hAnsi="宋体" w:cs="宋体"/>
          <w:color w:val="auto"/>
          <w:sz w:val="24"/>
          <w:highlight w:val="none"/>
        </w:rPr>
        <w:t>招标人和中标人在签订合同协议书的同时</w:t>
      </w:r>
      <w:r>
        <w:rPr>
          <w:rFonts w:ascii="宋体" w:hAnsi="宋体" w:cs="宋体"/>
          <w:color w:val="auto"/>
          <w:sz w:val="24"/>
          <w:highlight w:val="none"/>
        </w:rPr>
        <w:t>,须按照本招标文件规定的格式和要求签订廉政合同,明确双方在廉政建设方面的权利和义务以及应承担的违约责任。</w:t>
      </w:r>
      <w:r>
        <w:rPr>
          <w:rFonts w:hint="eastAsia" w:ascii="宋体" w:hAnsi="宋体" w:cs="宋体"/>
          <w:color w:val="auto"/>
          <w:sz w:val="24"/>
          <w:highlight w:val="none"/>
        </w:rPr>
        <w:t>制作合同文件及费用、份数要求：见投标人须知前附表。</w:t>
      </w:r>
    </w:p>
    <w:p w14:paraId="418708F1">
      <w:pPr>
        <w:pStyle w:val="6"/>
        <w:rPr>
          <w:rFonts w:hint="eastAsia" w:ascii="Calibri" w:eastAsia="黑体"/>
          <w:b w:val="0"/>
          <w:bCs w:val="0"/>
          <w:sz w:val="28"/>
          <w:szCs w:val="32"/>
          <w:lang w:val="en-US" w:eastAsia="zh-CN"/>
        </w:rPr>
      </w:pPr>
      <w:r>
        <w:rPr>
          <w:rFonts w:hint="eastAsia" w:ascii="Calibri"/>
          <w:b w:val="0"/>
          <w:bCs w:val="0"/>
          <w:sz w:val="28"/>
          <w:szCs w:val="32"/>
        </w:rPr>
        <w:t>7.</w:t>
      </w:r>
      <w:r>
        <w:rPr>
          <w:rFonts w:hint="eastAsia" w:ascii="Calibri"/>
          <w:b w:val="0"/>
          <w:bCs w:val="0"/>
          <w:sz w:val="28"/>
          <w:szCs w:val="32"/>
          <w:lang w:val="en-US" w:eastAsia="zh-CN"/>
        </w:rPr>
        <w:t>9</w:t>
      </w:r>
      <w:r>
        <w:rPr>
          <w:rFonts w:hint="eastAsia" w:ascii="Calibri"/>
          <w:b w:val="0"/>
          <w:bCs w:val="0"/>
          <w:sz w:val="28"/>
          <w:szCs w:val="32"/>
        </w:rPr>
        <w:t xml:space="preserve"> </w:t>
      </w:r>
      <w:r>
        <w:rPr>
          <w:rFonts w:hint="eastAsia" w:ascii="Calibri"/>
          <w:b w:val="0"/>
          <w:bCs w:val="0"/>
          <w:sz w:val="28"/>
          <w:szCs w:val="32"/>
          <w:lang w:val="en-US" w:eastAsia="zh-CN"/>
        </w:rPr>
        <w:t>合同内容公告</w:t>
      </w:r>
    </w:p>
    <w:p w14:paraId="4CD86408">
      <w:pPr>
        <w:pStyle w:val="21"/>
        <w:kinsoku w:val="0"/>
        <w:overflowPunct/>
        <w:spacing w:line="360" w:lineRule="auto"/>
        <w:ind w:firstLine="480" w:firstLineChars="200"/>
        <w:rPr>
          <w:rFonts w:hint="eastAsia"/>
          <w:color w:val="auto"/>
          <w:highlight w:val="none"/>
          <w:lang w:eastAsia="zh-CN"/>
        </w:rPr>
      </w:pPr>
      <w:r>
        <w:rPr>
          <w:rFonts w:hint="eastAsia"/>
          <w:color w:val="auto"/>
          <w:highlight w:val="none"/>
          <w:lang w:val="en-US" w:eastAsia="zh-CN"/>
        </w:rPr>
        <w:t>合同签订后，</w:t>
      </w:r>
      <w:r>
        <w:rPr>
          <w:color w:val="auto"/>
          <w:highlight w:val="none"/>
        </w:rPr>
        <w:t>招标人</w:t>
      </w:r>
      <w:r>
        <w:rPr>
          <w:rFonts w:hint="eastAsia"/>
          <w:color w:val="auto"/>
          <w:highlight w:val="none"/>
          <w:lang w:val="en-US" w:eastAsia="zh-CN"/>
        </w:rPr>
        <w:t>应当将合同签订情况在</w:t>
      </w:r>
      <w:r>
        <w:rPr>
          <w:color w:val="auto"/>
          <w:highlight w:val="none"/>
        </w:rPr>
        <w:t>投标人须知前附表规定的</w:t>
      </w:r>
      <w:r>
        <w:rPr>
          <w:rFonts w:hint="eastAsia"/>
          <w:color w:val="auto"/>
          <w:highlight w:val="none"/>
        </w:rPr>
        <w:t>公告</w:t>
      </w:r>
      <w:r>
        <w:rPr>
          <w:color w:val="auto"/>
          <w:highlight w:val="none"/>
        </w:rPr>
        <w:t>媒介</w:t>
      </w:r>
      <w:r>
        <w:rPr>
          <w:rFonts w:hint="eastAsia"/>
          <w:color w:val="auto"/>
          <w:highlight w:val="none"/>
        </w:rPr>
        <w:t>公告</w:t>
      </w:r>
      <w:r>
        <w:rPr>
          <w:rFonts w:hint="eastAsia"/>
          <w:color w:val="auto"/>
          <w:highlight w:val="none"/>
          <w:lang w:val="en-US" w:eastAsia="zh-CN"/>
        </w:rPr>
        <w:t>合同主要内容</w:t>
      </w:r>
      <w:r>
        <w:rPr>
          <w:color w:val="auto"/>
          <w:highlight w:val="none"/>
        </w:rPr>
        <w:t>。公告内容包括</w:t>
      </w:r>
      <w:r>
        <w:rPr>
          <w:rFonts w:hint="eastAsia"/>
          <w:color w:val="auto"/>
          <w:highlight w:val="none"/>
          <w:lang w:eastAsia="zh-CN"/>
        </w:rPr>
        <w:t>：</w:t>
      </w:r>
    </w:p>
    <w:p w14:paraId="45282D4D">
      <w:pPr>
        <w:pStyle w:val="21"/>
        <w:numPr>
          <w:ilvl w:val="-1"/>
          <w:numId w:val="0"/>
        </w:numPr>
        <w:kinsoku w:val="0"/>
        <w:overflowPunct/>
        <w:spacing w:line="360" w:lineRule="auto"/>
        <w:ind w:firstLine="480" w:firstLineChars="200"/>
        <w:rPr>
          <w:rFonts w:hint="eastAsia"/>
          <w:color w:val="auto"/>
          <w:highlight w:val="none"/>
          <w:lang w:val="en-US" w:eastAsia="zh-CN"/>
        </w:rPr>
      </w:pPr>
      <w:r>
        <w:rPr>
          <w:rFonts w:hint="eastAsia"/>
          <w:color w:val="auto"/>
          <w:highlight w:val="none"/>
          <w:lang w:val="en-US" w:eastAsia="zh-CN"/>
        </w:rPr>
        <w:t>（1）项目名称、项目所在地；</w:t>
      </w:r>
    </w:p>
    <w:p w14:paraId="034A760D">
      <w:pPr>
        <w:pStyle w:val="21"/>
        <w:numPr>
          <w:ilvl w:val="-1"/>
          <w:numId w:val="0"/>
        </w:numPr>
        <w:kinsoku w:val="0"/>
        <w:overflowPunct/>
        <w:spacing w:line="360" w:lineRule="auto"/>
        <w:ind w:firstLine="480" w:firstLineChars="200"/>
        <w:rPr>
          <w:rFonts w:hint="eastAsia"/>
          <w:color w:val="auto"/>
          <w:highlight w:val="none"/>
          <w:lang w:val="en-US" w:eastAsia="zh-CN"/>
        </w:rPr>
      </w:pPr>
      <w:r>
        <w:rPr>
          <w:rFonts w:hint="eastAsia"/>
          <w:color w:val="auto"/>
          <w:highlight w:val="none"/>
          <w:lang w:val="en-US" w:eastAsia="zh-CN"/>
        </w:rPr>
        <w:t>（2）委托人名称、地址和电话；</w:t>
      </w:r>
    </w:p>
    <w:p w14:paraId="5746314B">
      <w:pPr>
        <w:pStyle w:val="21"/>
        <w:numPr>
          <w:ilvl w:val="-1"/>
          <w:numId w:val="0"/>
        </w:numPr>
        <w:kinsoku w:val="0"/>
        <w:overflowPunct/>
        <w:spacing w:line="360" w:lineRule="auto"/>
        <w:ind w:firstLine="480" w:firstLineChars="200"/>
        <w:rPr>
          <w:rFonts w:hint="eastAsia"/>
          <w:color w:val="auto"/>
          <w:highlight w:val="none"/>
          <w:lang w:eastAsia="zh-CN"/>
        </w:rPr>
      </w:pPr>
      <w:r>
        <w:rPr>
          <w:rFonts w:hint="eastAsia"/>
          <w:color w:val="auto"/>
          <w:highlight w:val="none"/>
          <w:lang w:val="en-US" w:eastAsia="zh-CN"/>
        </w:rPr>
        <w:t>（3）签订合同标段号、试验检测机构</w:t>
      </w:r>
      <w:r>
        <w:rPr>
          <w:color w:val="auto"/>
          <w:highlight w:val="none"/>
        </w:rPr>
        <w:t>名称</w:t>
      </w:r>
      <w:r>
        <w:rPr>
          <w:rFonts w:hint="eastAsia"/>
          <w:color w:val="auto"/>
          <w:highlight w:val="none"/>
          <w:lang w:val="en-US" w:eastAsia="zh-CN"/>
        </w:rPr>
        <w:t>、地址和电话</w:t>
      </w:r>
      <w:r>
        <w:rPr>
          <w:rFonts w:hint="eastAsia"/>
          <w:color w:val="auto"/>
          <w:highlight w:val="none"/>
          <w:lang w:eastAsia="zh-CN"/>
        </w:rPr>
        <w:t>；</w:t>
      </w:r>
    </w:p>
    <w:p w14:paraId="207353D2">
      <w:pPr>
        <w:pStyle w:val="21"/>
        <w:numPr>
          <w:ilvl w:val="-1"/>
          <w:numId w:val="0"/>
        </w:numPr>
        <w:kinsoku w:val="0"/>
        <w:overflowPunct/>
        <w:spacing w:line="360" w:lineRule="auto"/>
        <w:ind w:firstLine="480" w:firstLineChars="200"/>
        <w:rPr>
          <w:rFonts w:hint="eastAsia"/>
          <w:color w:val="auto"/>
          <w:highlight w:val="none"/>
          <w:lang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lang w:val="en-US" w:eastAsia="zh-CN"/>
        </w:rPr>
        <w:t>签订合同日期、合同</w:t>
      </w:r>
      <w:r>
        <w:rPr>
          <w:color w:val="auto"/>
          <w:highlight w:val="none"/>
        </w:rPr>
        <w:t>价</w:t>
      </w:r>
      <w:r>
        <w:rPr>
          <w:rFonts w:hint="eastAsia"/>
          <w:color w:val="auto"/>
          <w:highlight w:val="none"/>
          <w:lang w:eastAsia="zh-CN"/>
        </w:rPr>
        <w:t>、</w:t>
      </w:r>
      <w:r>
        <w:rPr>
          <w:rFonts w:hint="eastAsia"/>
          <w:color w:val="auto"/>
          <w:highlight w:val="none"/>
          <w:lang w:val="en-US" w:eastAsia="zh-CN"/>
        </w:rPr>
        <w:t>合同工期；</w:t>
      </w:r>
    </w:p>
    <w:p w14:paraId="0EDC4C62">
      <w:pPr>
        <w:pStyle w:val="21"/>
        <w:numPr>
          <w:ilvl w:val="-1"/>
          <w:numId w:val="0"/>
        </w:numPr>
        <w:kinsoku w:val="0"/>
        <w:overflowPunct/>
        <w:spacing w:line="360" w:lineRule="auto"/>
        <w:ind w:firstLine="480" w:firstLineChars="200"/>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color w:val="auto"/>
          <w:highlight w:val="none"/>
          <w:lang w:val="en-US" w:eastAsia="zh-CN"/>
        </w:rPr>
        <w:t>履约担保形式、金额及提交情况；</w:t>
      </w:r>
    </w:p>
    <w:p w14:paraId="647B2B10">
      <w:pPr>
        <w:pStyle w:val="21"/>
        <w:numPr>
          <w:ilvl w:val="-1"/>
          <w:numId w:val="0"/>
        </w:numPr>
        <w:kinsoku w:val="0"/>
        <w:overflowPunct/>
        <w:spacing w:line="360" w:lineRule="auto"/>
        <w:ind w:firstLine="480" w:firstLineChars="200"/>
        <w:rPr>
          <w:rFonts w:hint="eastAsia"/>
          <w:color w:val="auto"/>
          <w:highlight w:val="none"/>
          <w:lang w:val="en-US" w:eastAsia="zh-CN"/>
        </w:rPr>
      </w:pPr>
      <w:r>
        <w:rPr>
          <w:rFonts w:hint="eastAsia"/>
          <w:color w:val="auto"/>
          <w:highlight w:val="none"/>
          <w:lang w:val="en-US" w:eastAsia="zh-CN"/>
        </w:rPr>
        <w:t>（6）试验室主任及其他主要人员（如有）的姓名、证件及证号；</w:t>
      </w:r>
    </w:p>
    <w:p w14:paraId="47ABB234">
      <w:pPr>
        <w:pStyle w:val="21"/>
        <w:numPr>
          <w:ilvl w:val="-1"/>
          <w:numId w:val="0"/>
        </w:numPr>
        <w:kinsoku w:val="0"/>
        <w:overflowPunct/>
        <w:spacing w:line="360" w:lineRule="auto"/>
        <w:ind w:firstLine="480" w:firstLineChars="200"/>
        <w:rPr>
          <w:rFonts w:hint="eastAsia"/>
          <w:color w:val="auto"/>
          <w:highlight w:val="none"/>
        </w:rPr>
      </w:pPr>
      <w:r>
        <w:rPr>
          <w:rFonts w:hint="eastAsia"/>
          <w:color w:val="auto"/>
          <w:highlight w:val="none"/>
          <w:lang w:val="en-US" w:eastAsia="zh-CN"/>
        </w:rPr>
        <w:t>（7）主要合同工作内容：填写监理试验室服务合同段的主要工作内容、建设规模等；</w:t>
      </w:r>
    </w:p>
    <w:p w14:paraId="135D3968">
      <w:pPr>
        <w:pStyle w:val="21"/>
        <w:numPr>
          <w:ilvl w:val="0"/>
          <w:numId w:val="0"/>
        </w:numPr>
        <w:kinsoku w:val="0"/>
        <w:spacing w:line="360" w:lineRule="auto"/>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8</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应注明是否为第一中标候选人</w:t>
      </w:r>
      <w:r>
        <w:rPr>
          <w:rFonts w:hint="eastAsia" w:cs="Times New Roman"/>
          <w:color w:val="auto"/>
          <w:highlight w:val="none"/>
          <w:lang w:val="en-US" w:eastAsia="zh-CN"/>
        </w:rPr>
        <w:t>及</w:t>
      </w:r>
      <w:r>
        <w:rPr>
          <w:rFonts w:hint="eastAsia" w:ascii="宋体" w:hAnsi="宋体" w:eastAsia="宋体" w:cs="Times New Roman"/>
          <w:color w:val="auto"/>
          <w:highlight w:val="none"/>
          <w:lang w:val="en-US" w:eastAsia="zh-CN"/>
        </w:rPr>
        <w:t>不选择第一中标候选人的理由。</w:t>
      </w:r>
    </w:p>
    <w:p w14:paraId="03D77977">
      <w:pPr>
        <w:pStyle w:val="5"/>
      </w:pPr>
      <w:bookmarkStart w:id="340" w:name="_Toc74760864"/>
      <w:bookmarkStart w:id="341" w:name="_Toc234382637"/>
      <w:bookmarkStart w:id="342" w:name="_Toc523921639"/>
      <w:bookmarkStart w:id="343" w:name="_Toc28187723"/>
      <w:r>
        <w:t xml:space="preserve">8. </w:t>
      </w:r>
      <w:r>
        <w:rPr>
          <w:rFonts w:hint="eastAsia"/>
        </w:rPr>
        <w:t>纪律和监督</w:t>
      </w:r>
      <w:bookmarkEnd w:id="340"/>
      <w:bookmarkEnd w:id="341"/>
      <w:bookmarkEnd w:id="342"/>
      <w:bookmarkEnd w:id="343"/>
    </w:p>
    <w:p w14:paraId="052E5BD8">
      <w:pPr>
        <w:pStyle w:val="6"/>
        <w:rPr>
          <w:rFonts w:hint="eastAsia" w:ascii="Calibri" w:hAnsi="Calibri"/>
          <w:b w:val="0"/>
          <w:bCs w:val="0"/>
          <w:sz w:val="28"/>
          <w:szCs w:val="32"/>
        </w:rPr>
      </w:pPr>
      <w:bookmarkStart w:id="344" w:name="_Toc74760865"/>
      <w:bookmarkStart w:id="345" w:name="_Toc234382638"/>
      <w:bookmarkStart w:id="346" w:name="_Toc509828629"/>
      <w:bookmarkStart w:id="347" w:name="_Toc513555564"/>
      <w:bookmarkStart w:id="348" w:name="_Toc513556641"/>
      <w:bookmarkStart w:id="349" w:name="_Toc513555808"/>
      <w:bookmarkStart w:id="350" w:name="_Toc523921640"/>
      <w:bookmarkStart w:id="351" w:name="_Toc519601465"/>
      <w:r>
        <w:rPr>
          <w:rFonts w:hint="eastAsia" w:ascii="Calibri" w:hAnsi="Calibri"/>
          <w:b w:val="0"/>
          <w:bCs w:val="0"/>
          <w:sz w:val="28"/>
          <w:szCs w:val="32"/>
        </w:rPr>
        <w:t>8.1 对招标人的纪律要求</w:t>
      </w:r>
      <w:bookmarkEnd w:id="344"/>
      <w:bookmarkEnd w:id="345"/>
      <w:bookmarkEnd w:id="346"/>
      <w:bookmarkEnd w:id="347"/>
      <w:bookmarkEnd w:id="348"/>
      <w:bookmarkEnd w:id="349"/>
      <w:bookmarkEnd w:id="350"/>
      <w:bookmarkEnd w:id="351"/>
    </w:p>
    <w:p w14:paraId="3986FF2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招标人不得泄露招标投标活动中应当保密的情况和资料，不得与投标人串通损害国家利益、社会公共利益或者他人合法权益。</w:t>
      </w:r>
    </w:p>
    <w:p w14:paraId="309A99EF">
      <w:pPr>
        <w:pStyle w:val="6"/>
        <w:rPr>
          <w:rFonts w:hint="eastAsia" w:ascii="Calibri" w:hAnsi="Calibri"/>
          <w:b w:val="0"/>
          <w:bCs w:val="0"/>
          <w:sz w:val="28"/>
          <w:szCs w:val="32"/>
        </w:rPr>
      </w:pPr>
      <w:bookmarkStart w:id="352" w:name="_Toc513555565"/>
      <w:bookmarkStart w:id="353" w:name="_Toc234382639"/>
      <w:bookmarkStart w:id="354" w:name="_Toc519601466"/>
      <w:bookmarkStart w:id="355" w:name="_Toc509828630"/>
      <w:bookmarkStart w:id="356" w:name="_Toc513555809"/>
      <w:bookmarkStart w:id="357" w:name="_Toc523921641"/>
      <w:bookmarkStart w:id="358" w:name="_Toc74760866"/>
      <w:bookmarkStart w:id="359" w:name="_Toc513556642"/>
      <w:r>
        <w:rPr>
          <w:rFonts w:hint="eastAsia" w:ascii="Calibri" w:hAnsi="Calibri"/>
          <w:b w:val="0"/>
          <w:bCs w:val="0"/>
          <w:sz w:val="28"/>
          <w:szCs w:val="32"/>
        </w:rPr>
        <w:t>8.2 对投标人的纪律要求</w:t>
      </w:r>
      <w:bookmarkEnd w:id="352"/>
      <w:bookmarkEnd w:id="353"/>
      <w:bookmarkEnd w:id="354"/>
      <w:bookmarkEnd w:id="355"/>
      <w:bookmarkEnd w:id="356"/>
      <w:bookmarkEnd w:id="357"/>
      <w:bookmarkEnd w:id="358"/>
      <w:bookmarkEnd w:id="359"/>
    </w:p>
    <w:p w14:paraId="313FFE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投标人不得相互串通投标或与招标人串通投标，不得向招标人或评标委员会成员行贿谋取中标，不得以他人名义投标或以其他方式弄虚作假骗取中标；投标人不得以任何方式干扰、影响评标工作。</w:t>
      </w:r>
      <w:bookmarkStart w:id="360" w:name="_Toc234382640"/>
    </w:p>
    <w:p w14:paraId="78D41873">
      <w:pPr>
        <w:pStyle w:val="6"/>
        <w:rPr>
          <w:rFonts w:hint="eastAsia" w:ascii="Calibri" w:hAnsi="Calibri"/>
          <w:b w:val="0"/>
          <w:bCs w:val="0"/>
          <w:sz w:val="28"/>
          <w:szCs w:val="32"/>
        </w:rPr>
      </w:pPr>
      <w:bookmarkStart w:id="361" w:name="_Toc513555810"/>
      <w:bookmarkStart w:id="362" w:name="_Toc509828631"/>
      <w:bookmarkStart w:id="363" w:name="_Toc513555566"/>
      <w:bookmarkStart w:id="364" w:name="_Toc523921642"/>
      <w:bookmarkStart w:id="365" w:name="_Toc74760867"/>
      <w:bookmarkStart w:id="366" w:name="_Toc519601467"/>
      <w:bookmarkStart w:id="367" w:name="_Toc513556643"/>
      <w:r>
        <w:rPr>
          <w:rFonts w:hint="eastAsia" w:ascii="Calibri" w:hAnsi="Calibri"/>
          <w:b w:val="0"/>
          <w:bCs w:val="0"/>
          <w:sz w:val="28"/>
          <w:szCs w:val="32"/>
        </w:rPr>
        <w:t>8.3 对评标委员会成员的纪律要求</w:t>
      </w:r>
      <w:bookmarkEnd w:id="360"/>
      <w:bookmarkEnd w:id="361"/>
      <w:bookmarkEnd w:id="362"/>
      <w:bookmarkEnd w:id="363"/>
      <w:bookmarkEnd w:id="364"/>
      <w:bookmarkEnd w:id="365"/>
      <w:bookmarkEnd w:id="366"/>
      <w:bookmarkEnd w:id="367"/>
    </w:p>
    <w:p w14:paraId="56BE053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评标委员会成员不得收受他人的财物或者其他好处，不得向他人</w:t>
      </w:r>
      <w:r>
        <w:rPr>
          <w:rFonts w:hint="eastAsia" w:ascii="宋体" w:hAnsi="宋体" w:cs="宋体"/>
          <w:color w:val="auto"/>
          <w:sz w:val="24"/>
          <w:highlight w:val="none"/>
          <w:lang w:eastAsia="zh-CN"/>
        </w:rPr>
        <w:t>透露</w:t>
      </w:r>
      <w:r>
        <w:rPr>
          <w:rFonts w:hint="eastAsia" w:ascii="宋体" w:hAnsi="宋体" w:cs="宋体"/>
          <w:color w:val="auto"/>
          <w:sz w:val="24"/>
          <w:highlight w:val="none"/>
        </w:rPr>
        <w:t>对投标文件的评审和比较、中标候选人的推荐情况以及评标有关的其他情况。在评标活动中，评标委员会成员应当客观、公正</w:t>
      </w:r>
      <w:r>
        <w:rPr>
          <w:rFonts w:hint="eastAsia" w:ascii="宋体" w:hAnsi="宋体" w:cs="宋体"/>
          <w:color w:val="auto"/>
          <w:sz w:val="24"/>
          <w:highlight w:val="none"/>
          <w:lang w:eastAsia="zh-CN"/>
        </w:rPr>
        <w:t>地</w:t>
      </w:r>
      <w:r>
        <w:rPr>
          <w:rFonts w:hint="eastAsia" w:ascii="宋体" w:hAnsi="宋体" w:cs="宋体"/>
          <w:color w:val="auto"/>
          <w:sz w:val="24"/>
          <w:highlight w:val="none"/>
        </w:rPr>
        <w:t>履行职责，遵守职业道德，不得擅离职守，影响评标程序正常进行，不得使用第三章“评标办法”中没有规定的评审因素和标准进行评标。</w:t>
      </w:r>
    </w:p>
    <w:p w14:paraId="1ABE89C3">
      <w:pPr>
        <w:pStyle w:val="6"/>
        <w:rPr>
          <w:rFonts w:hint="eastAsia" w:ascii="Calibri" w:hAnsi="Calibri"/>
          <w:b w:val="0"/>
          <w:bCs w:val="0"/>
          <w:sz w:val="28"/>
          <w:szCs w:val="32"/>
        </w:rPr>
      </w:pPr>
      <w:bookmarkStart w:id="368" w:name="_Toc74760868"/>
      <w:bookmarkStart w:id="369" w:name="_Toc234382641"/>
      <w:bookmarkStart w:id="370" w:name="_Toc513555567"/>
      <w:bookmarkStart w:id="371" w:name="_Toc519601468"/>
      <w:bookmarkStart w:id="372" w:name="_Toc509828632"/>
      <w:bookmarkStart w:id="373" w:name="_Toc513556644"/>
      <w:bookmarkStart w:id="374" w:name="_Toc513555811"/>
      <w:bookmarkStart w:id="375" w:name="_Toc523921643"/>
      <w:r>
        <w:rPr>
          <w:rFonts w:hint="eastAsia" w:ascii="Calibri" w:hAnsi="Calibri"/>
          <w:b w:val="0"/>
          <w:bCs w:val="0"/>
          <w:sz w:val="28"/>
          <w:szCs w:val="32"/>
        </w:rPr>
        <w:t>8.4 对与评标活动有关的工作人员的纪律要求</w:t>
      </w:r>
      <w:bookmarkEnd w:id="368"/>
      <w:bookmarkEnd w:id="369"/>
      <w:bookmarkEnd w:id="370"/>
      <w:bookmarkEnd w:id="371"/>
      <w:bookmarkEnd w:id="372"/>
      <w:bookmarkEnd w:id="373"/>
      <w:bookmarkEnd w:id="374"/>
      <w:bookmarkEnd w:id="375"/>
    </w:p>
    <w:p w14:paraId="77C8CF6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587ABF6">
      <w:pPr>
        <w:pStyle w:val="6"/>
        <w:rPr>
          <w:rFonts w:hint="eastAsia" w:ascii="Calibri" w:hAnsi="Calibri"/>
          <w:b w:val="0"/>
          <w:bCs w:val="0"/>
          <w:sz w:val="28"/>
          <w:szCs w:val="32"/>
        </w:rPr>
      </w:pPr>
      <w:bookmarkStart w:id="376" w:name="_Toc74760869"/>
      <w:bookmarkStart w:id="377" w:name="_Toc523921644"/>
      <w:bookmarkStart w:id="378" w:name="_Toc509828633"/>
      <w:bookmarkStart w:id="379" w:name="_Toc513556645"/>
      <w:bookmarkStart w:id="380" w:name="_Toc519601469"/>
      <w:bookmarkStart w:id="381" w:name="_Toc513555568"/>
      <w:bookmarkStart w:id="382" w:name="_Toc234382642"/>
      <w:bookmarkStart w:id="383" w:name="_Toc513555812"/>
      <w:r>
        <w:rPr>
          <w:rFonts w:hint="eastAsia" w:ascii="Calibri" w:hAnsi="Calibri"/>
          <w:b w:val="0"/>
          <w:bCs w:val="0"/>
          <w:sz w:val="28"/>
          <w:szCs w:val="32"/>
        </w:rPr>
        <w:t>8.5 投诉</w:t>
      </w:r>
      <w:bookmarkEnd w:id="376"/>
      <w:bookmarkEnd w:id="377"/>
      <w:bookmarkEnd w:id="378"/>
      <w:bookmarkEnd w:id="379"/>
      <w:bookmarkEnd w:id="380"/>
      <w:bookmarkEnd w:id="381"/>
      <w:bookmarkEnd w:id="382"/>
      <w:bookmarkEnd w:id="383"/>
    </w:p>
    <w:p w14:paraId="4EAA67F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8.5.1 </w:t>
      </w:r>
      <w:r>
        <w:rPr>
          <w:rFonts w:hint="eastAsia" w:ascii="宋体" w:hAnsi="宋体" w:cs="宋体"/>
          <w:color w:val="auto"/>
          <w:sz w:val="24"/>
          <w:highlight w:val="none"/>
        </w:rPr>
        <w:t>投标人或其他利害关系人认为招标投标活动不符合法律、行政法规规定的，可自知道或应当知道之日起</w:t>
      </w:r>
      <w:r>
        <w:rPr>
          <w:rFonts w:ascii="宋体" w:hAnsi="宋体" w:cs="宋体"/>
          <w:color w:val="auto"/>
          <w:sz w:val="24"/>
          <w:highlight w:val="none"/>
        </w:rPr>
        <w:t>10日</w:t>
      </w:r>
      <w:r>
        <w:rPr>
          <w:rFonts w:hint="eastAsia" w:ascii="宋体" w:hAnsi="宋体" w:cs="宋体"/>
          <w:color w:val="auto"/>
          <w:sz w:val="24"/>
          <w:highlight w:val="none"/>
          <w:lang w:eastAsia="zh-CN"/>
        </w:rPr>
        <w:t>内向</w:t>
      </w:r>
      <w:r>
        <w:rPr>
          <w:rFonts w:ascii="宋体" w:hAnsi="宋体" w:cs="宋体"/>
          <w:color w:val="auto"/>
          <w:sz w:val="24"/>
          <w:highlight w:val="none"/>
        </w:rPr>
        <w:t>有关行政监督部门投诉。投诉应有明确的请求和必要的证明材料。</w:t>
      </w:r>
    </w:p>
    <w:p w14:paraId="79C7C8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行政监督部门的联系方式见投标人须知前附表。</w:t>
      </w:r>
    </w:p>
    <w:p w14:paraId="65E5DAF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8.5.2 </w:t>
      </w:r>
      <w:r>
        <w:rPr>
          <w:rFonts w:hint="eastAsia" w:ascii="宋体" w:hAnsi="宋体" w:cs="宋体"/>
          <w:color w:val="auto"/>
          <w:sz w:val="24"/>
          <w:highlight w:val="none"/>
        </w:rPr>
        <w:t>投标人或者其他利害关系人对招标文件、开标和评标结果提出投诉的，应当按照投标人须知第</w:t>
      </w:r>
      <w:r>
        <w:rPr>
          <w:rFonts w:ascii="宋体" w:hAnsi="宋体" w:cs="宋体"/>
          <w:color w:val="auto"/>
          <w:sz w:val="24"/>
          <w:highlight w:val="none"/>
        </w:rPr>
        <w:t>2.4款、第5.4款和第7.2款的规定先向招标人提出异议。异议答复期间不计算在第8.5.1项规定的期限内。</w:t>
      </w:r>
    </w:p>
    <w:p w14:paraId="2AF49A50">
      <w:pPr>
        <w:pStyle w:val="5"/>
        <w:rPr>
          <w:rFonts w:hint="default"/>
          <w:lang w:val="en-US" w:eastAsia="zh-CN"/>
        </w:rPr>
      </w:pPr>
      <w:bookmarkStart w:id="384" w:name="_Toc234382643"/>
      <w:bookmarkStart w:id="385" w:name="_Toc28187724"/>
      <w:bookmarkStart w:id="386" w:name="_Toc523921645"/>
      <w:bookmarkStart w:id="387" w:name="_Toc74760870"/>
      <w:r>
        <w:t xml:space="preserve">9. </w:t>
      </w:r>
      <w:r>
        <w:rPr>
          <w:rFonts w:hint="eastAsia"/>
          <w:lang w:val="en-US" w:eastAsia="zh-CN"/>
        </w:rPr>
        <w:t>是否采用电子招标投标</w:t>
      </w:r>
    </w:p>
    <w:p w14:paraId="43D5993A">
      <w:pPr>
        <w:spacing w:before="0" w:after="0" w:line="360" w:lineRule="auto"/>
        <w:ind w:firstLine="480" w:firstLineChars="200"/>
        <w:jc w:val="both"/>
        <w:rPr>
          <w:rFonts w:hint="eastAsia" w:ascii="宋体" w:hAnsi="宋体" w:eastAsia="宋体" w:cs="宋体"/>
          <w:b w:val="0"/>
          <w:color w:val="auto"/>
          <w:sz w:val="24"/>
          <w:szCs w:val="24"/>
          <w:highlight w:val="none"/>
        </w:rPr>
      </w:pPr>
      <w:r>
        <w:rPr>
          <w:rFonts w:hint="eastAsia" w:ascii="宋体" w:hAnsi="宋体" w:eastAsia="宋体" w:cs="宋体"/>
          <w:color w:val="auto"/>
          <w:sz w:val="24"/>
          <w:highlight w:val="none"/>
          <w:lang w:val="en-US" w:eastAsia="zh-CN"/>
        </w:rPr>
        <w:t>本招标项目是否采用电子招标投标方式</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是</w:t>
      </w:r>
      <w:r>
        <w:rPr>
          <w:rFonts w:hint="eastAsia" w:ascii="宋体" w:hAnsi="宋体" w:eastAsia="宋体" w:cs="宋体"/>
          <w:color w:val="auto"/>
          <w:sz w:val="24"/>
          <w:highlight w:val="none"/>
        </w:rPr>
        <w:t>。</w:t>
      </w:r>
    </w:p>
    <w:p w14:paraId="72E71F3A">
      <w:pPr>
        <w:pStyle w:val="5"/>
      </w:pPr>
      <w:r>
        <w:rPr>
          <w:rFonts w:hint="eastAsia"/>
          <w:lang w:val="en-US" w:eastAsia="zh-CN"/>
        </w:rPr>
        <w:t xml:space="preserve">10. </w:t>
      </w:r>
      <w:r>
        <w:rPr>
          <w:rFonts w:hint="eastAsia"/>
        </w:rPr>
        <w:t>需要补充的其他内容</w:t>
      </w:r>
      <w:bookmarkEnd w:id="384"/>
      <w:bookmarkEnd w:id="385"/>
      <w:bookmarkEnd w:id="386"/>
      <w:bookmarkEnd w:id="387"/>
    </w:p>
    <w:p w14:paraId="41574F88">
      <w:pPr>
        <w:spacing w:line="360" w:lineRule="auto"/>
        <w:ind w:firstLine="480" w:firstLineChars="200"/>
        <w:outlineLvl w:val="9"/>
        <w:rPr>
          <w:rFonts w:hint="eastAsia" w:ascii="宋体" w:hAnsi="宋体" w:cs="宋体"/>
          <w:color w:val="auto"/>
          <w:sz w:val="24"/>
          <w:highlight w:val="none"/>
        </w:rPr>
      </w:pPr>
      <w:r>
        <w:rPr>
          <w:rFonts w:hint="eastAsia" w:ascii="宋体" w:hAnsi="宋体" w:cs="宋体"/>
          <w:color w:val="auto"/>
          <w:sz w:val="24"/>
          <w:highlight w:val="none"/>
        </w:rPr>
        <w:t>需要补充的其他内容：见投标人须知前附表。</w:t>
      </w:r>
    </w:p>
    <w:p w14:paraId="148DFBBF">
      <w:pPr>
        <w:spacing w:line="240" w:lineRule="auto"/>
        <w:ind w:firstLine="0" w:firstLineChars="0"/>
        <w:rPr>
          <w:rFonts w:ascii="宋体" w:hAnsi="宋体" w:cs="宋体"/>
          <w:color w:val="auto"/>
          <w:highlight w:val="none"/>
        </w:rPr>
      </w:pPr>
      <w:r>
        <w:rPr>
          <w:rFonts w:ascii="宋体" w:hAnsi="宋体" w:cs="宋体"/>
          <w:color w:val="auto"/>
          <w:highlight w:val="none"/>
        </w:rPr>
        <w:br w:type="page"/>
      </w:r>
    </w:p>
    <w:p w14:paraId="565CE5AA">
      <w:pPr>
        <w:spacing w:line="360" w:lineRule="auto"/>
        <w:ind w:firstLine="0" w:firstLineChars="0"/>
        <w:outlineLvl w:val="1"/>
        <w:rPr>
          <w:rStyle w:val="146"/>
          <w:rFonts w:hint="eastAsia" w:ascii="黑体" w:hAnsi="黑体" w:cs="黑体"/>
          <w:b w:val="0"/>
          <w:bCs w:val="0"/>
        </w:rPr>
      </w:pPr>
      <w:bookmarkStart w:id="388" w:name="_Toc234382644"/>
      <w:bookmarkStart w:id="389" w:name="_Toc523921646"/>
      <w:r>
        <w:rPr>
          <w:rStyle w:val="146"/>
          <w:rFonts w:ascii="黑体" w:hAnsi="黑体" w:cs="黑体"/>
          <w:b w:val="0"/>
          <w:bCs w:val="0"/>
        </w:rPr>
        <w:t>附件一</w:t>
      </w:r>
      <w:r>
        <w:rPr>
          <w:rStyle w:val="146"/>
          <w:rFonts w:hint="eastAsia" w:ascii="黑体" w:hAnsi="黑体" w:cs="黑体"/>
          <w:b w:val="0"/>
          <w:bCs w:val="0"/>
        </w:rPr>
        <w:t xml:space="preserve">  </w:t>
      </w:r>
      <w:r>
        <w:rPr>
          <w:rStyle w:val="146"/>
          <w:rFonts w:ascii="黑体" w:hAnsi="黑体" w:cs="黑体"/>
          <w:b w:val="0"/>
          <w:bCs w:val="0"/>
        </w:rPr>
        <w:t>开标记录表</w:t>
      </w:r>
      <w:bookmarkEnd w:id="388"/>
      <w:bookmarkEnd w:id="389"/>
    </w:p>
    <w:p w14:paraId="352A5DCC">
      <w:pPr>
        <w:pStyle w:val="276"/>
        <w:spacing w:line="360" w:lineRule="auto"/>
        <w:jc w:val="center"/>
        <w:rPr>
          <w:rFonts w:ascii="黑体" w:hAnsi="黑体" w:eastAsia="黑体" w:cs="宋体"/>
          <w:color w:val="auto"/>
          <w:sz w:val="28"/>
          <w:szCs w:val="28"/>
          <w:highlight w:val="none"/>
        </w:rPr>
      </w:pPr>
      <w:r>
        <w:rPr>
          <w:rFonts w:ascii="宋体" w:hAnsi="宋体" w:cs="宋体"/>
          <w:b/>
          <w:color w:val="auto"/>
          <w:sz w:val="28"/>
          <w:szCs w:val="28"/>
          <w:highlight w:val="none"/>
        </w:rPr>
        <w:t xml:space="preserve"> </w:t>
      </w:r>
      <w:r>
        <w:rPr>
          <w:rFonts w:ascii="黑体" w:hAnsi="黑体" w:eastAsia="黑体" w:cs="宋体"/>
          <w:color w:val="auto"/>
          <w:sz w:val="28"/>
          <w:szCs w:val="28"/>
          <w:highlight w:val="none"/>
          <w:u w:val="single"/>
        </w:rPr>
        <w:t xml:space="preserve">     </w:t>
      </w:r>
      <w:bookmarkStart w:id="390" w:name="_Toc513556646"/>
      <w:bookmarkStart w:id="391" w:name="_Toc513555569"/>
      <w:bookmarkStart w:id="392" w:name="_Toc513555813"/>
      <w:bookmarkStart w:id="393" w:name="_Toc519601470"/>
      <w:bookmarkStart w:id="394" w:name="_Toc509828634"/>
      <w:bookmarkStart w:id="395" w:name="_Toc234382645"/>
      <w:r>
        <w:rPr>
          <w:rFonts w:hint="eastAsia" w:ascii="黑体" w:hAnsi="黑体" w:eastAsia="黑体" w:cs="宋体"/>
          <w:color w:val="auto"/>
          <w:sz w:val="28"/>
          <w:szCs w:val="28"/>
          <w:highlight w:val="none"/>
        </w:rPr>
        <w:t>（招标项目名称）招标第</w:t>
      </w:r>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标段第一个信封（商务及技术文件）</w:t>
      </w:r>
      <w:bookmarkEnd w:id="390"/>
      <w:bookmarkEnd w:id="391"/>
      <w:bookmarkEnd w:id="392"/>
      <w:bookmarkEnd w:id="393"/>
    </w:p>
    <w:p w14:paraId="7AECF5CF">
      <w:pPr>
        <w:pStyle w:val="276"/>
        <w:spacing w:line="360" w:lineRule="auto"/>
        <w:jc w:val="center"/>
        <w:rPr>
          <w:rFonts w:ascii="宋体" w:hAnsi="宋体" w:cs="宋体"/>
          <w:b/>
          <w:color w:val="auto"/>
          <w:sz w:val="28"/>
          <w:szCs w:val="28"/>
          <w:highlight w:val="none"/>
        </w:rPr>
      </w:pPr>
      <w:bookmarkStart w:id="396" w:name="_Toc513556647"/>
      <w:bookmarkStart w:id="397" w:name="_Toc513555814"/>
      <w:bookmarkStart w:id="398" w:name="_Toc513555570"/>
      <w:bookmarkStart w:id="399" w:name="_Toc519601471"/>
      <w:r>
        <w:rPr>
          <w:rFonts w:hint="eastAsia" w:ascii="黑体" w:hAnsi="黑体" w:eastAsia="黑体" w:cs="宋体"/>
          <w:color w:val="auto"/>
          <w:sz w:val="28"/>
          <w:szCs w:val="28"/>
          <w:highlight w:val="none"/>
        </w:rPr>
        <w:t>开标记录表</w:t>
      </w:r>
      <w:bookmarkEnd w:id="394"/>
      <w:bookmarkEnd w:id="395"/>
      <w:bookmarkEnd w:id="396"/>
      <w:bookmarkEnd w:id="397"/>
      <w:bookmarkEnd w:id="398"/>
      <w:bookmarkEnd w:id="399"/>
    </w:p>
    <w:p w14:paraId="102675C8">
      <w:pPr>
        <w:pStyle w:val="276"/>
        <w:spacing w:line="360" w:lineRule="auto"/>
        <w:jc w:val="left"/>
        <w:rPr>
          <w:rFonts w:hint="eastAsia" w:ascii="宋体" w:hAnsi="宋体" w:cs="宋体"/>
          <w:color w:val="auto"/>
          <w:sz w:val="24"/>
          <w:highlight w:val="none"/>
        </w:rPr>
      </w:pPr>
    </w:p>
    <w:p w14:paraId="06DFB9E9">
      <w:pPr>
        <w:pStyle w:val="276"/>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开标时间：</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color w:val="auto"/>
          <w:sz w:val="24"/>
          <w:highlight w:val="none"/>
          <w:u w:val="single"/>
        </w:rPr>
        <w:t xml:space="preserve">    </w:t>
      </w:r>
      <w:r>
        <w:rPr>
          <w:rFonts w:hint="eastAsia" w:ascii="宋体" w:hAnsi="宋体" w:cs="宋体"/>
          <w:color w:val="auto"/>
          <w:sz w:val="24"/>
          <w:highlight w:val="none"/>
        </w:rPr>
        <w:t>时</w:t>
      </w:r>
      <w:r>
        <w:rPr>
          <w:rFonts w:ascii="宋体" w:hAnsi="宋体" w:cs="宋体"/>
          <w:color w:val="auto"/>
          <w:sz w:val="24"/>
          <w:highlight w:val="none"/>
          <w:u w:val="single"/>
        </w:rPr>
        <w:t xml:space="preserve">    </w:t>
      </w:r>
      <w:r>
        <w:rPr>
          <w:rFonts w:hint="eastAsia" w:ascii="宋体" w:hAnsi="宋体" w:cs="宋体"/>
          <w:color w:val="auto"/>
          <w:sz w:val="24"/>
          <w:highlight w:val="none"/>
        </w:rPr>
        <w:t>分</w:t>
      </w:r>
    </w:p>
    <w:tbl>
      <w:tblPr>
        <w:tblStyle w:val="48"/>
        <w:tblW w:w="8658" w:type="dxa"/>
        <w:tblInd w:w="5" w:type="dxa"/>
        <w:tblLayout w:type="fixed"/>
        <w:tblCellMar>
          <w:top w:w="0" w:type="dxa"/>
          <w:left w:w="0" w:type="dxa"/>
          <w:bottom w:w="0" w:type="dxa"/>
          <w:right w:w="0" w:type="dxa"/>
        </w:tblCellMar>
      </w:tblPr>
      <w:tblGrid>
        <w:gridCol w:w="661"/>
        <w:gridCol w:w="2105"/>
        <w:gridCol w:w="1444"/>
        <w:gridCol w:w="1411"/>
        <w:gridCol w:w="1762"/>
        <w:gridCol w:w="1275"/>
      </w:tblGrid>
      <w:tr w14:paraId="43A1971C">
        <w:tblPrEx>
          <w:tblCellMar>
            <w:top w:w="0" w:type="dxa"/>
            <w:left w:w="0" w:type="dxa"/>
            <w:bottom w:w="0" w:type="dxa"/>
            <w:right w:w="0" w:type="dxa"/>
          </w:tblCellMar>
        </w:tblPrEx>
        <w:trPr>
          <w:trHeight w:val="868" w:hRule="atLeast"/>
        </w:trPr>
        <w:tc>
          <w:tcPr>
            <w:tcW w:w="661" w:type="dxa"/>
            <w:tcBorders>
              <w:top w:val="single" w:color="000000" w:sz="4" w:space="0"/>
              <w:left w:val="single" w:color="000000" w:sz="4" w:space="0"/>
              <w:bottom w:val="single" w:color="000000" w:sz="4" w:space="0"/>
              <w:right w:val="single" w:color="000000" w:sz="4" w:space="0"/>
            </w:tcBorders>
            <w:vAlign w:val="center"/>
          </w:tcPr>
          <w:p w14:paraId="2B2774C5">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105" w:type="dxa"/>
            <w:tcBorders>
              <w:top w:val="single" w:color="000000" w:sz="4" w:space="0"/>
              <w:left w:val="single" w:color="000000" w:sz="4" w:space="0"/>
              <w:bottom w:val="single" w:color="000000" w:sz="4" w:space="0"/>
              <w:right w:val="single" w:color="000000" w:sz="4" w:space="0"/>
            </w:tcBorders>
            <w:vAlign w:val="center"/>
          </w:tcPr>
          <w:p w14:paraId="2750030B">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1444" w:type="dxa"/>
            <w:tcBorders>
              <w:top w:val="single" w:color="000000" w:sz="4" w:space="0"/>
              <w:left w:val="single" w:color="000000" w:sz="4" w:space="0"/>
              <w:bottom w:val="single" w:color="000000" w:sz="4" w:space="0"/>
              <w:right w:val="single" w:color="000000" w:sz="4" w:space="0"/>
            </w:tcBorders>
            <w:vAlign w:val="center"/>
          </w:tcPr>
          <w:p w14:paraId="59BDBFC6">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投标保证金</w:t>
            </w:r>
          </w:p>
          <w:p w14:paraId="59EFAEB9">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提交</w:t>
            </w:r>
            <w:r>
              <w:rPr>
                <w:rFonts w:hint="eastAsia" w:ascii="宋体" w:hAnsi="宋体" w:cs="宋体"/>
                <w:color w:val="auto"/>
                <w:szCs w:val="21"/>
                <w:highlight w:val="none"/>
              </w:rPr>
              <w:t>情况</w:t>
            </w:r>
          </w:p>
        </w:tc>
        <w:tc>
          <w:tcPr>
            <w:tcW w:w="1411" w:type="dxa"/>
            <w:tcBorders>
              <w:top w:val="single" w:color="000000" w:sz="4" w:space="0"/>
              <w:left w:val="single" w:color="auto" w:sz="4" w:space="0"/>
              <w:bottom w:val="single" w:color="000000" w:sz="4" w:space="0"/>
              <w:right w:val="single" w:color="auto" w:sz="4" w:space="0"/>
            </w:tcBorders>
            <w:vAlign w:val="center"/>
          </w:tcPr>
          <w:p w14:paraId="420A7334">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监理试验室服务期限</w:t>
            </w:r>
          </w:p>
        </w:tc>
        <w:tc>
          <w:tcPr>
            <w:tcW w:w="1762" w:type="dxa"/>
            <w:tcBorders>
              <w:top w:val="single" w:color="000000" w:sz="4" w:space="0"/>
              <w:left w:val="single" w:color="auto" w:sz="4" w:space="0"/>
              <w:bottom w:val="single" w:color="000000" w:sz="4" w:space="0"/>
              <w:right w:val="single" w:color="auto" w:sz="4" w:space="0"/>
            </w:tcBorders>
            <w:vAlign w:val="center"/>
          </w:tcPr>
          <w:p w14:paraId="1E66BD97">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试验室主任</w:t>
            </w:r>
          </w:p>
          <w:p w14:paraId="3844B9EE">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姓名</w:t>
            </w:r>
            <w:r>
              <w:rPr>
                <w:rFonts w:ascii="宋体" w:hAnsi="宋体" w:cs="宋体"/>
                <w:color w:val="auto"/>
                <w:szCs w:val="21"/>
                <w:highlight w:val="none"/>
              </w:rPr>
              <w:t>/证书</w:t>
            </w:r>
            <w:r>
              <w:rPr>
                <w:rFonts w:hint="eastAsia" w:ascii="宋体" w:hAnsi="宋体" w:cs="宋体"/>
                <w:color w:val="auto"/>
                <w:szCs w:val="21"/>
                <w:highlight w:val="none"/>
              </w:rPr>
              <w:t>编号</w:t>
            </w:r>
          </w:p>
        </w:tc>
        <w:tc>
          <w:tcPr>
            <w:tcW w:w="1275" w:type="dxa"/>
            <w:tcBorders>
              <w:top w:val="single" w:color="000000" w:sz="4" w:space="0"/>
              <w:left w:val="single" w:color="auto" w:sz="4" w:space="0"/>
              <w:bottom w:val="single" w:color="000000" w:sz="4" w:space="0"/>
              <w:right w:val="single" w:color="000000" w:sz="4" w:space="0"/>
            </w:tcBorders>
            <w:vAlign w:val="center"/>
          </w:tcPr>
          <w:p w14:paraId="15E4E0F8">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7B3043AD">
        <w:tblPrEx>
          <w:tblCellMar>
            <w:top w:w="0" w:type="dxa"/>
            <w:left w:w="0" w:type="dxa"/>
            <w:bottom w:w="0" w:type="dxa"/>
            <w:right w:w="0" w:type="dxa"/>
          </w:tblCellMar>
        </w:tblPrEx>
        <w:trPr>
          <w:trHeight w:val="625" w:hRule="atLeast"/>
        </w:trPr>
        <w:tc>
          <w:tcPr>
            <w:tcW w:w="661" w:type="dxa"/>
            <w:tcBorders>
              <w:top w:val="single" w:color="000000" w:sz="4" w:space="0"/>
              <w:left w:val="single" w:color="000000" w:sz="4" w:space="0"/>
              <w:bottom w:val="single" w:color="000000" w:sz="4" w:space="0"/>
              <w:right w:val="single" w:color="000000" w:sz="4" w:space="0"/>
            </w:tcBorders>
            <w:vAlign w:val="center"/>
          </w:tcPr>
          <w:p w14:paraId="1D2C35C7">
            <w:pPr>
              <w:pStyle w:val="276"/>
              <w:spacing w:line="400" w:lineRule="exact"/>
              <w:rPr>
                <w:rFonts w:ascii="宋体" w:hAnsi="宋体" w:cs="宋体"/>
                <w:color w:val="auto"/>
                <w:szCs w:val="21"/>
                <w:highlight w:val="none"/>
              </w:rPr>
            </w:pPr>
          </w:p>
        </w:tc>
        <w:tc>
          <w:tcPr>
            <w:tcW w:w="2105" w:type="dxa"/>
            <w:tcBorders>
              <w:top w:val="single" w:color="000000" w:sz="4" w:space="0"/>
              <w:left w:val="single" w:color="000000" w:sz="4" w:space="0"/>
              <w:bottom w:val="single" w:color="000000" w:sz="4" w:space="0"/>
              <w:right w:val="single" w:color="000000" w:sz="4" w:space="0"/>
            </w:tcBorders>
            <w:vAlign w:val="center"/>
          </w:tcPr>
          <w:p w14:paraId="17FB8C8F">
            <w:pPr>
              <w:pStyle w:val="276"/>
              <w:spacing w:line="400" w:lineRule="exact"/>
              <w:rPr>
                <w:rFonts w:ascii="宋体" w:hAnsi="宋体" w:cs="宋体"/>
                <w:color w:val="auto"/>
                <w:szCs w:val="21"/>
                <w:highlight w:val="none"/>
              </w:rPr>
            </w:pPr>
          </w:p>
        </w:tc>
        <w:tc>
          <w:tcPr>
            <w:tcW w:w="1444" w:type="dxa"/>
            <w:tcBorders>
              <w:top w:val="single" w:color="000000" w:sz="4" w:space="0"/>
              <w:left w:val="single" w:color="000000" w:sz="4" w:space="0"/>
              <w:bottom w:val="single" w:color="000000" w:sz="4" w:space="0"/>
              <w:right w:val="single" w:color="000000" w:sz="4" w:space="0"/>
            </w:tcBorders>
            <w:vAlign w:val="center"/>
          </w:tcPr>
          <w:p w14:paraId="70C71765">
            <w:pPr>
              <w:pStyle w:val="276"/>
              <w:spacing w:line="400" w:lineRule="exact"/>
              <w:rPr>
                <w:rFonts w:ascii="宋体" w:hAnsi="宋体" w:cs="宋体"/>
                <w:color w:val="auto"/>
                <w:szCs w:val="21"/>
                <w:highlight w:val="none"/>
              </w:rPr>
            </w:pPr>
          </w:p>
        </w:tc>
        <w:tc>
          <w:tcPr>
            <w:tcW w:w="1411" w:type="dxa"/>
            <w:tcBorders>
              <w:top w:val="single" w:color="000000" w:sz="4" w:space="0"/>
              <w:left w:val="single" w:color="auto" w:sz="4" w:space="0"/>
              <w:bottom w:val="single" w:color="000000" w:sz="4" w:space="0"/>
              <w:right w:val="single" w:color="auto" w:sz="4" w:space="0"/>
            </w:tcBorders>
            <w:vAlign w:val="center"/>
          </w:tcPr>
          <w:p w14:paraId="550E2FB3">
            <w:pPr>
              <w:pStyle w:val="276"/>
              <w:spacing w:line="400" w:lineRule="exact"/>
              <w:rPr>
                <w:rFonts w:ascii="宋体" w:hAnsi="宋体" w:cs="宋体"/>
                <w:color w:val="auto"/>
                <w:szCs w:val="21"/>
                <w:highlight w:val="none"/>
              </w:rPr>
            </w:pPr>
          </w:p>
        </w:tc>
        <w:tc>
          <w:tcPr>
            <w:tcW w:w="1762" w:type="dxa"/>
            <w:tcBorders>
              <w:top w:val="single" w:color="000000" w:sz="4" w:space="0"/>
              <w:left w:val="single" w:color="auto" w:sz="4" w:space="0"/>
              <w:bottom w:val="single" w:color="000000" w:sz="4" w:space="0"/>
              <w:right w:val="single" w:color="auto" w:sz="4" w:space="0"/>
            </w:tcBorders>
          </w:tcPr>
          <w:p w14:paraId="1FC12F7E">
            <w:pPr>
              <w:pStyle w:val="276"/>
              <w:spacing w:line="400" w:lineRule="exact"/>
              <w:rPr>
                <w:rFonts w:ascii="宋体" w:hAnsi="宋体" w:cs="宋体"/>
                <w:color w:val="auto"/>
                <w:szCs w:val="21"/>
                <w:highlight w:val="none"/>
              </w:rPr>
            </w:pPr>
          </w:p>
        </w:tc>
        <w:tc>
          <w:tcPr>
            <w:tcW w:w="1275" w:type="dxa"/>
            <w:tcBorders>
              <w:top w:val="single" w:color="000000" w:sz="4" w:space="0"/>
              <w:left w:val="single" w:color="auto" w:sz="4" w:space="0"/>
              <w:bottom w:val="single" w:color="000000" w:sz="4" w:space="0"/>
              <w:right w:val="single" w:color="000000" w:sz="4" w:space="0"/>
            </w:tcBorders>
            <w:vAlign w:val="center"/>
          </w:tcPr>
          <w:p w14:paraId="5E3D2E0F">
            <w:pPr>
              <w:pStyle w:val="276"/>
              <w:spacing w:line="400" w:lineRule="exact"/>
              <w:rPr>
                <w:rFonts w:ascii="宋体" w:hAnsi="宋体" w:cs="宋体"/>
                <w:color w:val="auto"/>
                <w:szCs w:val="21"/>
                <w:highlight w:val="none"/>
              </w:rPr>
            </w:pPr>
          </w:p>
        </w:tc>
      </w:tr>
      <w:tr w14:paraId="05E4AA47">
        <w:tblPrEx>
          <w:tblCellMar>
            <w:top w:w="0" w:type="dxa"/>
            <w:left w:w="0" w:type="dxa"/>
            <w:bottom w:w="0" w:type="dxa"/>
            <w:right w:w="0" w:type="dxa"/>
          </w:tblCellMar>
        </w:tblPrEx>
        <w:trPr>
          <w:trHeight w:val="625" w:hRule="atLeast"/>
        </w:trPr>
        <w:tc>
          <w:tcPr>
            <w:tcW w:w="661" w:type="dxa"/>
            <w:tcBorders>
              <w:top w:val="single" w:color="000000" w:sz="4" w:space="0"/>
              <w:left w:val="single" w:color="000000" w:sz="4" w:space="0"/>
              <w:bottom w:val="single" w:color="000000" w:sz="4" w:space="0"/>
              <w:right w:val="single" w:color="000000" w:sz="4" w:space="0"/>
            </w:tcBorders>
            <w:vAlign w:val="center"/>
          </w:tcPr>
          <w:p w14:paraId="730E287F">
            <w:pPr>
              <w:pStyle w:val="276"/>
              <w:spacing w:line="400" w:lineRule="exact"/>
              <w:rPr>
                <w:rFonts w:ascii="宋体" w:hAnsi="宋体" w:cs="宋体"/>
                <w:color w:val="auto"/>
                <w:szCs w:val="21"/>
                <w:highlight w:val="none"/>
              </w:rPr>
            </w:pPr>
          </w:p>
        </w:tc>
        <w:tc>
          <w:tcPr>
            <w:tcW w:w="2105" w:type="dxa"/>
            <w:tcBorders>
              <w:top w:val="single" w:color="000000" w:sz="4" w:space="0"/>
              <w:left w:val="single" w:color="000000" w:sz="4" w:space="0"/>
              <w:bottom w:val="single" w:color="000000" w:sz="4" w:space="0"/>
              <w:right w:val="single" w:color="000000" w:sz="4" w:space="0"/>
            </w:tcBorders>
            <w:vAlign w:val="center"/>
          </w:tcPr>
          <w:p w14:paraId="3C17CDB6">
            <w:pPr>
              <w:pStyle w:val="276"/>
              <w:spacing w:line="400" w:lineRule="exact"/>
              <w:rPr>
                <w:rFonts w:ascii="宋体" w:hAnsi="宋体" w:cs="宋体"/>
                <w:color w:val="auto"/>
                <w:szCs w:val="21"/>
                <w:highlight w:val="none"/>
              </w:rPr>
            </w:pPr>
          </w:p>
        </w:tc>
        <w:tc>
          <w:tcPr>
            <w:tcW w:w="1444" w:type="dxa"/>
            <w:tcBorders>
              <w:top w:val="single" w:color="000000" w:sz="4" w:space="0"/>
              <w:left w:val="single" w:color="000000" w:sz="4" w:space="0"/>
              <w:bottom w:val="single" w:color="000000" w:sz="4" w:space="0"/>
              <w:right w:val="single" w:color="000000" w:sz="4" w:space="0"/>
            </w:tcBorders>
            <w:vAlign w:val="center"/>
          </w:tcPr>
          <w:p w14:paraId="10110B76">
            <w:pPr>
              <w:pStyle w:val="276"/>
              <w:spacing w:line="400" w:lineRule="exact"/>
              <w:rPr>
                <w:rFonts w:ascii="宋体" w:hAnsi="宋体" w:cs="宋体"/>
                <w:color w:val="auto"/>
                <w:szCs w:val="21"/>
                <w:highlight w:val="none"/>
              </w:rPr>
            </w:pPr>
          </w:p>
        </w:tc>
        <w:tc>
          <w:tcPr>
            <w:tcW w:w="1411" w:type="dxa"/>
            <w:tcBorders>
              <w:top w:val="single" w:color="000000" w:sz="4" w:space="0"/>
              <w:left w:val="single" w:color="auto" w:sz="4" w:space="0"/>
              <w:bottom w:val="single" w:color="000000" w:sz="4" w:space="0"/>
              <w:right w:val="single" w:color="auto" w:sz="4" w:space="0"/>
            </w:tcBorders>
            <w:vAlign w:val="center"/>
          </w:tcPr>
          <w:p w14:paraId="2E9B5F84">
            <w:pPr>
              <w:pStyle w:val="276"/>
              <w:spacing w:line="400" w:lineRule="exact"/>
              <w:rPr>
                <w:rFonts w:ascii="宋体" w:hAnsi="宋体" w:cs="宋体"/>
                <w:color w:val="auto"/>
                <w:szCs w:val="21"/>
                <w:highlight w:val="none"/>
              </w:rPr>
            </w:pPr>
          </w:p>
        </w:tc>
        <w:tc>
          <w:tcPr>
            <w:tcW w:w="1762" w:type="dxa"/>
            <w:tcBorders>
              <w:top w:val="single" w:color="000000" w:sz="4" w:space="0"/>
              <w:left w:val="single" w:color="auto" w:sz="4" w:space="0"/>
              <w:bottom w:val="single" w:color="000000" w:sz="4" w:space="0"/>
              <w:right w:val="single" w:color="auto" w:sz="4" w:space="0"/>
            </w:tcBorders>
          </w:tcPr>
          <w:p w14:paraId="2AB56EDF">
            <w:pPr>
              <w:pStyle w:val="276"/>
              <w:spacing w:line="400" w:lineRule="exact"/>
              <w:rPr>
                <w:rFonts w:ascii="宋体" w:hAnsi="宋体" w:cs="宋体"/>
                <w:color w:val="auto"/>
                <w:szCs w:val="21"/>
                <w:highlight w:val="none"/>
              </w:rPr>
            </w:pPr>
          </w:p>
        </w:tc>
        <w:tc>
          <w:tcPr>
            <w:tcW w:w="1275" w:type="dxa"/>
            <w:tcBorders>
              <w:top w:val="single" w:color="000000" w:sz="4" w:space="0"/>
              <w:left w:val="single" w:color="auto" w:sz="4" w:space="0"/>
              <w:bottom w:val="single" w:color="000000" w:sz="4" w:space="0"/>
              <w:right w:val="single" w:color="000000" w:sz="4" w:space="0"/>
            </w:tcBorders>
            <w:vAlign w:val="center"/>
          </w:tcPr>
          <w:p w14:paraId="5CC44C04">
            <w:pPr>
              <w:pStyle w:val="276"/>
              <w:spacing w:line="400" w:lineRule="exact"/>
              <w:rPr>
                <w:rFonts w:ascii="宋体" w:hAnsi="宋体" w:cs="宋体"/>
                <w:color w:val="auto"/>
                <w:szCs w:val="21"/>
                <w:highlight w:val="none"/>
              </w:rPr>
            </w:pPr>
          </w:p>
        </w:tc>
      </w:tr>
      <w:tr w14:paraId="24CDC959">
        <w:tblPrEx>
          <w:tblCellMar>
            <w:top w:w="0" w:type="dxa"/>
            <w:left w:w="0" w:type="dxa"/>
            <w:bottom w:w="0" w:type="dxa"/>
            <w:right w:w="0" w:type="dxa"/>
          </w:tblCellMar>
        </w:tblPrEx>
        <w:trPr>
          <w:trHeight w:val="625" w:hRule="atLeast"/>
        </w:trPr>
        <w:tc>
          <w:tcPr>
            <w:tcW w:w="661" w:type="dxa"/>
            <w:tcBorders>
              <w:top w:val="single" w:color="000000" w:sz="4" w:space="0"/>
              <w:left w:val="single" w:color="000000" w:sz="4" w:space="0"/>
              <w:bottom w:val="single" w:color="000000" w:sz="4" w:space="0"/>
              <w:right w:val="single" w:color="000000" w:sz="4" w:space="0"/>
            </w:tcBorders>
            <w:vAlign w:val="center"/>
          </w:tcPr>
          <w:p w14:paraId="66A8C03E">
            <w:pPr>
              <w:pStyle w:val="276"/>
              <w:spacing w:line="400" w:lineRule="exact"/>
              <w:rPr>
                <w:rFonts w:ascii="宋体" w:hAnsi="宋体" w:cs="宋体"/>
                <w:color w:val="auto"/>
                <w:szCs w:val="21"/>
                <w:highlight w:val="none"/>
              </w:rPr>
            </w:pPr>
          </w:p>
        </w:tc>
        <w:tc>
          <w:tcPr>
            <w:tcW w:w="2105" w:type="dxa"/>
            <w:tcBorders>
              <w:top w:val="single" w:color="000000" w:sz="4" w:space="0"/>
              <w:left w:val="single" w:color="000000" w:sz="4" w:space="0"/>
              <w:bottom w:val="single" w:color="000000" w:sz="4" w:space="0"/>
              <w:right w:val="single" w:color="000000" w:sz="4" w:space="0"/>
            </w:tcBorders>
            <w:vAlign w:val="center"/>
          </w:tcPr>
          <w:p w14:paraId="595138CC">
            <w:pPr>
              <w:pStyle w:val="276"/>
              <w:spacing w:line="400" w:lineRule="exact"/>
              <w:rPr>
                <w:rFonts w:ascii="宋体" w:hAnsi="宋体" w:cs="宋体"/>
                <w:color w:val="auto"/>
                <w:szCs w:val="21"/>
                <w:highlight w:val="none"/>
              </w:rPr>
            </w:pPr>
          </w:p>
        </w:tc>
        <w:tc>
          <w:tcPr>
            <w:tcW w:w="1444" w:type="dxa"/>
            <w:tcBorders>
              <w:top w:val="single" w:color="000000" w:sz="4" w:space="0"/>
              <w:left w:val="single" w:color="000000" w:sz="4" w:space="0"/>
              <w:bottom w:val="single" w:color="000000" w:sz="4" w:space="0"/>
              <w:right w:val="single" w:color="000000" w:sz="4" w:space="0"/>
            </w:tcBorders>
            <w:vAlign w:val="center"/>
          </w:tcPr>
          <w:p w14:paraId="574DFBCB">
            <w:pPr>
              <w:pStyle w:val="276"/>
              <w:spacing w:line="400" w:lineRule="exact"/>
              <w:rPr>
                <w:rFonts w:ascii="宋体" w:hAnsi="宋体" w:cs="宋体"/>
                <w:color w:val="auto"/>
                <w:szCs w:val="21"/>
                <w:highlight w:val="none"/>
              </w:rPr>
            </w:pPr>
          </w:p>
        </w:tc>
        <w:tc>
          <w:tcPr>
            <w:tcW w:w="1411" w:type="dxa"/>
            <w:tcBorders>
              <w:top w:val="single" w:color="000000" w:sz="4" w:space="0"/>
              <w:left w:val="single" w:color="auto" w:sz="4" w:space="0"/>
              <w:bottom w:val="single" w:color="000000" w:sz="4" w:space="0"/>
              <w:right w:val="single" w:color="auto" w:sz="4" w:space="0"/>
            </w:tcBorders>
            <w:vAlign w:val="center"/>
          </w:tcPr>
          <w:p w14:paraId="5CC41CF6">
            <w:pPr>
              <w:pStyle w:val="276"/>
              <w:spacing w:line="400" w:lineRule="exact"/>
              <w:rPr>
                <w:rFonts w:ascii="宋体" w:hAnsi="宋体" w:cs="宋体"/>
                <w:color w:val="auto"/>
                <w:szCs w:val="21"/>
                <w:highlight w:val="none"/>
              </w:rPr>
            </w:pPr>
          </w:p>
        </w:tc>
        <w:tc>
          <w:tcPr>
            <w:tcW w:w="1762" w:type="dxa"/>
            <w:tcBorders>
              <w:top w:val="single" w:color="000000" w:sz="4" w:space="0"/>
              <w:left w:val="single" w:color="auto" w:sz="4" w:space="0"/>
              <w:bottom w:val="single" w:color="000000" w:sz="4" w:space="0"/>
              <w:right w:val="single" w:color="auto" w:sz="4" w:space="0"/>
            </w:tcBorders>
          </w:tcPr>
          <w:p w14:paraId="036BBBC0">
            <w:pPr>
              <w:pStyle w:val="276"/>
              <w:spacing w:line="400" w:lineRule="exact"/>
              <w:rPr>
                <w:rFonts w:ascii="宋体" w:hAnsi="宋体" w:cs="宋体"/>
                <w:color w:val="auto"/>
                <w:szCs w:val="21"/>
                <w:highlight w:val="none"/>
              </w:rPr>
            </w:pPr>
          </w:p>
        </w:tc>
        <w:tc>
          <w:tcPr>
            <w:tcW w:w="1275" w:type="dxa"/>
            <w:tcBorders>
              <w:top w:val="single" w:color="000000" w:sz="4" w:space="0"/>
              <w:left w:val="single" w:color="auto" w:sz="4" w:space="0"/>
              <w:bottom w:val="single" w:color="000000" w:sz="4" w:space="0"/>
              <w:right w:val="single" w:color="000000" w:sz="4" w:space="0"/>
            </w:tcBorders>
            <w:vAlign w:val="center"/>
          </w:tcPr>
          <w:p w14:paraId="1AF556D4">
            <w:pPr>
              <w:pStyle w:val="276"/>
              <w:spacing w:line="400" w:lineRule="exact"/>
              <w:rPr>
                <w:rFonts w:ascii="宋体" w:hAnsi="宋体" w:cs="宋体"/>
                <w:color w:val="auto"/>
                <w:szCs w:val="21"/>
                <w:highlight w:val="none"/>
              </w:rPr>
            </w:pPr>
          </w:p>
        </w:tc>
      </w:tr>
      <w:tr w14:paraId="4F9C4A94">
        <w:tblPrEx>
          <w:tblCellMar>
            <w:top w:w="0" w:type="dxa"/>
            <w:left w:w="0" w:type="dxa"/>
            <w:bottom w:w="0" w:type="dxa"/>
            <w:right w:w="0" w:type="dxa"/>
          </w:tblCellMar>
        </w:tblPrEx>
        <w:trPr>
          <w:trHeight w:val="625" w:hRule="atLeast"/>
        </w:trPr>
        <w:tc>
          <w:tcPr>
            <w:tcW w:w="661" w:type="dxa"/>
            <w:tcBorders>
              <w:top w:val="single" w:color="000000" w:sz="4" w:space="0"/>
              <w:left w:val="single" w:color="000000" w:sz="4" w:space="0"/>
              <w:bottom w:val="single" w:color="000000" w:sz="4" w:space="0"/>
              <w:right w:val="single" w:color="000000" w:sz="4" w:space="0"/>
            </w:tcBorders>
            <w:vAlign w:val="center"/>
          </w:tcPr>
          <w:p w14:paraId="5100BA2C">
            <w:pPr>
              <w:pStyle w:val="276"/>
              <w:spacing w:line="400" w:lineRule="exact"/>
              <w:rPr>
                <w:rFonts w:ascii="宋体" w:hAnsi="宋体" w:cs="宋体"/>
                <w:color w:val="auto"/>
                <w:szCs w:val="21"/>
                <w:highlight w:val="none"/>
              </w:rPr>
            </w:pPr>
          </w:p>
        </w:tc>
        <w:tc>
          <w:tcPr>
            <w:tcW w:w="2105" w:type="dxa"/>
            <w:tcBorders>
              <w:top w:val="single" w:color="000000" w:sz="4" w:space="0"/>
              <w:left w:val="single" w:color="000000" w:sz="4" w:space="0"/>
              <w:bottom w:val="single" w:color="000000" w:sz="4" w:space="0"/>
              <w:right w:val="single" w:color="000000" w:sz="4" w:space="0"/>
            </w:tcBorders>
            <w:vAlign w:val="center"/>
          </w:tcPr>
          <w:p w14:paraId="0C9A89D9">
            <w:pPr>
              <w:pStyle w:val="276"/>
              <w:spacing w:line="400" w:lineRule="exact"/>
              <w:rPr>
                <w:rFonts w:ascii="宋体" w:hAnsi="宋体" w:cs="宋体"/>
                <w:color w:val="auto"/>
                <w:szCs w:val="21"/>
                <w:highlight w:val="none"/>
              </w:rPr>
            </w:pPr>
          </w:p>
        </w:tc>
        <w:tc>
          <w:tcPr>
            <w:tcW w:w="1444" w:type="dxa"/>
            <w:tcBorders>
              <w:top w:val="single" w:color="000000" w:sz="4" w:space="0"/>
              <w:left w:val="single" w:color="000000" w:sz="4" w:space="0"/>
              <w:bottom w:val="single" w:color="000000" w:sz="4" w:space="0"/>
              <w:right w:val="single" w:color="000000" w:sz="4" w:space="0"/>
            </w:tcBorders>
            <w:vAlign w:val="center"/>
          </w:tcPr>
          <w:p w14:paraId="3858BB1E">
            <w:pPr>
              <w:pStyle w:val="276"/>
              <w:spacing w:line="400" w:lineRule="exact"/>
              <w:rPr>
                <w:rFonts w:ascii="宋体" w:hAnsi="宋体" w:cs="宋体"/>
                <w:color w:val="auto"/>
                <w:szCs w:val="21"/>
                <w:highlight w:val="none"/>
              </w:rPr>
            </w:pPr>
          </w:p>
        </w:tc>
        <w:tc>
          <w:tcPr>
            <w:tcW w:w="1411" w:type="dxa"/>
            <w:tcBorders>
              <w:top w:val="single" w:color="000000" w:sz="4" w:space="0"/>
              <w:left w:val="single" w:color="auto" w:sz="4" w:space="0"/>
              <w:bottom w:val="single" w:color="000000" w:sz="4" w:space="0"/>
              <w:right w:val="single" w:color="auto" w:sz="4" w:space="0"/>
            </w:tcBorders>
            <w:vAlign w:val="center"/>
          </w:tcPr>
          <w:p w14:paraId="0747BE70">
            <w:pPr>
              <w:pStyle w:val="276"/>
              <w:spacing w:line="400" w:lineRule="exact"/>
              <w:rPr>
                <w:rFonts w:ascii="宋体" w:hAnsi="宋体" w:cs="宋体"/>
                <w:color w:val="auto"/>
                <w:szCs w:val="21"/>
                <w:highlight w:val="none"/>
              </w:rPr>
            </w:pPr>
          </w:p>
        </w:tc>
        <w:tc>
          <w:tcPr>
            <w:tcW w:w="1762" w:type="dxa"/>
            <w:tcBorders>
              <w:top w:val="single" w:color="000000" w:sz="4" w:space="0"/>
              <w:left w:val="single" w:color="auto" w:sz="4" w:space="0"/>
              <w:bottom w:val="single" w:color="000000" w:sz="4" w:space="0"/>
              <w:right w:val="single" w:color="auto" w:sz="4" w:space="0"/>
            </w:tcBorders>
          </w:tcPr>
          <w:p w14:paraId="5C698ADE">
            <w:pPr>
              <w:pStyle w:val="276"/>
              <w:spacing w:line="400" w:lineRule="exact"/>
              <w:rPr>
                <w:rFonts w:ascii="宋体" w:hAnsi="宋体" w:cs="宋体"/>
                <w:color w:val="auto"/>
                <w:szCs w:val="21"/>
                <w:highlight w:val="none"/>
              </w:rPr>
            </w:pPr>
          </w:p>
        </w:tc>
        <w:tc>
          <w:tcPr>
            <w:tcW w:w="1275" w:type="dxa"/>
            <w:tcBorders>
              <w:top w:val="single" w:color="000000" w:sz="4" w:space="0"/>
              <w:left w:val="single" w:color="auto" w:sz="4" w:space="0"/>
              <w:bottom w:val="single" w:color="000000" w:sz="4" w:space="0"/>
              <w:right w:val="single" w:color="000000" w:sz="4" w:space="0"/>
            </w:tcBorders>
            <w:vAlign w:val="center"/>
          </w:tcPr>
          <w:p w14:paraId="74CD50AA">
            <w:pPr>
              <w:pStyle w:val="276"/>
              <w:spacing w:line="400" w:lineRule="exact"/>
              <w:rPr>
                <w:rFonts w:ascii="宋体" w:hAnsi="宋体" w:cs="宋体"/>
                <w:color w:val="auto"/>
                <w:szCs w:val="21"/>
                <w:highlight w:val="none"/>
              </w:rPr>
            </w:pPr>
          </w:p>
        </w:tc>
      </w:tr>
      <w:tr w14:paraId="4E511F3A">
        <w:tblPrEx>
          <w:tblCellMar>
            <w:top w:w="0" w:type="dxa"/>
            <w:left w:w="0" w:type="dxa"/>
            <w:bottom w:w="0" w:type="dxa"/>
            <w:right w:w="0" w:type="dxa"/>
          </w:tblCellMar>
        </w:tblPrEx>
        <w:trPr>
          <w:trHeight w:val="625" w:hRule="atLeast"/>
        </w:trPr>
        <w:tc>
          <w:tcPr>
            <w:tcW w:w="661" w:type="dxa"/>
            <w:tcBorders>
              <w:top w:val="single" w:color="000000" w:sz="4" w:space="0"/>
              <w:left w:val="single" w:color="000000" w:sz="4" w:space="0"/>
              <w:bottom w:val="single" w:color="000000" w:sz="4" w:space="0"/>
              <w:right w:val="single" w:color="000000" w:sz="4" w:space="0"/>
            </w:tcBorders>
            <w:vAlign w:val="center"/>
          </w:tcPr>
          <w:p w14:paraId="127DE4D8">
            <w:pPr>
              <w:pStyle w:val="276"/>
              <w:spacing w:line="400" w:lineRule="exact"/>
              <w:rPr>
                <w:rFonts w:ascii="宋体" w:hAnsi="宋体" w:cs="宋体"/>
                <w:color w:val="auto"/>
                <w:szCs w:val="21"/>
                <w:highlight w:val="none"/>
              </w:rPr>
            </w:pPr>
          </w:p>
        </w:tc>
        <w:tc>
          <w:tcPr>
            <w:tcW w:w="2105" w:type="dxa"/>
            <w:tcBorders>
              <w:top w:val="single" w:color="000000" w:sz="4" w:space="0"/>
              <w:left w:val="single" w:color="000000" w:sz="4" w:space="0"/>
              <w:bottom w:val="single" w:color="000000" w:sz="4" w:space="0"/>
              <w:right w:val="single" w:color="000000" w:sz="4" w:space="0"/>
            </w:tcBorders>
            <w:vAlign w:val="center"/>
          </w:tcPr>
          <w:p w14:paraId="2C271A2D">
            <w:pPr>
              <w:pStyle w:val="276"/>
              <w:spacing w:line="400" w:lineRule="exact"/>
              <w:rPr>
                <w:rFonts w:ascii="宋体" w:hAnsi="宋体" w:cs="宋体"/>
                <w:color w:val="auto"/>
                <w:szCs w:val="21"/>
                <w:highlight w:val="none"/>
              </w:rPr>
            </w:pPr>
          </w:p>
        </w:tc>
        <w:tc>
          <w:tcPr>
            <w:tcW w:w="1444" w:type="dxa"/>
            <w:tcBorders>
              <w:top w:val="single" w:color="000000" w:sz="4" w:space="0"/>
              <w:left w:val="single" w:color="000000" w:sz="4" w:space="0"/>
              <w:bottom w:val="single" w:color="000000" w:sz="4" w:space="0"/>
              <w:right w:val="single" w:color="000000" w:sz="4" w:space="0"/>
            </w:tcBorders>
            <w:vAlign w:val="center"/>
          </w:tcPr>
          <w:p w14:paraId="0FF17BD8">
            <w:pPr>
              <w:pStyle w:val="276"/>
              <w:spacing w:line="400" w:lineRule="exact"/>
              <w:rPr>
                <w:rFonts w:ascii="宋体" w:hAnsi="宋体" w:cs="宋体"/>
                <w:color w:val="auto"/>
                <w:szCs w:val="21"/>
                <w:highlight w:val="none"/>
              </w:rPr>
            </w:pPr>
          </w:p>
        </w:tc>
        <w:tc>
          <w:tcPr>
            <w:tcW w:w="1411" w:type="dxa"/>
            <w:tcBorders>
              <w:top w:val="single" w:color="000000" w:sz="4" w:space="0"/>
              <w:left w:val="single" w:color="auto" w:sz="4" w:space="0"/>
              <w:bottom w:val="single" w:color="000000" w:sz="4" w:space="0"/>
              <w:right w:val="single" w:color="auto" w:sz="4" w:space="0"/>
            </w:tcBorders>
            <w:vAlign w:val="center"/>
          </w:tcPr>
          <w:p w14:paraId="45C738DD">
            <w:pPr>
              <w:pStyle w:val="276"/>
              <w:spacing w:line="400" w:lineRule="exact"/>
              <w:rPr>
                <w:rFonts w:ascii="宋体" w:hAnsi="宋体" w:cs="宋体"/>
                <w:color w:val="auto"/>
                <w:szCs w:val="21"/>
                <w:highlight w:val="none"/>
              </w:rPr>
            </w:pPr>
          </w:p>
        </w:tc>
        <w:tc>
          <w:tcPr>
            <w:tcW w:w="1762" w:type="dxa"/>
            <w:tcBorders>
              <w:top w:val="single" w:color="000000" w:sz="4" w:space="0"/>
              <w:left w:val="single" w:color="auto" w:sz="4" w:space="0"/>
              <w:bottom w:val="single" w:color="000000" w:sz="4" w:space="0"/>
              <w:right w:val="single" w:color="auto" w:sz="4" w:space="0"/>
            </w:tcBorders>
          </w:tcPr>
          <w:p w14:paraId="01EB725B">
            <w:pPr>
              <w:pStyle w:val="276"/>
              <w:spacing w:line="400" w:lineRule="exact"/>
              <w:rPr>
                <w:rFonts w:ascii="宋体" w:hAnsi="宋体" w:cs="宋体"/>
                <w:color w:val="auto"/>
                <w:szCs w:val="21"/>
                <w:highlight w:val="none"/>
              </w:rPr>
            </w:pPr>
          </w:p>
        </w:tc>
        <w:tc>
          <w:tcPr>
            <w:tcW w:w="1275" w:type="dxa"/>
            <w:tcBorders>
              <w:top w:val="single" w:color="000000" w:sz="4" w:space="0"/>
              <w:left w:val="single" w:color="auto" w:sz="4" w:space="0"/>
              <w:bottom w:val="single" w:color="000000" w:sz="4" w:space="0"/>
              <w:right w:val="single" w:color="000000" w:sz="4" w:space="0"/>
            </w:tcBorders>
            <w:vAlign w:val="center"/>
          </w:tcPr>
          <w:p w14:paraId="16D6DEDF">
            <w:pPr>
              <w:pStyle w:val="276"/>
              <w:spacing w:line="400" w:lineRule="exact"/>
              <w:rPr>
                <w:rFonts w:ascii="宋体" w:hAnsi="宋体" w:cs="宋体"/>
                <w:color w:val="auto"/>
                <w:szCs w:val="21"/>
                <w:highlight w:val="none"/>
              </w:rPr>
            </w:pPr>
          </w:p>
        </w:tc>
      </w:tr>
      <w:tr w14:paraId="111156EF">
        <w:tblPrEx>
          <w:tblCellMar>
            <w:top w:w="0" w:type="dxa"/>
            <w:left w:w="0" w:type="dxa"/>
            <w:bottom w:w="0" w:type="dxa"/>
            <w:right w:w="0" w:type="dxa"/>
          </w:tblCellMar>
        </w:tblPrEx>
        <w:trPr>
          <w:trHeight w:val="625" w:hRule="atLeast"/>
        </w:trPr>
        <w:tc>
          <w:tcPr>
            <w:tcW w:w="661" w:type="dxa"/>
            <w:tcBorders>
              <w:top w:val="single" w:color="000000" w:sz="4" w:space="0"/>
              <w:left w:val="single" w:color="000000" w:sz="4" w:space="0"/>
              <w:bottom w:val="single" w:color="000000" w:sz="4" w:space="0"/>
              <w:right w:val="single" w:color="000000" w:sz="4" w:space="0"/>
            </w:tcBorders>
            <w:vAlign w:val="center"/>
          </w:tcPr>
          <w:p w14:paraId="6976EE78">
            <w:pPr>
              <w:pStyle w:val="276"/>
              <w:spacing w:line="400" w:lineRule="exact"/>
              <w:rPr>
                <w:rFonts w:ascii="宋体" w:hAnsi="宋体" w:cs="宋体"/>
                <w:color w:val="auto"/>
                <w:szCs w:val="21"/>
                <w:highlight w:val="none"/>
              </w:rPr>
            </w:pPr>
          </w:p>
        </w:tc>
        <w:tc>
          <w:tcPr>
            <w:tcW w:w="2105" w:type="dxa"/>
            <w:tcBorders>
              <w:top w:val="single" w:color="000000" w:sz="4" w:space="0"/>
              <w:left w:val="single" w:color="000000" w:sz="4" w:space="0"/>
              <w:bottom w:val="single" w:color="000000" w:sz="4" w:space="0"/>
              <w:right w:val="single" w:color="000000" w:sz="4" w:space="0"/>
            </w:tcBorders>
            <w:vAlign w:val="center"/>
          </w:tcPr>
          <w:p w14:paraId="426B2088">
            <w:pPr>
              <w:pStyle w:val="276"/>
              <w:spacing w:line="400" w:lineRule="exact"/>
              <w:rPr>
                <w:rFonts w:ascii="宋体" w:hAnsi="宋体" w:cs="宋体"/>
                <w:color w:val="auto"/>
                <w:szCs w:val="21"/>
                <w:highlight w:val="none"/>
              </w:rPr>
            </w:pPr>
          </w:p>
        </w:tc>
        <w:tc>
          <w:tcPr>
            <w:tcW w:w="1444" w:type="dxa"/>
            <w:tcBorders>
              <w:top w:val="single" w:color="000000" w:sz="4" w:space="0"/>
              <w:left w:val="single" w:color="000000" w:sz="4" w:space="0"/>
              <w:bottom w:val="single" w:color="000000" w:sz="4" w:space="0"/>
              <w:right w:val="single" w:color="000000" w:sz="4" w:space="0"/>
            </w:tcBorders>
            <w:vAlign w:val="center"/>
          </w:tcPr>
          <w:p w14:paraId="1D2C3698">
            <w:pPr>
              <w:pStyle w:val="276"/>
              <w:spacing w:line="400" w:lineRule="exact"/>
              <w:rPr>
                <w:rFonts w:ascii="宋体" w:hAnsi="宋体" w:cs="宋体"/>
                <w:color w:val="auto"/>
                <w:szCs w:val="21"/>
                <w:highlight w:val="none"/>
              </w:rPr>
            </w:pPr>
          </w:p>
        </w:tc>
        <w:tc>
          <w:tcPr>
            <w:tcW w:w="1411" w:type="dxa"/>
            <w:tcBorders>
              <w:top w:val="single" w:color="000000" w:sz="4" w:space="0"/>
              <w:left w:val="single" w:color="auto" w:sz="4" w:space="0"/>
              <w:bottom w:val="single" w:color="000000" w:sz="4" w:space="0"/>
              <w:right w:val="single" w:color="auto" w:sz="4" w:space="0"/>
            </w:tcBorders>
            <w:vAlign w:val="center"/>
          </w:tcPr>
          <w:p w14:paraId="2C60AEB4">
            <w:pPr>
              <w:pStyle w:val="276"/>
              <w:spacing w:line="400" w:lineRule="exact"/>
              <w:rPr>
                <w:rFonts w:ascii="宋体" w:hAnsi="宋体" w:cs="宋体"/>
                <w:color w:val="auto"/>
                <w:szCs w:val="21"/>
                <w:highlight w:val="none"/>
              </w:rPr>
            </w:pPr>
          </w:p>
        </w:tc>
        <w:tc>
          <w:tcPr>
            <w:tcW w:w="1762" w:type="dxa"/>
            <w:tcBorders>
              <w:top w:val="single" w:color="000000" w:sz="4" w:space="0"/>
              <w:left w:val="single" w:color="auto" w:sz="4" w:space="0"/>
              <w:bottom w:val="single" w:color="000000" w:sz="4" w:space="0"/>
              <w:right w:val="single" w:color="auto" w:sz="4" w:space="0"/>
            </w:tcBorders>
          </w:tcPr>
          <w:p w14:paraId="6B8E4E15">
            <w:pPr>
              <w:pStyle w:val="276"/>
              <w:spacing w:line="400" w:lineRule="exact"/>
              <w:rPr>
                <w:rFonts w:ascii="宋体" w:hAnsi="宋体" w:cs="宋体"/>
                <w:color w:val="auto"/>
                <w:szCs w:val="21"/>
                <w:highlight w:val="none"/>
              </w:rPr>
            </w:pPr>
          </w:p>
        </w:tc>
        <w:tc>
          <w:tcPr>
            <w:tcW w:w="1275" w:type="dxa"/>
            <w:tcBorders>
              <w:top w:val="single" w:color="000000" w:sz="4" w:space="0"/>
              <w:left w:val="single" w:color="auto" w:sz="4" w:space="0"/>
              <w:bottom w:val="single" w:color="000000" w:sz="4" w:space="0"/>
              <w:right w:val="single" w:color="000000" w:sz="4" w:space="0"/>
            </w:tcBorders>
            <w:vAlign w:val="center"/>
          </w:tcPr>
          <w:p w14:paraId="75775F88">
            <w:pPr>
              <w:pStyle w:val="276"/>
              <w:spacing w:line="400" w:lineRule="exact"/>
              <w:rPr>
                <w:rFonts w:ascii="宋体" w:hAnsi="宋体" w:cs="宋体"/>
                <w:color w:val="auto"/>
                <w:szCs w:val="21"/>
                <w:highlight w:val="none"/>
              </w:rPr>
            </w:pPr>
          </w:p>
        </w:tc>
      </w:tr>
      <w:tr w14:paraId="5F516BE6">
        <w:tblPrEx>
          <w:tblCellMar>
            <w:top w:w="0" w:type="dxa"/>
            <w:left w:w="0" w:type="dxa"/>
            <w:bottom w:w="0" w:type="dxa"/>
            <w:right w:w="0" w:type="dxa"/>
          </w:tblCellMar>
        </w:tblPrEx>
        <w:trPr>
          <w:trHeight w:val="625" w:hRule="atLeast"/>
        </w:trPr>
        <w:tc>
          <w:tcPr>
            <w:tcW w:w="661" w:type="dxa"/>
            <w:tcBorders>
              <w:top w:val="single" w:color="000000" w:sz="4" w:space="0"/>
              <w:left w:val="single" w:color="000000" w:sz="4" w:space="0"/>
              <w:bottom w:val="single" w:color="000000" w:sz="4" w:space="0"/>
              <w:right w:val="single" w:color="000000" w:sz="4" w:space="0"/>
            </w:tcBorders>
            <w:vAlign w:val="center"/>
          </w:tcPr>
          <w:p w14:paraId="6DE64250">
            <w:pPr>
              <w:pStyle w:val="276"/>
              <w:spacing w:line="400" w:lineRule="exact"/>
              <w:rPr>
                <w:rFonts w:ascii="宋体" w:hAnsi="宋体" w:cs="宋体"/>
                <w:color w:val="auto"/>
                <w:szCs w:val="21"/>
                <w:highlight w:val="none"/>
              </w:rPr>
            </w:pPr>
          </w:p>
        </w:tc>
        <w:tc>
          <w:tcPr>
            <w:tcW w:w="2105" w:type="dxa"/>
            <w:tcBorders>
              <w:top w:val="single" w:color="000000" w:sz="4" w:space="0"/>
              <w:left w:val="single" w:color="000000" w:sz="4" w:space="0"/>
              <w:bottom w:val="single" w:color="000000" w:sz="4" w:space="0"/>
              <w:right w:val="single" w:color="000000" w:sz="4" w:space="0"/>
            </w:tcBorders>
            <w:vAlign w:val="center"/>
          </w:tcPr>
          <w:p w14:paraId="54E17A6C">
            <w:pPr>
              <w:pStyle w:val="276"/>
              <w:spacing w:line="400" w:lineRule="exact"/>
              <w:rPr>
                <w:rFonts w:ascii="宋体" w:hAnsi="宋体" w:cs="宋体"/>
                <w:color w:val="auto"/>
                <w:szCs w:val="21"/>
                <w:highlight w:val="none"/>
              </w:rPr>
            </w:pPr>
          </w:p>
        </w:tc>
        <w:tc>
          <w:tcPr>
            <w:tcW w:w="1444" w:type="dxa"/>
            <w:tcBorders>
              <w:top w:val="single" w:color="000000" w:sz="4" w:space="0"/>
              <w:left w:val="single" w:color="000000" w:sz="4" w:space="0"/>
              <w:bottom w:val="single" w:color="000000" w:sz="4" w:space="0"/>
              <w:right w:val="single" w:color="000000" w:sz="4" w:space="0"/>
            </w:tcBorders>
            <w:vAlign w:val="center"/>
          </w:tcPr>
          <w:p w14:paraId="51AF0F51">
            <w:pPr>
              <w:pStyle w:val="276"/>
              <w:spacing w:line="400" w:lineRule="exact"/>
              <w:rPr>
                <w:rFonts w:ascii="宋体" w:hAnsi="宋体" w:cs="宋体"/>
                <w:color w:val="auto"/>
                <w:szCs w:val="21"/>
                <w:highlight w:val="none"/>
              </w:rPr>
            </w:pPr>
          </w:p>
        </w:tc>
        <w:tc>
          <w:tcPr>
            <w:tcW w:w="1411" w:type="dxa"/>
            <w:tcBorders>
              <w:top w:val="single" w:color="000000" w:sz="4" w:space="0"/>
              <w:left w:val="single" w:color="auto" w:sz="4" w:space="0"/>
              <w:bottom w:val="single" w:color="000000" w:sz="4" w:space="0"/>
              <w:right w:val="single" w:color="auto" w:sz="4" w:space="0"/>
            </w:tcBorders>
            <w:vAlign w:val="center"/>
          </w:tcPr>
          <w:p w14:paraId="426643D7">
            <w:pPr>
              <w:pStyle w:val="276"/>
              <w:spacing w:line="400" w:lineRule="exact"/>
              <w:rPr>
                <w:rFonts w:ascii="宋体" w:hAnsi="宋体" w:cs="宋体"/>
                <w:color w:val="auto"/>
                <w:szCs w:val="21"/>
                <w:highlight w:val="none"/>
              </w:rPr>
            </w:pPr>
          </w:p>
        </w:tc>
        <w:tc>
          <w:tcPr>
            <w:tcW w:w="1762" w:type="dxa"/>
            <w:tcBorders>
              <w:top w:val="single" w:color="000000" w:sz="4" w:space="0"/>
              <w:left w:val="single" w:color="auto" w:sz="4" w:space="0"/>
              <w:bottom w:val="single" w:color="000000" w:sz="4" w:space="0"/>
              <w:right w:val="single" w:color="auto" w:sz="4" w:space="0"/>
            </w:tcBorders>
          </w:tcPr>
          <w:p w14:paraId="4D3DA5D0">
            <w:pPr>
              <w:pStyle w:val="276"/>
              <w:spacing w:line="400" w:lineRule="exact"/>
              <w:rPr>
                <w:rFonts w:ascii="宋体" w:hAnsi="宋体" w:cs="宋体"/>
                <w:color w:val="auto"/>
                <w:szCs w:val="21"/>
                <w:highlight w:val="none"/>
              </w:rPr>
            </w:pPr>
          </w:p>
        </w:tc>
        <w:tc>
          <w:tcPr>
            <w:tcW w:w="1275" w:type="dxa"/>
            <w:tcBorders>
              <w:top w:val="single" w:color="000000" w:sz="4" w:space="0"/>
              <w:left w:val="single" w:color="auto" w:sz="4" w:space="0"/>
              <w:bottom w:val="single" w:color="000000" w:sz="4" w:space="0"/>
              <w:right w:val="single" w:color="000000" w:sz="4" w:space="0"/>
            </w:tcBorders>
            <w:vAlign w:val="center"/>
          </w:tcPr>
          <w:p w14:paraId="305AB591">
            <w:pPr>
              <w:pStyle w:val="276"/>
              <w:spacing w:line="400" w:lineRule="exact"/>
              <w:rPr>
                <w:rFonts w:ascii="宋体" w:hAnsi="宋体" w:cs="宋体"/>
                <w:color w:val="auto"/>
                <w:szCs w:val="21"/>
                <w:highlight w:val="none"/>
              </w:rPr>
            </w:pPr>
          </w:p>
        </w:tc>
      </w:tr>
      <w:tr w14:paraId="339A70A0">
        <w:tblPrEx>
          <w:tblCellMar>
            <w:top w:w="0" w:type="dxa"/>
            <w:left w:w="0" w:type="dxa"/>
            <w:bottom w:w="0" w:type="dxa"/>
            <w:right w:w="0" w:type="dxa"/>
          </w:tblCellMar>
        </w:tblPrEx>
        <w:trPr>
          <w:trHeight w:val="625" w:hRule="atLeast"/>
        </w:trPr>
        <w:tc>
          <w:tcPr>
            <w:tcW w:w="661" w:type="dxa"/>
            <w:tcBorders>
              <w:top w:val="single" w:color="000000" w:sz="4" w:space="0"/>
              <w:left w:val="single" w:color="000000" w:sz="4" w:space="0"/>
              <w:bottom w:val="single" w:color="000000" w:sz="4" w:space="0"/>
              <w:right w:val="single" w:color="000000" w:sz="4" w:space="0"/>
            </w:tcBorders>
            <w:vAlign w:val="center"/>
          </w:tcPr>
          <w:p w14:paraId="14ED37F6">
            <w:pPr>
              <w:pStyle w:val="276"/>
              <w:spacing w:line="400" w:lineRule="exact"/>
              <w:rPr>
                <w:rFonts w:ascii="宋体" w:hAnsi="宋体" w:cs="宋体"/>
                <w:color w:val="auto"/>
                <w:szCs w:val="21"/>
                <w:highlight w:val="none"/>
              </w:rPr>
            </w:pPr>
          </w:p>
        </w:tc>
        <w:tc>
          <w:tcPr>
            <w:tcW w:w="2105" w:type="dxa"/>
            <w:tcBorders>
              <w:top w:val="single" w:color="000000" w:sz="4" w:space="0"/>
              <w:left w:val="single" w:color="000000" w:sz="4" w:space="0"/>
              <w:bottom w:val="single" w:color="000000" w:sz="4" w:space="0"/>
              <w:right w:val="single" w:color="000000" w:sz="4" w:space="0"/>
            </w:tcBorders>
            <w:vAlign w:val="center"/>
          </w:tcPr>
          <w:p w14:paraId="3AE75BF7">
            <w:pPr>
              <w:pStyle w:val="276"/>
              <w:spacing w:line="400" w:lineRule="exact"/>
              <w:rPr>
                <w:rFonts w:ascii="宋体" w:hAnsi="宋体" w:cs="宋体"/>
                <w:color w:val="auto"/>
                <w:szCs w:val="21"/>
                <w:highlight w:val="none"/>
              </w:rPr>
            </w:pPr>
          </w:p>
        </w:tc>
        <w:tc>
          <w:tcPr>
            <w:tcW w:w="1444" w:type="dxa"/>
            <w:tcBorders>
              <w:top w:val="single" w:color="000000" w:sz="4" w:space="0"/>
              <w:left w:val="single" w:color="000000" w:sz="4" w:space="0"/>
              <w:bottom w:val="single" w:color="000000" w:sz="4" w:space="0"/>
              <w:right w:val="single" w:color="000000" w:sz="4" w:space="0"/>
            </w:tcBorders>
            <w:vAlign w:val="center"/>
          </w:tcPr>
          <w:p w14:paraId="6EA4303A">
            <w:pPr>
              <w:pStyle w:val="276"/>
              <w:spacing w:line="400" w:lineRule="exact"/>
              <w:rPr>
                <w:rFonts w:ascii="宋体" w:hAnsi="宋体" w:cs="宋体"/>
                <w:color w:val="auto"/>
                <w:szCs w:val="21"/>
                <w:highlight w:val="none"/>
              </w:rPr>
            </w:pPr>
          </w:p>
        </w:tc>
        <w:tc>
          <w:tcPr>
            <w:tcW w:w="1411" w:type="dxa"/>
            <w:tcBorders>
              <w:top w:val="single" w:color="000000" w:sz="4" w:space="0"/>
              <w:left w:val="single" w:color="auto" w:sz="4" w:space="0"/>
              <w:bottom w:val="single" w:color="000000" w:sz="4" w:space="0"/>
              <w:right w:val="single" w:color="auto" w:sz="4" w:space="0"/>
            </w:tcBorders>
            <w:vAlign w:val="center"/>
          </w:tcPr>
          <w:p w14:paraId="721B9493">
            <w:pPr>
              <w:pStyle w:val="276"/>
              <w:spacing w:line="400" w:lineRule="exact"/>
              <w:rPr>
                <w:rFonts w:ascii="宋体" w:hAnsi="宋体" w:cs="宋体"/>
                <w:color w:val="auto"/>
                <w:szCs w:val="21"/>
                <w:highlight w:val="none"/>
              </w:rPr>
            </w:pPr>
          </w:p>
        </w:tc>
        <w:tc>
          <w:tcPr>
            <w:tcW w:w="1762" w:type="dxa"/>
            <w:tcBorders>
              <w:top w:val="single" w:color="000000" w:sz="4" w:space="0"/>
              <w:left w:val="single" w:color="auto" w:sz="4" w:space="0"/>
              <w:bottom w:val="single" w:color="000000" w:sz="4" w:space="0"/>
              <w:right w:val="single" w:color="auto" w:sz="4" w:space="0"/>
            </w:tcBorders>
          </w:tcPr>
          <w:p w14:paraId="52C6A4B9">
            <w:pPr>
              <w:pStyle w:val="276"/>
              <w:spacing w:line="400" w:lineRule="exact"/>
              <w:rPr>
                <w:rFonts w:ascii="宋体" w:hAnsi="宋体" w:cs="宋体"/>
                <w:color w:val="auto"/>
                <w:szCs w:val="21"/>
                <w:highlight w:val="none"/>
              </w:rPr>
            </w:pPr>
          </w:p>
        </w:tc>
        <w:tc>
          <w:tcPr>
            <w:tcW w:w="1275" w:type="dxa"/>
            <w:tcBorders>
              <w:top w:val="single" w:color="000000" w:sz="4" w:space="0"/>
              <w:left w:val="single" w:color="auto" w:sz="4" w:space="0"/>
              <w:bottom w:val="single" w:color="000000" w:sz="4" w:space="0"/>
              <w:right w:val="single" w:color="000000" w:sz="4" w:space="0"/>
            </w:tcBorders>
            <w:vAlign w:val="center"/>
          </w:tcPr>
          <w:p w14:paraId="32A896E3">
            <w:pPr>
              <w:pStyle w:val="276"/>
              <w:spacing w:line="400" w:lineRule="exact"/>
              <w:rPr>
                <w:rFonts w:ascii="宋体" w:hAnsi="宋体" w:cs="宋体"/>
                <w:color w:val="auto"/>
                <w:szCs w:val="21"/>
                <w:highlight w:val="none"/>
              </w:rPr>
            </w:pPr>
          </w:p>
        </w:tc>
      </w:tr>
      <w:tr w14:paraId="67114A0E">
        <w:tblPrEx>
          <w:tblCellMar>
            <w:top w:w="0" w:type="dxa"/>
            <w:left w:w="0" w:type="dxa"/>
            <w:bottom w:w="0" w:type="dxa"/>
            <w:right w:w="0" w:type="dxa"/>
          </w:tblCellMar>
        </w:tblPrEx>
        <w:trPr>
          <w:trHeight w:val="625" w:hRule="atLeast"/>
        </w:trPr>
        <w:tc>
          <w:tcPr>
            <w:tcW w:w="661" w:type="dxa"/>
            <w:tcBorders>
              <w:top w:val="single" w:color="000000" w:sz="4" w:space="0"/>
              <w:left w:val="single" w:color="000000" w:sz="4" w:space="0"/>
              <w:bottom w:val="single" w:color="000000" w:sz="4" w:space="0"/>
              <w:right w:val="single" w:color="000000" w:sz="4" w:space="0"/>
            </w:tcBorders>
            <w:vAlign w:val="center"/>
          </w:tcPr>
          <w:p w14:paraId="1FEDE068">
            <w:pPr>
              <w:pStyle w:val="276"/>
              <w:spacing w:line="400" w:lineRule="exact"/>
              <w:rPr>
                <w:rFonts w:ascii="宋体" w:hAnsi="宋体" w:cs="宋体"/>
                <w:color w:val="auto"/>
                <w:szCs w:val="21"/>
                <w:highlight w:val="none"/>
              </w:rPr>
            </w:pPr>
          </w:p>
        </w:tc>
        <w:tc>
          <w:tcPr>
            <w:tcW w:w="2105" w:type="dxa"/>
            <w:tcBorders>
              <w:top w:val="single" w:color="000000" w:sz="4" w:space="0"/>
              <w:left w:val="single" w:color="000000" w:sz="4" w:space="0"/>
              <w:bottom w:val="single" w:color="000000" w:sz="4" w:space="0"/>
              <w:right w:val="single" w:color="000000" w:sz="4" w:space="0"/>
            </w:tcBorders>
            <w:vAlign w:val="center"/>
          </w:tcPr>
          <w:p w14:paraId="47BFD94D">
            <w:pPr>
              <w:pStyle w:val="276"/>
              <w:spacing w:line="400" w:lineRule="exact"/>
              <w:rPr>
                <w:rFonts w:ascii="宋体" w:hAnsi="宋体" w:cs="宋体"/>
                <w:color w:val="auto"/>
                <w:szCs w:val="21"/>
                <w:highlight w:val="none"/>
              </w:rPr>
            </w:pPr>
          </w:p>
        </w:tc>
        <w:tc>
          <w:tcPr>
            <w:tcW w:w="1444" w:type="dxa"/>
            <w:tcBorders>
              <w:top w:val="single" w:color="000000" w:sz="4" w:space="0"/>
              <w:left w:val="single" w:color="000000" w:sz="4" w:space="0"/>
              <w:bottom w:val="single" w:color="000000" w:sz="4" w:space="0"/>
              <w:right w:val="single" w:color="000000" w:sz="4" w:space="0"/>
            </w:tcBorders>
            <w:vAlign w:val="center"/>
          </w:tcPr>
          <w:p w14:paraId="5799523F">
            <w:pPr>
              <w:pStyle w:val="276"/>
              <w:spacing w:line="400" w:lineRule="exact"/>
              <w:rPr>
                <w:rFonts w:ascii="宋体" w:hAnsi="宋体" w:cs="宋体"/>
                <w:color w:val="auto"/>
                <w:szCs w:val="21"/>
                <w:highlight w:val="none"/>
              </w:rPr>
            </w:pPr>
          </w:p>
        </w:tc>
        <w:tc>
          <w:tcPr>
            <w:tcW w:w="1411" w:type="dxa"/>
            <w:tcBorders>
              <w:top w:val="single" w:color="000000" w:sz="4" w:space="0"/>
              <w:left w:val="single" w:color="auto" w:sz="4" w:space="0"/>
              <w:bottom w:val="single" w:color="000000" w:sz="4" w:space="0"/>
              <w:right w:val="single" w:color="auto" w:sz="4" w:space="0"/>
            </w:tcBorders>
            <w:vAlign w:val="center"/>
          </w:tcPr>
          <w:p w14:paraId="151344F1">
            <w:pPr>
              <w:pStyle w:val="276"/>
              <w:spacing w:line="400" w:lineRule="exact"/>
              <w:rPr>
                <w:rFonts w:ascii="宋体" w:hAnsi="宋体" w:cs="宋体"/>
                <w:color w:val="auto"/>
                <w:szCs w:val="21"/>
                <w:highlight w:val="none"/>
              </w:rPr>
            </w:pPr>
          </w:p>
        </w:tc>
        <w:tc>
          <w:tcPr>
            <w:tcW w:w="1762" w:type="dxa"/>
            <w:tcBorders>
              <w:top w:val="single" w:color="000000" w:sz="4" w:space="0"/>
              <w:left w:val="single" w:color="auto" w:sz="4" w:space="0"/>
              <w:bottom w:val="single" w:color="000000" w:sz="4" w:space="0"/>
              <w:right w:val="single" w:color="auto" w:sz="4" w:space="0"/>
            </w:tcBorders>
          </w:tcPr>
          <w:p w14:paraId="32A75438">
            <w:pPr>
              <w:pStyle w:val="276"/>
              <w:spacing w:line="400" w:lineRule="exact"/>
              <w:rPr>
                <w:rFonts w:ascii="宋体" w:hAnsi="宋体" w:cs="宋体"/>
                <w:color w:val="auto"/>
                <w:szCs w:val="21"/>
                <w:highlight w:val="none"/>
              </w:rPr>
            </w:pPr>
          </w:p>
        </w:tc>
        <w:tc>
          <w:tcPr>
            <w:tcW w:w="1275" w:type="dxa"/>
            <w:tcBorders>
              <w:top w:val="single" w:color="000000" w:sz="4" w:space="0"/>
              <w:left w:val="single" w:color="auto" w:sz="4" w:space="0"/>
              <w:bottom w:val="single" w:color="000000" w:sz="4" w:space="0"/>
              <w:right w:val="single" w:color="000000" w:sz="4" w:space="0"/>
            </w:tcBorders>
            <w:vAlign w:val="center"/>
          </w:tcPr>
          <w:p w14:paraId="788280B1">
            <w:pPr>
              <w:pStyle w:val="276"/>
              <w:spacing w:line="400" w:lineRule="exact"/>
              <w:rPr>
                <w:rFonts w:ascii="宋体" w:hAnsi="宋体" w:cs="宋体"/>
                <w:color w:val="auto"/>
                <w:szCs w:val="21"/>
                <w:highlight w:val="none"/>
              </w:rPr>
            </w:pPr>
          </w:p>
        </w:tc>
      </w:tr>
      <w:tr w14:paraId="3FBB8245">
        <w:tblPrEx>
          <w:tblCellMar>
            <w:top w:w="0" w:type="dxa"/>
            <w:left w:w="0" w:type="dxa"/>
            <w:bottom w:w="0" w:type="dxa"/>
            <w:right w:w="0" w:type="dxa"/>
          </w:tblCellMar>
        </w:tblPrEx>
        <w:trPr>
          <w:trHeight w:val="625" w:hRule="atLeast"/>
        </w:trPr>
        <w:tc>
          <w:tcPr>
            <w:tcW w:w="661" w:type="dxa"/>
            <w:tcBorders>
              <w:top w:val="single" w:color="000000" w:sz="4" w:space="0"/>
              <w:left w:val="single" w:color="000000" w:sz="4" w:space="0"/>
              <w:bottom w:val="single" w:color="000000" w:sz="4" w:space="0"/>
              <w:right w:val="single" w:color="000000" w:sz="4" w:space="0"/>
            </w:tcBorders>
            <w:vAlign w:val="center"/>
          </w:tcPr>
          <w:p w14:paraId="655B1542">
            <w:pPr>
              <w:pStyle w:val="276"/>
              <w:spacing w:line="400" w:lineRule="exact"/>
              <w:rPr>
                <w:rFonts w:ascii="宋体" w:hAnsi="宋体" w:cs="宋体"/>
                <w:color w:val="auto"/>
                <w:szCs w:val="21"/>
                <w:highlight w:val="none"/>
              </w:rPr>
            </w:pPr>
          </w:p>
        </w:tc>
        <w:tc>
          <w:tcPr>
            <w:tcW w:w="2105" w:type="dxa"/>
            <w:tcBorders>
              <w:top w:val="single" w:color="000000" w:sz="4" w:space="0"/>
              <w:left w:val="single" w:color="000000" w:sz="4" w:space="0"/>
              <w:bottom w:val="single" w:color="000000" w:sz="4" w:space="0"/>
              <w:right w:val="single" w:color="000000" w:sz="4" w:space="0"/>
            </w:tcBorders>
            <w:vAlign w:val="center"/>
          </w:tcPr>
          <w:p w14:paraId="329C4A0B">
            <w:pPr>
              <w:pStyle w:val="276"/>
              <w:spacing w:line="400" w:lineRule="exact"/>
              <w:rPr>
                <w:rFonts w:ascii="宋体" w:hAnsi="宋体" w:cs="宋体"/>
                <w:color w:val="auto"/>
                <w:szCs w:val="21"/>
                <w:highlight w:val="none"/>
              </w:rPr>
            </w:pPr>
          </w:p>
        </w:tc>
        <w:tc>
          <w:tcPr>
            <w:tcW w:w="1444" w:type="dxa"/>
            <w:tcBorders>
              <w:top w:val="single" w:color="000000" w:sz="4" w:space="0"/>
              <w:left w:val="single" w:color="000000" w:sz="4" w:space="0"/>
              <w:bottom w:val="single" w:color="000000" w:sz="4" w:space="0"/>
              <w:right w:val="single" w:color="000000" w:sz="4" w:space="0"/>
            </w:tcBorders>
            <w:vAlign w:val="center"/>
          </w:tcPr>
          <w:p w14:paraId="645D9877">
            <w:pPr>
              <w:pStyle w:val="276"/>
              <w:spacing w:line="400" w:lineRule="exact"/>
              <w:rPr>
                <w:rFonts w:ascii="宋体" w:hAnsi="宋体" w:cs="宋体"/>
                <w:color w:val="auto"/>
                <w:szCs w:val="21"/>
                <w:highlight w:val="none"/>
              </w:rPr>
            </w:pPr>
          </w:p>
        </w:tc>
        <w:tc>
          <w:tcPr>
            <w:tcW w:w="1411" w:type="dxa"/>
            <w:tcBorders>
              <w:top w:val="single" w:color="000000" w:sz="4" w:space="0"/>
              <w:left w:val="single" w:color="auto" w:sz="4" w:space="0"/>
              <w:bottom w:val="single" w:color="000000" w:sz="4" w:space="0"/>
              <w:right w:val="single" w:color="auto" w:sz="4" w:space="0"/>
            </w:tcBorders>
            <w:vAlign w:val="center"/>
          </w:tcPr>
          <w:p w14:paraId="5A7616B6">
            <w:pPr>
              <w:pStyle w:val="276"/>
              <w:spacing w:line="400" w:lineRule="exact"/>
              <w:rPr>
                <w:rFonts w:ascii="宋体" w:hAnsi="宋体" w:cs="宋体"/>
                <w:color w:val="auto"/>
                <w:szCs w:val="21"/>
                <w:highlight w:val="none"/>
              </w:rPr>
            </w:pPr>
          </w:p>
        </w:tc>
        <w:tc>
          <w:tcPr>
            <w:tcW w:w="1762" w:type="dxa"/>
            <w:tcBorders>
              <w:top w:val="single" w:color="000000" w:sz="4" w:space="0"/>
              <w:left w:val="single" w:color="auto" w:sz="4" w:space="0"/>
              <w:bottom w:val="single" w:color="000000" w:sz="4" w:space="0"/>
              <w:right w:val="single" w:color="auto" w:sz="4" w:space="0"/>
            </w:tcBorders>
          </w:tcPr>
          <w:p w14:paraId="2B96B5E5">
            <w:pPr>
              <w:pStyle w:val="276"/>
              <w:spacing w:line="400" w:lineRule="exact"/>
              <w:rPr>
                <w:rFonts w:ascii="宋体" w:hAnsi="宋体" w:cs="宋体"/>
                <w:color w:val="auto"/>
                <w:szCs w:val="21"/>
                <w:highlight w:val="none"/>
              </w:rPr>
            </w:pPr>
          </w:p>
        </w:tc>
        <w:tc>
          <w:tcPr>
            <w:tcW w:w="1275" w:type="dxa"/>
            <w:tcBorders>
              <w:top w:val="single" w:color="000000" w:sz="4" w:space="0"/>
              <w:left w:val="single" w:color="auto" w:sz="4" w:space="0"/>
              <w:bottom w:val="single" w:color="000000" w:sz="4" w:space="0"/>
              <w:right w:val="single" w:color="000000" w:sz="4" w:space="0"/>
            </w:tcBorders>
            <w:vAlign w:val="center"/>
          </w:tcPr>
          <w:p w14:paraId="29F0DE48">
            <w:pPr>
              <w:pStyle w:val="276"/>
              <w:spacing w:line="400" w:lineRule="exact"/>
              <w:rPr>
                <w:rFonts w:ascii="宋体" w:hAnsi="宋体" w:cs="宋体"/>
                <w:color w:val="auto"/>
                <w:szCs w:val="21"/>
                <w:highlight w:val="none"/>
              </w:rPr>
            </w:pPr>
          </w:p>
        </w:tc>
      </w:tr>
    </w:tbl>
    <w:p w14:paraId="7912B708">
      <w:pPr>
        <w:pStyle w:val="276"/>
        <w:spacing w:line="360" w:lineRule="auto"/>
        <w:jc w:val="left"/>
        <w:rPr>
          <w:rFonts w:hint="eastAsia" w:ascii="宋体" w:hAnsi="宋体" w:cs="宋体"/>
          <w:color w:val="auto"/>
          <w:sz w:val="24"/>
          <w:highlight w:val="none"/>
        </w:rPr>
      </w:pPr>
    </w:p>
    <w:p w14:paraId="1A9BE3C4">
      <w:pPr>
        <w:pStyle w:val="276"/>
        <w:rPr>
          <w:rFonts w:ascii="宋体" w:hAnsi="宋体" w:cs="宋体"/>
          <w:color w:val="auto"/>
          <w:highlight w:val="none"/>
        </w:rPr>
      </w:pPr>
    </w:p>
    <w:p w14:paraId="7A6F0D20">
      <w:pPr>
        <w:pStyle w:val="276"/>
        <w:rPr>
          <w:rFonts w:ascii="宋体" w:hAnsi="宋体" w:cs="宋体"/>
          <w:color w:val="auto"/>
          <w:sz w:val="24"/>
          <w:highlight w:val="none"/>
        </w:rPr>
      </w:pPr>
    </w:p>
    <w:p w14:paraId="2819398C">
      <w:pPr>
        <w:pStyle w:val="276"/>
        <w:rPr>
          <w:rFonts w:ascii="宋体" w:hAnsi="宋体" w:cs="宋体"/>
          <w:color w:val="auto"/>
          <w:highlight w:val="none"/>
        </w:rPr>
      </w:pPr>
      <w:r>
        <w:rPr>
          <w:rFonts w:hint="eastAsia" w:ascii="宋体" w:hAnsi="宋体" w:cs="宋体"/>
          <w:color w:val="auto"/>
          <w:sz w:val="24"/>
          <w:highlight w:val="none"/>
        </w:rPr>
        <w:t>招标人或招标代理机构：</w:t>
      </w:r>
      <w:r>
        <w:rPr>
          <w:rFonts w:ascii="宋体" w:hAnsi="宋体" w:cs="宋体"/>
          <w:color w:val="auto"/>
          <w:sz w:val="24"/>
          <w:highlight w:val="none"/>
          <w:u w:val="single"/>
        </w:rPr>
        <w:t xml:space="preserve">           </w:t>
      </w:r>
      <w:r>
        <w:rPr>
          <w:rFonts w:hint="eastAsia" w:ascii="宋体" w:hAnsi="宋体" w:cs="宋体"/>
          <w:color w:val="auto"/>
          <w:sz w:val="24"/>
          <w:highlight w:val="none"/>
          <w:u w:val="none"/>
        </w:rPr>
        <w:t>（盖单位电子印章</w:t>
      </w:r>
      <w:r>
        <w:rPr>
          <w:rFonts w:hint="eastAsia" w:ascii="宋体" w:hAnsi="宋体" w:cs="宋体"/>
          <w:color w:val="auto"/>
          <w:sz w:val="24"/>
          <w:highlight w:val="none"/>
          <w:u w:val="none"/>
          <w:lang w:eastAsia="zh-CN"/>
        </w:rPr>
        <w:t>）</w:t>
      </w:r>
      <w:r>
        <w:rPr>
          <w:rFonts w:ascii="宋体" w:hAnsi="宋体" w:cs="宋体"/>
          <w:color w:val="auto"/>
          <w:sz w:val="24"/>
          <w:highlight w:val="none"/>
        </w:rPr>
        <w:t xml:space="preserve">      </w:t>
      </w:r>
    </w:p>
    <w:p w14:paraId="6D099758">
      <w:pPr>
        <w:pStyle w:val="276"/>
        <w:rPr>
          <w:rFonts w:ascii="宋体" w:hAnsi="宋体" w:cs="宋体"/>
          <w:color w:val="auto"/>
          <w:highlight w:val="none"/>
        </w:rPr>
      </w:pPr>
      <w:r>
        <w:rPr>
          <w:rFonts w:ascii="宋体" w:hAnsi="宋体" w:cs="宋体"/>
          <w:color w:val="auto"/>
          <w:highlight w:val="none"/>
        </w:rPr>
        <w:br w:type="page"/>
      </w:r>
    </w:p>
    <w:p w14:paraId="255C14B0">
      <w:pPr>
        <w:pStyle w:val="276"/>
        <w:spacing w:line="360" w:lineRule="auto"/>
        <w:jc w:val="center"/>
        <w:rPr>
          <w:rFonts w:ascii="黑体" w:hAnsi="黑体" w:eastAsia="黑体" w:cs="宋体"/>
          <w:color w:val="auto"/>
          <w:sz w:val="28"/>
          <w:szCs w:val="28"/>
          <w:highlight w:val="none"/>
        </w:rPr>
      </w:pPr>
      <w:r>
        <w:rPr>
          <w:rFonts w:ascii="黑体" w:hAnsi="黑体" w:eastAsia="黑体" w:cs="宋体"/>
          <w:color w:val="auto"/>
          <w:sz w:val="28"/>
          <w:szCs w:val="28"/>
          <w:highlight w:val="none"/>
        </w:rPr>
        <w:t xml:space="preserve"> </w:t>
      </w:r>
      <w:r>
        <w:rPr>
          <w:rFonts w:ascii="黑体" w:hAnsi="黑体" w:eastAsia="黑体" w:cs="宋体"/>
          <w:color w:val="auto"/>
          <w:sz w:val="28"/>
          <w:szCs w:val="28"/>
          <w:highlight w:val="none"/>
          <w:u w:val="single"/>
        </w:rPr>
        <w:t xml:space="preserve">     </w:t>
      </w:r>
      <w:bookmarkStart w:id="400" w:name="_Toc513556648"/>
      <w:bookmarkStart w:id="401" w:name="_Toc519601472"/>
      <w:bookmarkStart w:id="402" w:name="_Toc513555571"/>
      <w:bookmarkStart w:id="403" w:name="_Toc513555815"/>
      <w:r>
        <w:rPr>
          <w:rFonts w:hint="eastAsia" w:ascii="黑体" w:hAnsi="黑体" w:eastAsia="黑体" w:cs="宋体"/>
          <w:color w:val="auto"/>
          <w:sz w:val="28"/>
          <w:szCs w:val="28"/>
          <w:highlight w:val="none"/>
        </w:rPr>
        <w:t>（招标项目名称）招标第</w:t>
      </w:r>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标段第二个信封（报价文件）</w:t>
      </w:r>
      <w:bookmarkEnd w:id="400"/>
      <w:bookmarkEnd w:id="401"/>
      <w:bookmarkEnd w:id="402"/>
      <w:bookmarkEnd w:id="403"/>
    </w:p>
    <w:p w14:paraId="32CDF840">
      <w:pPr>
        <w:pStyle w:val="276"/>
        <w:spacing w:line="360" w:lineRule="auto"/>
        <w:jc w:val="center"/>
        <w:rPr>
          <w:rFonts w:ascii="黑体" w:hAnsi="黑体" w:eastAsia="黑体" w:cs="宋体"/>
          <w:color w:val="auto"/>
          <w:sz w:val="28"/>
          <w:szCs w:val="28"/>
          <w:highlight w:val="none"/>
        </w:rPr>
      </w:pPr>
      <w:bookmarkStart w:id="404" w:name="_Toc513555572"/>
      <w:bookmarkStart w:id="405" w:name="_Toc519601473"/>
      <w:bookmarkStart w:id="406" w:name="_Toc509828636"/>
      <w:bookmarkStart w:id="407" w:name="_Toc513556649"/>
      <w:bookmarkStart w:id="408" w:name="_Toc513555816"/>
      <w:r>
        <w:rPr>
          <w:rFonts w:hint="eastAsia" w:ascii="黑体" w:hAnsi="黑体" w:eastAsia="黑体" w:cs="宋体"/>
          <w:color w:val="auto"/>
          <w:sz w:val="28"/>
          <w:szCs w:val="28"/>
          <w:highlight w:val="none"/>
        </w:rPr>
        <w:t>开标记录表</w:t>
      </w:r>
      <w:bookmarkEnd w:id="404"/>
      <w:bookmarkEnd w:id="405"/>
      <w:bookmarkEnd w:id="406"/>
      <w:bookmarkEnd w:id="407"/>
      <w:bookmarkEnd w:id="408"/>
    </w:p>
    <w:p w14:paraId="1DB44A35">
      <w:pPr>
        <w:pStyle w:val="276"/>
        <w:spacing w:line="360" w:lineRule="auto"/>
        <w:rPr>
          <w:rFonts w:ascii="宋体" w:hAnsi="宋体" w:cs="宋体"/>
          <w:color w:val="auto"/>
          <w:sz w:val="28"/>
          <w:szCs w:val="28"/>
          <w:highlight w:val="none"/>
        </w:rPr>
      </w:pPr>
    </w:p>
    <w:p w14:paraId="57E0D894">
      <w:pPr>
        <w:pStyle w:val="276"/>
        <w:spacing w:line="360" w:lineRule="auto"/>
        <w:rPr>
          <w:rFonts w:hint="eastAsia" w:ascii="宋体" w:hAnsi="宋体" w:cs="宋体"/>
          <w:color w:val="auto"/>
          <w:sz w:val="24"/>
          <w:highlight w:val="none"/>
        </w:rPr>
      </w:pPr>
      <w:r>
        <w:rPr>
          <w:rFonts w:hint="eastAsia" w:ascii="宋体" w:hAnsi="宋体" w:cs="宋体"/>
          <w:color w:val="auto"/>
          <w:sz w:val="24"/>
          <w:highlight w:val="none"/>
        </w:rPr>
        <w:t>开标时间：</w:t>
      </w: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color w:val="auto"/>
          <w:sz w:val="24"/>
          <w:highlight w:val="none"/>
          <w:u w:val="single"/>
        </w:rPr>
        <w:t xml:space="preserve">    </w:t>
      </w:r>
      <w:r>
        <w:rPr>
          <w:rFonts w:hint="eastAsia" w:ascii="宋体" w:hAnsi="宋体" w:cs="宋体"/>
          <w:color w:val="auto"/>
          <w:sz w:val="24"/>
          <w:highlight w:val="none"/>
        </w:rPr>
        <w:t>时</w:t>
      </w:r>
      <w:r>
        <w:rPr>
          <w:rFonts w:ascii="宋体" w:hAnsi="宋体" w:cs="宋体"/>
          <w:color w:val="auto"/>
          <w:sz w:val="24"/>
          <w:highlight w:val="none"/>
          <w:u w:val="single"/>
        </w:rPr>
        <w:t xml:space="preserve">    </w:t>
      </w:r>
      <w:r>
        <w:rPr>
          <w:rFonts w:hint="eastAsia" w:ascii="宋体" w:hAnsi="宋体" w:cs="宋体"/>
          <w:color w:val="auto"/>
          <w:sz w:val="24"/>
          <w:highlight w:val="none"/>
        </w:rPr>
        <w:t>分</w:t>
      </w:r>
    </w:p>
    <w:tbl>
      <w:tblPr>
        <w:tblStyle w:val="48"/>
        <w:tblW w:w="8777" w:type="dxa"/>
        <w:tblInd w:w="5" w:type="dxa"/>
        <w:tblLayout w:type="fixed"/>
        <w:tblCellMar>
          <w:top w:w="0" w:type="dxa"/>
          <w:left w:w="0" w:type="dxa"/>
          <w:bottom w:w="0" w:type="dxa"/>
          <w:right w:w="0" w:type="dxa"/>
        </w:tblCellMar>
      </w:tblPr>
      <w:tblGrid>
        <w:gridCol w:w="615"/>
        <w:gridCol w:w="3175"/>
        <w:gridCol w:w="1727"/>
        <w:gridCol w:w="2257"/>
        <w:gridCol w:w="1003"/>
      </w:tblGrid>
      <w:tr w14:paraId="3AEBA50F">
        <w:tblPrEx>
          <w:tblCellMar>
            <w:top w:w="0" w:type="dxa"/>
            <w:left w:w="0" w:type="dxa"/>
            <w:bottom w:w="0" w:type="dxa"/>
            <w:right w:w="0" w:type="dxa"/>
          </w:tblCellMar>
        </w:tblPrEx>
        <w:trPr>
          <w:trHeight w:val="783"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73D8484">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3175" w:type="dxa"/>
            <w:tcBorders>
              <w:top w:val="single" w:color="000000" w:sz="4" w:space="0"/>
              <w:left w:val="single" w:color="000000" w:sz="4" w:space="0"/>
              <w:bottom w:val="single" w:color="000000" w:sz="4" w:space="0"/>
              <w:right w:val="single" w:color="000000" w:sz="4" w:space="0"/>
            </w:tcBorders>
            <w:vAlign w:val="center"/>
          </w:tcPr>
          <w:p w14:paraId="45DC7EDD">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投标人名称</w:t>
            </w:r>
          </w:p>
        </w:tc>
        <w:tc>
          <w:tcPr>
            <w:tcW w:w="1727" w:type="dxa"/>
            <w:tcBorders>
              <w:top w:val="single" w:color="000000" w:sz="4" w:space="0"/>
              <w:left w:val="single" w:color="auto" w:sz="4" w:space="0"/>
              <w:bottom w:val="single" w:color="000000" w:sz="4" w:space="0"/>
              <w:right w:val="single" w:color="000000" w:sz="4" w:space="0"/>
            </w:tcBorders>
            <w:vAlign w:val="center"/>
          </w:tcPr>
          <w:p w14:paraId="493E31CD">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投标报价（元）</w:t>
            </w:r>
            <w:r>
              <w:rPr>
                <w:rStyle w:val="58"/>
                <w:rFonts w:hint="eastAsia" w:ascii="宋体" w:hAnsi="宋体"/>
                <w:szCs w:val="21"/>
              </w:rPr>
              <w:footnoteReference w:id="82"/>
            </w:r>
          </w:p>
        </w:tc>
        <w:tc>
          <w:tcPr>
            <w:tcW w:w="2257" w:type="dxa"/>
            <w:tcBorders>
              <w:top w:val="single" w:color="000000" w:sz="4" w:space="0"/>
              <w:left w:val="single" w:color="000000" w:sz="4" w:space="0"/>
              <w:bottom w:val="single" w:color="000000" w:sz="4" w:space="0"/>
              <w:right w:val="single" w:color="000000" w:sz="4" w:space="0"/>
            </w:tcBorders>
            <w:vAlign w:val="center"/>
          </w:tcPr>
          <w:p w14:paraId="34013C4F">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是否超过最高投标限价</w:t>
            </w:r>
          </w:p>
        </w:tc>
        <w:tc>
          <w:tcPr>
            <w:tcW w:w="1003" w:type="dxa"/>
            <w:tcBorders>
              <w:top w:val="single" w:color="000000" w:sz="4" w:space="0"/>
              <w:left w:val="single" w:color="000000" w:sz="4" w:space="0"/>
              <w:bottom w:val="single" w:color="000000" w:sz="4" w:space="0"/>
              <w:right w:val="single" w:color="000000" w:sz="4" w:space="0"/>
            </w:tcBorders>
            <w:vAlign w:val="center"/>
          </w:tcPr>
          <w:p w14:paraId="4959C524">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备注</w:t>
            </w:r>
          </w:p>
        </w:tc>
      </w:tr>
      <w:tr w14:paraId="08E95DE7">
        <w:tblPrEx>
          <w:tblCellMar>
            <w:top w:w="0" w:type="dxa"/>
            <w:left w:w="0" w:type="dxa"/>
            <w:bottom w:w="0" w:type="dxa"/>
            <w:right w:w="0" w:type="dxa"/>
          </w:tblCellMar>
        </w:tblPrEx>
        <w:trPr>
          <w:trHeight w:val="647"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1F70BC2">
            <w:pPr>
              <w:pStyle w:val="276"/>
              <w:spacing w:line="400" w:lineRule="exact"/>
              <w:rPr>
                <w:rFonts w:ascii="宋体" w:hAnsi="宋体" w:cs="宋体"/>
                <w:color w:val="auto"/>
                <w:szCs w:val="21"/>
                <w:highlight w:val="none"/>
              </w:rPr>
            </w:pPr>
          </w:p>
        </w:tc>
        <w:tc>
          <w:tcPr>
            <w:tcW w:w="3175" w:type="dxa"/>
            <w:tcBorders>
              <w:top w:val="single" w:color="000000" w:sz="4" w:space="0"/>
              <w:left w:val="single" w:color="000000" w:sz="4" w:space="0"/>
              <w:bottom w:val="single" w:color="000000" w:sz="4" w:space="0"/>
              <w:right w:val="single" w:color="000000" w:sz="4" w:space="0"/>
            </w:tcBorders>
            <w:vAlign w:val="center"/>
          </w:tcPr>
          <w:p w14:paraId="785AE2DC">
            <w:pPr>
              <w:pStyle w:val="276"/>
              <w:spacing w:line="400" w:lineRule="exact"/>
              <w:rPr>
                <w:rFonts w:ascii="宋体" w:hAnsi="宋体" w:cs="宋体"/>
                <w:color w:val="auto"/>
                <w:szCs w:val="21"/>
                <w:highlight w:val="none"/>
              </w:rPr>
            </w:pPr>
          </w:p>
        </w:tc>
        <w:tc>
          <w:tcPr>
            <w:tcW w:w="1727" w:type="dxa"/>
            <w:tcBorders>
              <w:top w:val="single" w:color="000000" w:sz="4" w:space="0"/>
              <w:left w:val="single" w:color="auto" w:sz="4" w:space="0"/>
              <w:bottom w:val="single" w:color="000000" w:sz="4" w:space="0"/>
              <w:right w:val="single" w:color="000000" w:sz="4" w:space="0"/>
            </w:tcBorders>
            <w:vAlign w:val="center"/>
          </w:tcPr>
          <w:p w14:paraId="33B31EFE">
            <w:pPr>
              <w:pStyle w:val="276"/>
              <w:spacing w:line="400" w:lineRule="exact"/>
              <w:rPr>
                <w:rFonts w:ascii="宋体" w:hAnsi="宋体" w:cs="宋体"/>
                <w:color w:val="auto"/>
                <w:szCs w:val="21"/>
                <w:highlight w:val="none"/>
              </w:rPr>
            </w:pPr>
          </w:p>
        </w:tc>
        <w:tc>
          <w:tcPr>
            <w:tcW w:w="2257" w:type="dxa"/>
            <w:tcBorders>
              <w:top w:val="single" w:color="000000" w:sz="4" w:space="0"/>
              <w:left w:val="single" w:color="000000" w:sz="4" w:space="0"/>
              <w:bottom w:val="single" w:color="000000" w:sz="4" w:space="0"/>
              <w:right w:val="single" w:color="000000" w:sz="4" w:space="0"/>
            </w:tcBorders>
            <w:vAlign w:val="center"/>
          </w:tcPr>
          <w:p w14:paraId="19D263C8">
            <w:pPr>
              <w:pStyle w:val="276"/>
              <w:spacing w:line="400" w:lineRule="exact"/>
              <w:rPr>
                <w:rFonts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vAlign w:val="center"/>
          </w:tcPr>
          <w:p w14:paraId="0E4D3DC6">
            <w:pPr>
              <w:pStyle w:val="276"/>
              <w:spacing w:line="400" w:lineRule="exact"/>
              <w:rPr>
                <w:rFonts w:ascii="宋体" w:hAnsi="宋体" w:cs="宋体"/>
                <w:color w:val="auto"/>
                <w:szCs w:val="21"/>
                <w:highlight w:val="none"/>
              </w:rPr>
            </w:pPr>
          </w:p>
        </w:tc>
      </w:tr>
      <w:tr w14:paraId="6BDCEE32">
        <w:tblPrEx>
          <w:tblCellMar>
            <w:top w:w="0" w:type="dxa"/>
            <w:left w:w="0" w:type="dxa"/>
            <w:bottom w:w="0" w:type="dxa"/>
            <w:right w:w="0" w:type="dxa"/>
          </w:tblCellMar>
        </w:tblPrEx>
        <w:trPr>
          <w:trHeight w:val="647"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5F6C9C28">
            <w:pPr>
              <w:pStyle w:val="276"/>
              <w:spacing w:line="400" w:lineRule="exact"/>
              <w:rPr>
                <w:rFonts w:ascii="宋体" w:hAnsi="宋体" w:cs="宋体"/>
                <w:color w:val="auto"/>
                <w:szCs w:val="21"/>
                <w:highlight w:val="none"/>
              </w:rPr>
            </w:pPr>
          </w:p>
        </w:tc>
        <w:tc>
          <w:tcPr>
            <w:tcW w:w="3175" w:type="dxa"/>
            <w:tcBorders>
              <w:top w:val="single" w:color="000000" w:sz="4" w:space="0"/>
              <w:left w:val="single" w:color="000000" w:sz="4" w:space="0"/>
              <w:bottom w:val="single" w:color="000000" w:sz="4" w:space="0"/>
              <w:right w:val="single" w:color="000000" w:sz="4" w:space="0"/>
            </w:tcBorders>
            <w:vAlign w:val="center"/>
          </w:tcPr>
          <w:p w14:paraId="5D519C68">
            <w:pPr>
              <w:pStyle w:val="276"/>
              <w:spacing w:line="400" w:lineRule="exact"/>
              <w:rPr>
                <w:rFonts w:ascii="宋体" w:hAnsi="宋体" w:cs="宋体"/>
                <w:color w:val="auto"/>
                <w:szCs w:val="21"/>
                <w:highlight w:val="none"/>
              </w:rPr>
            </w:pPr>
          </w:p>
        </w:tc>
        <w:tc>
          <w:tcPr>
            <w:tcW w:w="1727" w:type="dxa"/>
            <w:tcBorders>
              <w:top w:val="single" w:color="000000" w:sz="4" w:space="0"/>
              <w:left w:val="single" w:color="auto" w:sz="4" w:space="0"/>
              <w:bottom w:val="single" w:color="000000" w:sz="4" w:space="0"/>
              <w:right w:val="single" w:color="000000" w:sz="4" w:space="0"/>
            </w:tcBorders>
            <w:vAlign w:val="center"/>
          </w:tcPr>
          <w:p w14:paraId="6ADC1E4A">
            <w:pPr>
              <w:pStyle w:val="276"/>
              <w:spacing w:line="400" w:lineRule="exact"/>
              <w:rPr>
                <w:rFonts w:ascii="宋体" w:hAnsi="宋体" w:cs="宋体"/>
                <w:color w:val="auto"/>
                <w:szCs w:val="21"/>
                <w:highlight w:val="none"/>
              </w:rPr>
            </w:pPr>
          </w:p>
        </w:tc>
        <w:tc>
          <w:tcPr>
            <w:tcW w:w="2257" w:type="dxa"/>
            <w:tcBorders>
              <w:top w:val="single" w:color="000000" w:sz="4" w:space="0"/>
              <w:left w:val="single" w:color="000000" w:sz="4" w:space="0"/>
              <w:bottom w:val="single" w:color="000000" w:sz="4" w:space="0"/>
              <w:right w:val="single" w:color="000000" w:sz="4" w:space="0"/>
            </w:tcBorders>
            <w:vAlign w:val="center"/>
          </w:tcPr>
          <w:p w14:paraId="0466BFEF">
            <w:pPr>
              <w:pStyle w:val="276"/>
              <w:spacing w:line="400" w:lineRule="exact"/>
              <w:rPr>
                <w:rFonts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vAlign w:val="center"/>
          </w:tcPr>
          <w:p w14:paraId="34DE284C">
            <w:pPr>
              <w:pStyle w:val="276"/>
              <w:spacing w:line="400" w:lineRule="exact"/>
              <w:rPr>
                <w:rFonts w:ascii="宋体" w:hAnsi="宋体" w:cs="宋体"/>
                <w:color w:val="auto"/>
                <w:szCs w:val="21"/>
                <w:highlight w:val="none"/>
              </w:rPr>
            </w:pPr>
          </w:p>
        </w:tc>
      </w:tr>
      <w:tr w14:paraId="71E97D34">
        <w:tblPrEx>
          <w:tblCellMar>
            <w:top w:w="0" w:type="dxa"/>
            <w:left w:w="0" w:type="dxa"/>
            <w:bottom w:w="0" w:type="dxa"/>
            <w:right w:w="0" w:type="dxa"/>
          </w:tblCellMar>
        </w:tblPrEx>
        <w:trPr>
          <w:trHeight w:val="647"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14EBC888">
            <w:pPr>
              <w:pStyle w:val="276"/>
              <w:spacing w:line="400" w:lineRule="exact"/>
              <w:rPr>
                <w:rFonts w:ascii="宋体" w:hAnsi="宋体" w:cs="宋体"/>
                <w:color w:val="auto"/>
                <w:szCs w:val="21"/>
                <w:highlight w:val="none"/>
              </w:rPr>
            </w:pPr>
          </w:p>
        </w:tc>
        <w:tc>
          <w:tcPr>
            <w:tcW w:w="3175" w:type="dxa"/>
            <w:tcBorders>
              <w:top w:val="single" w:color="000000" w:sz="4" w:space="0"/>
              <w:left w:val="single" w:color="000000" w:sz="4" w:space="0"/>
              <w:bottom w:val="single" w:color="000000" w:sz="4" w:space="0"/>
              <w:right w:val="single" w:color="000000" w:sz="4" w:space="0"/>
            </w:tcBorders>
            <w:vAlign w:val="center"/>
          </w:tcPr>
          <w:p w14:paraId="04A69EAA">
            <w:pPr>
              <w:pStyle w:val="276"/>
              <w:spacing w:line="400" w:lineRule="exact"/>
              <w:rPr>
                <w:rFonts w:ascii="宋体" w:hAnsi="宋体" w:cs="宋体"/>
                <w:color w:val="auto"/>
                <w:szCs w:val="21"/>
                <w:highlight w:val="none"/>
              </w:rPr>
            </w:pPr>
          </w:p>
        </w:tc>
        <w:tc>
          <w:tcPr>
            <w:tcW w:w="1727" w:type="dxa"/>
            <w:tcBorders>
              <w:top w:val="single" w:color="000000" w:sz="4" w:space="0"/>
              <w:left w:val="single" w:color="auto" w:sz="4" w:space="0"/>
              <w:bottom w:val="single" w:color="000000" w:sz="4" w:space="0"/>
              <w:right w:val="single" w:color="000000" w:sz="4" w:space="0"/>
            </w:tcBorders>
            <w:vAlign w:val="center"/>
          </w:tcPr>
          <w:p w14:paraId="3683082D">
            <w:pPr>
              <w:pStyle w:val="276"/>
              <w:spacing w:line="400" w:lineRule="exact"/>
              <w:rPr>
                <w:rFonts w:ascii="宋体" w:hAnsi="宋体" w:cs="宋体"/>
                <w:color w:val="auto"/>
                <w:szCs w:val="21"/>
                <w:highlight w:val="none"/>
              </w:rPr>
            </w:pPr>
          </w:p>
        </w:tc>
        <w:tc>
          <w:tcPr>
            <w:tcW w:w="2257" w:type="dxa"/>
            <w:tcBorders>
              <w:top w:val="single" w:color="000000" w:sz="4" w:space="0"/>
              <w:left w:val="single" w:color="000000" w:sz="4" w:space="0"/>
              <w:bottom w:val="single" w:color="000000" w:sz="4" w:space="0"/>
              <w:right w:val="single" w:color="000000" w:sz="4" w:space="0"/>
            </w:tcBorders>
            <w:vAlign w:val="center"/>
          </w:tcPr>
          <w:p w14:paraId="477A6DC5">
            <w:pPr>
              <w:pStyle w:val="276"/>
              <w:spacing w:line="400" w:lineRule="exact"/>
              <w:rPr>
                <w:rFonts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vAlign w:val="center"/>
          </w:tcPr>
          <w:p w14:paraId="40F5DE92">
            <w:pPr>
              <w:pStyle w:val="276"/>
              <w:spacing w:line="400" w:lineRule="exact"/>
              <w:rPr>
                <w:rFonts w:ascii="宋体" w:hAnsi="宋体" w:cs="宋体"/>
                <w:color w:val="auto"/>
                <w:szCs w:val="21"/>
                <w:highlight w:val="none"/>
              </w:rPr>
            </w:pPr>
          </w:p>
        </w:tc>
      </w:tr>
      <w:tr w14:paraId="42BDEA69">
        <w:tblPrEx>
          <w:tblCellMar>
            <w:top w:w="0" w:type="dxa"/>
            <w:left w:w="0" w:type="dxa"/>
            <w:bottom w:w="0" w:type="dxa"/>
            <w:right w:w="0" w:type="dxa"/>
          </w:tblCellMar>
        </w:tblPrEx>
        <w:trPr>
          <w:trHeight w:val="647"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6A59B5FA">
            <w:pPr>
              <w:pStyle w:val="276"/>
              <w:spacing w:line="400" w:lineRule="exact"/>
              <w:rPr>
                <w:rFonts w:ascii="宋体" w:hAnsi="宋体" w:cs="宋体"/>
                <w:color w:val="auto"/>
                <w:szCs w:val="21"/>
                <w:highlight w:val="none"/>
              </w:rPr>
            </w:pPr>
          </w:p>
        </w:tc>
        <w:tc>
          <w:tcPr>
            <w:tcW w:w="3175" w:type="dxa"/>
            <w:tcBorders>
              <w:top w:val="single" w:color="000000" w:sz="4" w:space="0"/>
              <w:left w:val="single" w:color="000000" w:sz="4" w:space="0"/>
              <w:bottom w:val="single" w:color="000000" w:sz="4" w:space="0"/>
              <w:right w:val="single" w:color="000000" w:sz="4" w:space="0"/>
            </w:tcBorders>
            <w:vAlign w:val="center"/>
          </w:tcPr>
          <w:p w14:paraId="2EA46213">
            <w:pPr>
              <w:pStyle w:val="276"/>
              <w:spacing w:line="400" w:lineRule="exact"/>
              <w:rPr>
                <w:rFonts w:ascii="宋体" w:hAnsi="宋体" w:cs="宋体"/>
                <w:color w:val="auto"/>
                <w:szCs w:val="21"/>
                <w:highlight w:val="none"/>
              </w:rPr>
            </w:pPr>
          </w:p>
        </w:tc>
        <w:tc>
          <w:tcPr>
            <w:tcW w:w="1727" w:type="dxa"/>
            <w:tcBorders>
              <w:top w:val="single" w:color="000000" w:sz="4" w:space="0"/>
              <w:left w:val="single" w:color="auto" w:sz="4" w:space="0"/>
              <w:bottom w:val="single" w:color="000000" w:sz="4" w:space="0"/>
              <w:right w:val="single" w:color="000000" w:sz="4" w:space="0"/>
            </w:tcBorders>
            <w:vAlign w:val="center"/>
          </w:tcPr>
          <w:p w14:paraId="7633BBED">
            <w:pPr>
              <w:pStyle w:val="276"/>
              <w:spacing w:line="400" w:lineRule="exact"/>
              <w:rPr>
                <w:rFonts w:ascii="宋体" w:hAnsi="宋体" w:cs="宋体"/>
                <w:color w:val="auto"/>
                <w:szCs w:val="21"/>
                <w:highlight w:val="none"/>
              </w:rPr>
            </w:pPr>
          </w:p>
        </w:tc>
        <w:tc>
          <w:tcPr>
            <w:tcW w:w="2257" w:type="dxa"/>
            <w:tcBorders>
              <w:top w:val="single" w:color="000000" w:sz="4" w:space="0"/>
              <w:left w:val="single" w:color="000000" w:sz="4" w:space="0"/>
              <w:bottom w:val="single" w:color="000000" w:sz="4" w:space="0"/>
              <w:right w:val="single" w:color="000000" w:sz="4" w:space="0"/>
            </w:tcBorders>
            <w:vAlign w:val="center"/>
          </w:tcPr>
          <w:p w14:paraId="62A4F1A3">
            <w:pPr>
              <w:pStyle w:val="276"/>
              <w:spacing w:line="400" w:lineRule="exact"/>
              <w:rPr>
                <w:rFonts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vAlign w:val="center"/>
          </w:tcPr>
          <w:p w14:paraId="3300F4D9">
            <w:pPr>
              <w:pStyle w:val="276"/>
              <w:spacing w:line="400" w:lineRule="exact"/>
              <w:rPr>
                <w:rFonts w:ascii="宋体" w:hAnsi="宋体" w:cs="宋体"/>
                <w:color w:val="auto"/>
                <w:szCs w:val="21"/>
                <w:highlight w:val="none"/>
              </w:rPr>
            </w:pPr>
          </w:p>
        </w:tc>
      </w:tr>
      <w:tr w14:paraId="43B6CDFE">
        <w:tblPrEx>
          <w:tblCellMar>
            <w:top w:w="0" w:type="dxa"/>
            <w:left w:w="0" w:type="dxa"/>
            <w:bottom w:w="0" w:type="dxa"/>
            <w:right w:w="0" w:type="dxa"/>
          </w:tblCellMar>
        </w:tblPrEx>
        <w:trPr>
          <w:trHeight w:val="647" w:hRule="atLeast"/>
        </w:trPr>
        <w:tc>
          <w:tcPr>
            <w:tcW w:w="615" w:type="dxa"/>
            <w:tcBorders>
              <w:top w:val="single" w:color="000000" w:sz="4" w:space="0"/>
              <w:left w:val="single" w:color="000000" w:sz="4" w:space="0"/>
              <w:bottom w:val="single" w:color="000000" w:sz="4" w:space="0"/>
              <w:right w:val="single" w:color="000000" w:sz="4" w:space="0"/>
            </w:tcBorders>
            <w:vAlign w:val="center"/>
          </w:tcPr>
          <w:p w14:paraId="798DD842">
            <w:pPr>
              <w:pStyle w:val="276"/>
              <w:spacing w:line="400" w:lineRule="exact"/>
              <w:rPr>
                <w:rFonts w:ascii="宋体" w:hAnsi="宋体" w:cs="宋体"/>
                <w:color w:val="auto"/>
                <w:szCs w:val="21"/>
                <w:highlight w:val="none"/>
              </w:rPr>
            </w:pPr>
          </w:p>
        </w:tc>
        <w:tc>
          <w:tcPr>
            <w:tcW w:w="3175" w:type="dxa"/>
            <w:tcBorders>
              <w:top w:val="single" w:color="000000" w:sz="4" w:space="0"/>
              <w:left w:val="single" w:color="000000" w:sz="4" w:space="0"/>
              <w:bottom w:val="single" w:color="000000" w:sz="4" w:space="0"/>
              <w:right w:val="single" w:color="000000" w:sz="4" w:space="0"/>
            </w:tcBorders>
            <w:vAlign w:val="center"/>
          </w:tcPr>
          <w:p w14:paraId="4E184090">
            <w:pPr>
              <w:pStyle w:val="276"/>
              <w:spacing w:line="400" w:lineRule="exact"/>
              <w:rPr>
                <w:rFonts w:ascii="宋体" w:hAnsi="宋体" w:cs="宋体"/>
                <w:color w:val="auto"/>
                <w:szCs w:val="21"/>
                <w:highlight w:val="none"/>
              </w:rPr>
            </w:pPr>
          </w:p>
        </w:tc>
        <w:tc>
          <w:tcPr>
            <w:tcW w:w="1727" w:type="dxa"/>
            <w:tcBorders>
              <w:top w:val="single" w:color="000000" w:sz="4" w:space="0"/>
              <w:left w:val="single" w:color="auto" w:sz="4" w:space="0"/>
              <w:bottom w:val="single" w:color="000000" w:sz="4" w:space="0"/>
              <w:right w:val="single" w:color="000000" w:sz="4" w:space="0"/>
            </w:tcBorders>
            <w:vAlign w:val="center"/>
          </w:tcPr>
          <w:p w14:paraId="466966A8">
            <w:pPr>
              <w:pStyle w:val="276"/>
              <w:spacing w:line="400" w:lineRule="exact"/>
              <w:rPr>
                <w:rFonts w:ascii="宋体" w:hAnsi="宋体" w:cs="宋体"/>
                <w:color w:val="auto"/>
                <w:szCs w:val="21"/>
                <w:highlight w:val="none"/>
              </w:rPr>
            </w:pPr>
          </w:p>
        </w:tc>
        <w:tc>
          <w:tcPr>
            <w:tcW w:w="2257" w:type="dxa"/>
            <w:tcBorders>
              <w:top w:val="single" w:color="000000" w:sz="4" w:space="0"/>
              <w:left w:val="single" w:color="000000" w:sz="4" w:space="0"/>
              <w:bottom w:val="single" w:color="000000" w:sz="4" w:space="0"/>
              <w:right w:val="single" w:color="000000" w:sz="4" w:space="0"/>
            </w:tcBorders>
            <w:vAlign w:val="center"/>
          </w:tcPr>
          <w:p w14:paraId="004A1206">
            <w:pPr>
              <w:pStyle w:val="276"/>
              <w:spacing w:line="400" w:lineRule="exact"/>
              <w:rPr>
                <w:rFonts w:ascii="宋体" w:hAnsi="宋体" w:cs="宋体"/>
                <w:color w:val="auto"/>
                <w:szCs w:val="21"/>
                <w:highlight w:val="none"/>
              </w:rPr>
            </w:pPr>
          </w:p>
        </w:tc>
        <w:tc>
          <w:tcPr>
            <w:tcW w:w="1003" w:type="dxa"/>
            <w:tcBorders>
              <w:top w:val="single" w:color="000000" w:sz="4" w:space="0"/>
              <w:left w:val="single" w:color="000000" w:sz="4" w:space="0"/>
              <w:bottom w:val="single" w:color="000000" w:sz="4" w:space="0"/>
              <w:right w:val="single" w:color="000000" w:sz="4" w:space="0"/>
            </w:tcBorders>
            <w:vAlign w:val="center"/>
          </w:tcPr>
          <w:p w14:paraId="08D67A0D">
            <w:pPr>
              <w:pStyle w:val="276"/>
              <w:spacing w:line="400" w:lineRule="exact"/>
              <w:rPr>
                <w:rFonts w:ascii="宋体" w:hAnsi="宋体" w:cs="宋体"/>
                <w:color w:val="auto"/>
                <w:szCs w:val="21"/>
                <w:highlight w:val="none"/>
              </w:rPr>
            </w:pPr>
          </w:p>
        </w:tc>
      </w:tr>
      <w:tr w14:paraId="7199D55D">
        <w:tblPrEx>
          <w:tblCellMar>
            <w:top w:w="0" w:type="dxa"/>
            <w:left w:w="0" w:type="dxa"/>
            <w:bottom w:w="0" w:type="dxa"/>
            <w:right w:w="0" w:type="dxa"/>
          </w:tblCellMar>
        </w:tblPrEx>
        <w:trPr>
          <w:trHeight w:val="658" w:hRule="atLeast"/>
        </w:trPr>
        <w:tc>
          <w:tcPr>
            <w:tcW w:w="615" w:type="dxa"/>
            <w:tcBorders>
              <w:top w:val="single" w:color="000000" w:sz="4" w:space="0"/>
              <w:left w:val="single" w:color="000000" w:sz="4" w:space="0"/>
              <w:bottom w:val="single" w:color="auto" w:sz="4" w:space="0"/>
              <w:right w:val="single" w:color="000000" w:sz="4" w:space="0"/>
            </w:tcBorders>
            <w:vAlign w:val="center"/>
          </w:tcPr>
          <w:p w14:paraId="2D294238">
            <w:pPr>
              <w:pStyle w:val="276"/>
              <w:spacing w:line="400" w:lineRule="exact"/>
              <w:rPr>
                <w:rFonts w:ascii="宋体" w:hAnsi="宋体" w:cs="宋体"/>
                <w:color w:val="auto"/>
                <w:szCs w:val="21"/>
                <w:highlight w:val="none"/>
              </w:rPr>
            </w:pPr>
          </w:p>
        </w:tc>
        <w:tc>
          <w:tcPr>
            <w:tcW w:w="3175" w:type="dxa"/>
            <w:tcBorders>
              <w:top w:val="single" w:color="000000" w:sz="4" w:space="0"/>
              <w:left w:val="single" w:color="000000" w:sz="4" w:space="0"/>
              <w:bottom w:val="single" w:color="auto" w:sz="4" w:space="0"/>
              <w:right w:val="single" w:color="000000" w:sz="4" w:space="0"/>
            </w:tcBorders>
            <w:vAlign w:val="center"/>
          </w:tcPr>
          <w:p w14:paraId="483CE1E5">
            <w:pPr>
              <w:pStyle w:val="276"/>
              <w:spacing w:line="400" w:lineRule="exact"/>
              <w:rPr>
                <w:rFonts w:ascii="宋体" w:hAnsi="宋体" w:cs="宋体"/>
                <w:color w:val="auto"/>
                <w:szCs w:val="21"/>
                <w:highlight w:val="none"/>
              </w:rPr>
            </w:pPr>
          </w:p>
        </w:tc>
        <w:tc>
          <w:tcPr>
            <w:tcW w:w="1727" w:type="dxa"/>
            <w:tcBorders>
              <w:top w:val="single" w:color="000000" w:sz="4" w:space="0"/>
              <w:left w:val="single" w:color="auto" w:sz="4" w:space="0"/>
              <w:bottom w:val="single" w:color="auto" w:sz="4" w:space="0"/>
              <w:right w:val="single" w:color="000000" w:sz="4" w:space="0"/>
            </w:tcBorders>
            <w:vAlign w:val="center"/>
          </w:tcPr>
          <w:p w14:paraId="05A19FAD">
            <w:pPr>
              <w:pStyle w:val="276"/>
              <w:spacing w:line="400" w:lineRule="exact"/>
              <w:rPr>
                <w:rFonts w:ascii="宋体" w:hAnsi="宋体" w:cs="宋体"/>
                <w:color w:val="auto"/>
                <w:szCs w:val="21"/>
                <w:highlight w:val="none"/>
              </w:rPr>
            </w:pPr>
          </w:p>
        </w:tc>
        <w:tc>
          <w:tcPr>
            <w:tcW w:w="2257" w:type="dxa"/>
            <w:tcBorders>
              <w:top w:val="single" w:color="000000" w:sz="4" w:space="0"/>
              <w:left w:val="single" w:color="000000" w:sz="4" w:space="0"/>
              <w:bottom w:val="single" w:color="auto" w:sz="4" w:space="0"/>
              <w:right w:val="single" w:color="000000" w:sz="4" w:space="0"/>
            </w:tcBorders>
            <w:vAlign w:val="center"/>
          </w:tcPr>
          <w:p w14:paraId="18FD7A66">
            <w:pPr>
              <w:pStyle w:val="276"/>
              <w:spacing w:line="400" w:lineRule="exact"/>
              <w:rPr>
                <w:rFonts w:ascii="宋体" w:hAnsi="宋体" w:cs="宋体"/>
                <w:color w:val="auto"/>
                <w:szCs w:val="21"/>
                <w:highlight w:val="none"/>
              </w:rPr>
            </w:pPr>
          </w:p>
        </w:tc>
        <w:tc>
          <w:tcPr>
            <w:tcW w:w="1003" w:type="dxa"/>
            <w:tcBorders>
              <w:top w:val="single" w:color="000000" w:sz="4" w:space="0"/>
              <w:left w:val="single" w:color="000000" w:sz="4" w:space="0"/>
              <w:bottom w:val="single" w:color="auto" w:sz="4" w:space="0"/>
              <w:right w:val="single" w:color="000000" w:sz="4" w:space="0"/>
            </w:tcBorders>
            <w:vAlign w:val="center"/>
          </w:tcPr>
          <w:p w14:paraId="0AF62B35">
            <w:pPr>
              <w:pStyle w:val="276"/>
              <w:spacing w:line="400" w:lineRule="exact"/>
              <w:rPr>
                <w:rFonts w:ascii="宋体" w:hAnsi="宋体" w:cs="宋体"/>
                <w:color w:val="auto"/>
                <w:szCs w:val="21"/>
                <w:highlight w:val="none"/>
              </w:rPr>
            </w:pPr>
          </w:p>
        </w:tc>
      </w:tr>
    </w:tbl>
    <w:p w14:paraId="3016EEE4">
      <w:pPr>
        <w:pStyle w:val="276"/>
        <w:spacing w:line="360" w:lineRule="auto"/>
        <w:rPr>
          <w:rFonts w:hint="eastAsia" w:ascii="宋体" w:hAnsi="宋体" w:cs="宋体"/>
          <w:color w:val="auto"/>
          <w:sz w:val="24"/>
          <w:highlight w:val="none"/>
        </w:rPr>
      </w:pPr>
    </w:p>
    <w:p w14:paraId="4797CF40">
      <w:pPr>
        <w:pStyle w:val="276"/>
        <w:rPr>
          <w:rFonts w:ascii="宋体" w:hAnsi="宋体" w:cs="宋体"/>
          <w:color w:val="auto"/>
          <w:highlight w:val="none"/>
        </w:rPr>
      </w:pPr>
    </w:p>
    <w:p w14:paraId="661B5CC2">
      <w:pPr>
        <w:pStyle w:val="276"/>
        <w:rPr>
          <w:rFonts w:ascii="宋体" w:hAnsi="宋体" w:cs="宋体"/>
          <w:color w:val="auto"/>
          <w:sz w:val="24"/>
          <w:highlight w:val="none"/>
        </w:rPr>
      </w:pPr>
      <w:r>
        <w:rPr>
          <w:rFonts w:hint="eastAsia" w:ascii="宋体" w:hAnsi="宋体" w:cs="宋体"/>
          <w:color w:val="auto"/>
          <w:sz w:val="24"/>
          <w:highlight w:val="none"/>
        </w:rPr>
        <w:t>招标人或招标代理机构：</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none"/>
        </w:rPr>
        <w:t>（盖单位电子印章</w:t>
      </w:r>
      <w:r>
        <w:rPr>
          <w:rFonts w:hint="eastAsia" w:ascii="宋体" w:hAnsi="宋体" w:cs="宋体"/>
          <w:color w:val="auto"/>
          <w:sz w:val="24"/>
          <w:highlight w:val="none"/>
          <w:u w:val="none"/>
          <w:lang w:eastAsia="zh-CN"/>
        </w:rPr>
        <w:t>）</w:t>
      </w:r>
      <w:r>
        <w:rPr>
          <w:rFonts w:ascii="宋体" w:hAnsi="宋体" w:cs="宋体"/>
          <w:color w:val="auto"/>
          <w:sz w:val="24"/>
          <w:highlight w:val="none"/>
        </w:rPr>
        <w:t xml:space="preserve">                            </w:t>
      </w:r>
    </w:p>
    <w:p w14:paraId="40034D8D">
      <w:pPr>
        <w:pStyle w:val="276"/>
        <w:spacing w:line="480" w:lineRule="exact"/>
        <w:ind w:firstLine="420" w:firstLineChars="200"/>
        <w:rPr>
          <w:rFonts w:ascii="宋体" w:hAnsi="宋体" w:cs="宋体"/>
          <w:color w:val="auto"/>
          <w:szCs w:val="21"/>
          <w:highlight w:val="none"/>
        </w:rPr>
      </w:pPr>
    </w:p>
    <w:p w14:paraId="407F3D8B">
      <w:pPr>
        <w:pStyle w:val="276"/>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注：第二个信封（报价文件）开标过程中，若投标文件出现以下任一情况，经监督人确认后当场在开标记录表备注栏中予以记录：</w:t>
      </w:r>
    </w:p>
    <w:p w14:paraId="402896BD">
      <w:pPr>
        <w:pStyle w:val="276"/>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fldChar w:fldCharType="begin"/>
      </w:r>
      <w:r>
        <w:rPr>
          <w:rFonts w:ascii="宋体" w:hAnsi="宋体" w:cs="宋体"/>
          <w:color w:val="auto"/>
          <w:szCs w:val="21"/>
          <w:highlight w:val="none"/>
        </w:rPr>
        <w:instrText xml:space="preserve"> = 1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①</w:t>
      </w:r>
      <w:r>
        <w:rPr>
          <w:rFonts w:hint="eastAsia" w:ascii="宋体" w:hAnsi="宋体" w:cs="宋体"/>
          <w:color w:val="auto"/>
          <w:szCs w:val="21"/>
          <w:highlight w:val="none"/>
        </w:rPr>
        <w:fldChar w:fldCharType="end"/>
      </w:r>
      <w:r>
        <w:rPr>
          <w:rFonts w:hint="eastAsia" w:ascii="宋体" w:hAnsi="宋体" w:cs="宋体"/>
          <w:color w:val="auto"/>
          <w:szCs w:val="21"/>
          <w:highlight w:val="none"/>
        </w:rPr>
        <w:t>投标函（第二个信封）未填写投标报价；</w:t>
      </w:r>
    </w:p>
    <w:p w14:paraId="7A78CEF5">
      <w:pPr>
        <w:pStyle w:val="276"/>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fldChar w:fldCharType="begin"/>
      </w:r>
      <w:r>
        <w:rPr>
          <w:rFonts w:ascii="宋体" w:hAnsi="宋体" w:cs="宋体"/>
          <w:color w:val="auto"/>
          <w:szCs w:val="21"/>
          <w:highlight w:val="none"/>
        </w:rPr>
        <w:instrText xml:space="preserve"> = 2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②</w:t>
      </w:r>
      <w:r>
        <w:rPr>
          <w:rFonts w:hint="eastAsia" w:ascii="宋体" w:hAnsi="宋体" w:cs="宋体"/>
          <w:color w:val="auto"/>
          <w:szCs w:val="21"/>
          <w:highlight w:val="none"/>
        </w:rPr>
        <w:fldChar w:fldCharType="end"/>
      </w:r>
      <w:r>
        <w:rPr>
          <w:rFonts w:hint="eastAsia" w:ascii="宋体" w:hAnsi="宋体" w:cs="宋体"/>
          <w:color w:val="auto"/>
          <w:szCs w:val="21"/>
          <w:highlight w:val="none"/>
        </w:rPr>
        <w:t>投标报价超过招标人公布的限价；</w:t>
      </w:r>
    </w:p>
    <w:p w14:paraId="50BCD438">
      <w:pPr>
        <w:pStyle w:val="276"/>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fldChar w:fldCharType="begin"/>
      </w:r>
      <w:r>
        <w:rPr>
          <w:rFonts w:ascii="宋体" w:hAnsi="宋体" w:cs="宋体"/>
          <w:color w:val="auto"/>
          <w:szCs w:val="21"/>
          <w:highlight w:val="none"/>
        </w:rPr>
        <w:instrText xml:space="preserve"> = 3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③</w:t>
      </w:r>
      <w:r>
        <w:rPr>
          <w:rFonts w:hint="eastAsia" w:ascii="宋体" w:hAnsi="宋体" w:cs="宋体"/>
          <w:color w:val="auto"/>
          <w:szCs w:val="21"/>
          <w:highlight w:val="none"/>
        </w:rPr>
        <w:fldChar w:fldCharType="end"/>
      </w:r>
      <w:r>
        <w:rPr>
          <w:rFonts w:hint="eastAsia" w:ascii="宋体" w:hAnsi="宋体" w:cs="宋体"/>
          <w:color w:val="auto"/>
          <w:szCs w:val="21"/>
          <w:highlight w:val="none"/>
        </w:rPr>
        <w:t>投标报价的大写金额无法确定具体数值；</w:t>
      </w:r>
    </w:p>
    <w:p w14:paraId="2C3C444E">
      <w:pPr>
        <w:pStyle w:val="276"/>
        <w:spacing w:line="360" w:lineRule="auto"/>
        <w:ind w:firstLine="420" w:firstLineChars="200"/>
        <w:outlineLvl w:val="9"/>
        <w:rPr>
          <w:rFonts w:hint="eastAsia" w:ascii="宋体" w:hAnsi="宋体" w:cs="宋体"/>
          <w:color w:val="auto"/>
          <w:szCs w:val="21"/>
          <w:highlight w:val="none"/>
        </w:rPr>
      </w:pPr>
      <w:r>
        <w:rPr>
          <w:rFonts w:hint="eastAsia" w:ascii="宋体" w:hAnsi="宋体" w:cs="宋体"/>
          <w:color w:val="auto"/>
          <w:szCs w:val="21"/>
          <w:highlight w:val="none"/>
        </w:rPr>
        <w:fldChar w:fldCharType="begin"/>
      </w:r>
      <w:r>
        <w:rPr>
          <w:rFonts w:ascii="宋体" w:hAnsi="宋体" w:cs="宋体"/>
          <w:color w:val="auto"/>
          <w:szCs w:val="21"/>
          <w:highlight w:val="none"/>
        </w:rPr>
        <w:instrText xml:space="preserve"> = 4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④</w:t>
      </w:r>
      <w:r>
        <w:rPr>
          <w:rFonts w:hint="eastAsia" w:ascii="宋体" w:hAnsi="宋体" w:cs="宋体"/>
          <w:color w:val="auto"/>
          <w:szCs w:val="21"/>
          <w:highlight w:val="none"/>
        </w:rPr>
        <w:fldChar w:fldCharType="end"/>
      </w:r>
      <w:r>
        <w:rPr>
          <w:rFonts w:hint="eastAsia" w:ascii="宋体" w:hAnsi="宋体" w:cs="宋体"/>
          <w:color w:val="auto"/>
          <w:szCs w:val="21"/>
          <w:highlight w:val="none"/>
        </w:rPr>
        <w:t>第二个信封</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报价文件</w:t>
      </w:r>
      <w:r>
        <w:rPr>
          <w:rFonts w:hint="eastAsia" w:ascii="宋体" w:hAnsi="宋体"/>
          <w:color w:val="auto"/>
          <w:kern w:val="0"/>
          <w:szCs w:val="21"/>
          <w:highlight w:val="none"/>
          <w:lang w:eastAsia="zh-CN"/>
        </w:rPr>
        <w:t>）</w:t>
      </w:r>
      <w:r>
        <w:rPr>
          <w:rFonts w:hint="eastAsia" w:ascii="宋体" w:hAnsi="宋体" w:cs="宋体"/>
          <w:color w:val="auto"/>
          <w:szCs w:val="21"/>
          <w:highlight w:val="none"/>
        </w:rPr>
        <w:t>电子文档（因投标文件错误或内容缺失等源文件原因）不能成功导入。</w:t>
      </w:r>
    </w:p>
    <w:p w14:paraId="7403EF9F">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786AD926">
      <w:pPr>
        <w:pStyle w:val="276"/>
        <w:spacing w:line="360" w:lineRule="auto"/>
        <w:ind w:firstLine="0" w:firstLineChars="0"/>
        <w:outlineLvl w:val="1"/>
        <w:rPr>
          <w:rStyle w:val="146"/>
          <w:rFonts w:hint="default"/>
          <w:b w:val="0"/>
          <w:bCs w:val="0"/>
        </w:rPr>
      </w:pPr>
      <w:bookmarkStart w:id="409" w:name="_Toc234382646"/>
      <w:r>
        <w:rPr>
          <w:rStyle w:val="146"/>
          <w:rFonts w:hint="default"/>
          <w:b w:val="0"/>
          <w:bCs w:val="0"/>
        </w:rPr>
        <w:t>附件二  问题澄清通知</w:t>
      </w:r>
      <w:bookmarkEnd w:id="409"/>
    </w:p>
    <w:p w14:paraId="37F37E26">
      <w:pPr>
        <w:spacing w:line="360" w:lineRule="auto"/>
        <w:jc w:val="center"/>
        <w:rPr>
          <w:rFonts w:ascii="黑体" w:hAnsi="黑体" w:eastAsia="黑体"/>
          <w:bCs/>
          <w:color w:val="auto"/>
          <w:kern w:val="44"/>
          <w:sz w:val="28"/>
          <w:szCs w:val="28"/>
          <w:highlight w:val="none"/>
        </w:rPr>
      </w:pPr>
      <w:r>
        <w:rPr>
          <w:rFonts w:hint="eastAsia" w:ascii="黑体" w:hAnsi="黑体" w:eastAsia="黑体"/>
          <w:bCs/>
          <w:color w:val="auto"/>
          <w:kern w:val="44"/>
          <w:sz w:val="28"/>
          <w:szCs w:val="28"/>
          <w:highlight w:val="none"/>
        </w:rPr>
        <w:t>问题澄清通知</w:t>
      </w:r>
    </w:p>
    <w:p w14:paraId="68D79854">
      <w:pPr>
        <w:pStyle w:val="276"/>
        <w:spacing w:line="360" w:lineRule="auto"/>
        <w:jc w:val="center"/>
        <w:rPr>
          <w:rFonts w:ascii="宋体" w:hAnsi="宋体" w:cs="宋体"/>
          <w:color w:val="auto"/>
          <w:sz w:val="24"/>
          <w:highlight w:val="none"/>
        </w:rPr>
      </w:pPr>
      <w:r>
        <w:rPr>
          <w:rFonts w:hint="eastAsia" w:ascii="Times New Roman" w:hAnsi="Times New Roman"/>
          <w:color w:val="auto"/>
          <w:szCs w:val="21"/>
          <w:highlight w:val="none"/>
        </w:rPr>
        <w:t>（编号：</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rPr>
        <w:t>）</w:t>
      </w:r>
    </w:p>
    <w:p w14:paraId="1534549A">
      <w:pPr>
        <w:pStyle w:val="276"/>
        <w:spacing w:line="360" w:lineRule="auto"/>
        <w:rPr>
          <w:rFonts w:ascii="宋体" w:hAnsi="宋体" w:cs="宋体"/>
          <w:color w:val="auto"/>
          <w:sz w:val="24"/>
          <w:highlight w:val="none"/>
        </w:rPr>
      </w:pPr>
    </w:p>
    <w:p w14:paraId="74B61E39">
      <w:pPr>
        <w:pStyle w:val="276"/>
        <w:spacing w:line="360" w:lineRule="auto"/>
        <w:rPr>
          <w:rFonts w:ascii="宋体" w:hAnsi="宋体" w:cs="宋体"/>
          <w:color w:val="auto"/>
          <w:sz w:val="24"/>
          <w:highlight w:val="none"/>
        </w:rPr>
      </w:pP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（投标人名称）：</w:t>
      </w:r>
    </w:p>
    <w:p w14:paraId="6D360BE1">
      <w:pPr>
        <w:pStyle w:val="276"/>
        <w:spacing w:line="360" w:lineRule="auto"/>
        <w:rPr>
          <w:rFonts w:ascii="宋体" w:hAnsi="宋体" w:cs="宋体"/>
          <w:color w:val="auto"/>
          <w:sz w:val="24"/>
          <w:highlight w:val="none"/>
        </w:rPr>
      </w:pPr>
    </w:p>
    <w:p w14:paraId="0A10EEFF">
      <w:pPr>
        <w:pStyle w:val="276"/>
        <w:spacing w:line="360" w:lineRule="auto"/>
        <w:ind w:firstLine="480" w:firstLineChars="200"/>
        <w:rPr>
          <w:rFonts w:ascii="宋体" w:hAnsi="宋体" w:cs="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招标</w:t>
      </w:r>
      <w:r>
        <w:rPr>
          <w:rFonts w:ascii="宋体" w:hAnsi="宋体"/>
          <w:color w:val="auto"/>
          <w:sz w:val="24"/>
          <w:highlight w:val="none"/>
        </w:rPr>
        <w:t>项目名称）</w:t>
      </w:r>
      <w:r>
        <w:rPr>
          <w:rFonts w:hint="eastAsia" w:ascii="宋体" w:hAnsi="宋体"/>
          <w:color w:val="auto"/>
          <w:sz w:val="24"/>
          <w:highlight w:val="none"/>
        </w:rPr>
        <w:t>招标第</w:t>
      </w:r>
      <w:r>
        <w:rPr>
          <w:rFonts w:ascii="宋体" w:hAnsi="宋体"/>
          <w:color w:val="auto"/>
          <w:sz w:val="24"/>
          <w:highlight w:val="none"/>
          <w:u w:val="single"/>
        </w:rPr>
        <w:t xml:space="preserve">    </w:t>
      </w:r>
      <w:r>
        <w:rPr>
          <w:rFonts w:hint="eastAsia" w:ascii="宋体" w:hAnsi="宋体" w:cs="宋体"/>
          <w:color w:val="auto"/>
          <w:sz w:val="24"/>
          <w:highlight w:val="none"/>
        </w:rPr>
        <w:t>标段的评标委员会，对你方的投标文件进行了仔细的审查，现需你方对下列问题予以澄清</w:t>
      </w:r>
      <w:r>
        <w:rPr>
          <w:rFonts w:hint="eastAsia" w:ascii="宋体" w:hAnsi="宋体" w:cs="宋体"/>
          <w:color w:val="auto"/>
          <w:sz w:val="24"/>
          <w:highlight w:val="none"/>
          <w:lang w:val="en-US" w:eastAsia="zh-CN"/>
        </w:rPr>
        <w:t>或说明</w:t>
      </w:r>
      <w:r>
        <w:rPr>
          <w:rFonts w:hint="eastAsia" w:ascii="宋体" w:hAnsi="宋体" w:cs="宋体"/>
          <w:color w:val="auto"/>
          <w:sz w:val="24"/>
          <w:highlight w:val="none"/>
        </w:rPr>
        <w:t>：</w:t>
      </w:r>
    </w:p>
    <w:p w14:paraId="3E6B68A5">
      <w:pPr>
        <w:pStyle w:val="276"/>
        <w:spacing w:line="360" w:lineRule="auto"/>
        <w:rPr>
          <w:rFonts w:ascii="宋体" w:hAnsi="宋体" w:cs="宋体"/>
          <w:color w:val="auto"/>
          <w:sz w:val="24"/>
          <w:highlight w:val="none"/>
        </w:rPr>
      </w:pPr>
    </w:p>
    <w:p w14:paraId="3B9F01AD">
      <w:pPr>
        <w:pStyle w:val="276"/>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 </w:t>
      </w:r>
    </w:p>
    <w:p w14:paraId="11F6B318">
      <w:pPr>
        <w:pStyle w:val="276"/>
        <w:spacing w:line="360" w:lineRule="auto"/>
        <w:rPr>
          <w:rFonts w:ascii="宋体" w:hAnsi="宋体" w:cs="宋体"/>
          <w:color w:val="auto"/>
          <w:sz w:val="24"/>
          <w:highlight w:val="none"/>
        </w:rPr>
      </w:pPr>
    </w:p>
    <w:p w14:paraId="78B3370C">
      <w:pPr>
        <w:pStyle w:val="276"/>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 </w:t>
      </w:r>
    </w:p>
    <w:p w14:paraId="73CE34C9">
      <w:pPr>
        <w:pStyle w:val="276"/>
        <w:spacing w:line="360" w:lineRule="auto"/>
        <w:rPr>
          <w:rFonts w:ascii="宋体" w:hAnsi="宋体" w:cs="宋体"/>
          <w:color w:val="auto"/>
          <w:sz w:val="24"/>
          <w:highlight w:val="none"/>
        </w:rPr>
      </w:pPr>
    </w:p>
    <w:p w14:paraId="46DD1459">
      <w:pPr>
        <w:pStyle w:val="276"/>
        <w:spacing w:line="360" w:lineRule="auto"/>
        <w:ind w:firstLine="420" w:firstLineChars="200"/>
        <w:rPr>
          <w:rFonts w:ascii="宋体" w:hAnsi="宋体" w:cs="宋体"/>
          <w:color w:val="auto"/>
          <w:sz w:val="24"/>
          <w:highlight w:val="none"/>
        </w:rPr>
      </w:pPr>
      <w:r>
        <w:rPr>
          <w:rFonts w:hint="eastAsia" w:ascii="宋体" w:hAnsi="宋体" w:eastAsia="宋体" w:cs="宋体"/>
          <w:lang w:val="en-US" w:eastAsia="zh-CN"/>
        </w:rPr>
        <w:t>……</w:t>
      </w:r>
    </w:p>
    <w:p w14:paraId="0E8168BB">
      <w:pPr>
        <w:pStyle w:val="276"/>
        <w:spacing w:line="360" w:lineRule="auto"/>
        <w:rPr>
          <w:rFonts w:ascii="宋体" w:hAnsi="宋体" w:cs="宋体"/>
          <w:color w:val="auto"/>
          <w:sz w:val="24"/>
          <w:highlight w:val="none"/>
        </w:rPr>
      </w:pPr>
    </w:p>
    <w:p w14:paraId="49FBF0BD">
      <w:pPr>
        <w:pStyle w:val="276"/>
        <w:spacing w:line="360" w:lineRule="auto"/>
        <w:rPr>
          <w:rFonts w:ascii="宋体" w:hAnsi="宋体" w:cs="宋体"/>
          <w:color w:val="auto"/>
          <w:sz w:val="24"/>
          <w:highlight w:val="none"/>
        </w:rPr>
      </w:pPr>
    </w:p>
    <w:p w14:paraId="73F87BA8">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请将上述问题的澄清</w:t>
      </w:r>
      <w:r>
        <w:rPr>
          <w:rFonts w:hint="eastAsia" w:ascii="宋体" w:hAnsi="宋体" w:cs="宋体"/>
          <w:color w:val="auto"/>
          <w:sz w:val="24"/>
          <w:highlight w:val="none"/>
          <w:lang w:val="en-US" w:eastAsia="zh-CN"/>
        </w:rPr>
        <w:t>或说明</w:t>
      </w:r>
      <w:r>
        <w:rPr>
          <w:rFonts w:hint="eastAsia" w:ascii="宋体" w:hAnsi="宋体" w:cs="宋体"/>
          <w:color w:val="auto"/>
          <w:sz w:val="24"/>
          <w:highlight w:val="none"/>
        </w:rPr>
        <w:t>于</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rPr>
        <w:t>年</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rPr>
        <w:t>月</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rPr>
        <w:t>日</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rPr>
        <w:t>时</w:t>
      </w:r>
      <w:r>
        <w:rPr>
          <w:rFonts w:hint="eastAsia" w:ascii="宋体" w:hAnsi="宋体" w:cs="宋体"/>
          <w:color w:val="auto"/>
          <w:sz w:val="24"/>
          <w:highlight w:val="none"/>
        </w:rPr>
        <w:t>通过“</w:t>
      </w:r>
      <w:r>
        <w:rPr>
          <w:rFonts w:hint="eastAsia" w:ascii="宋体" w:hAnsi="宋体" w:cs="宋体"/>
          <w:color w:val="auto"/>
          <w:sz w:val="24"/>
          <w:highlight w:val="none"/>
          <w:lang w:eastAsia="zh-CN"/>
        </w:rPr>
        <w:t>电子交易系统</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提交</w:t>
      </w:r>
      <w:r>
        <w:rPr>
          <w:rFonts w:hint="eastAsia" w:ascii="宋体" w:hAnsi="宋体" w:cs="宋体"/>
          <w:color w:val="auto"/>
          <w:sz w:val="24"/>
          <w:highlight w:val="none"/>
        </w:rPr>
        <w:t>。</w:t>
      </w:r>
    </w:p>
    <w:p w14:paraId="306756AA">
      <w:pPr>
        <w:pStyle w:val="276"/>
        <w:spacing w:line="360" w:lineRule="auto"/>
        <w:rPr>
          <w:rFonts w:ascii="宋体" w:hAnsi="宋体" w:cs="宋体"/>
          <w:color w:val="auto"/>
          <w:sz w:val="24"/>
          <w:highlight w:val="none"/>
        </w:rPr>
      </w:pPr>
    </w:p>
    <w:p w14:paraId="50298A57">
      <w:pPr>
        <w:pStyle w:val="276"/>
        <w:spacing w:line="360" w:lineRule="auto"/>
        <w:rPr>
          <w:rFonts w:ascii="宋体" w:hAnsi="宋体" w:cs="宋体"/>
          <w:color w:val="auto"/>
          <w:sz w:val="24"/>
          <w:highlight w:val="none"/>
        </w:rPr>
      </w:pPr>
      <w:r>
        <w:rPr>
          <w:rFonts w:ascii="宋体" w:hAnsi="宋体" w:cs="宋体"/>
          <w:color w:val="auto"/>
          <w:sz w:val="24"/>
          <w:highlight w:val="none"/>
        </w:rPr>
        <w:t xml:space="preserve">     </w:t>
      </w:r>
    </w:p>
    <w:p w14:paraId="15B17FA6">
      <w:pPr>
        <w:pStyle w:val="276"/>
        <w:spacing w:line="360" w:lineRule="auto"/>
        <w:ind w:firstLine="480" w:firstLineChars="200"/>
        <w:rPr>
          <w:rFonts w:ascii="宋体" w:hAnsi="宋体" w:cs="宋体"/>
          <w:color w:val="auto"/>
          <w:sz w:val="24"/>
          <w:highlight w:val="none"/>
          <w:u w:val="single"/>
        </w:rPr>
      </w:pPr>
      <w:r>
        <w:rPr>
          <w:rFonts w:hint="eastAsia"/>
          <w:color w:val="auto"/>
          <w:sz w:val="24"/>
          <w:highlight w:val="none"/>
        </w:rPr>
        <w:t>评标委员会</w:t>
      </w:r>
      <w:bookmarkStart w:id="410" w:name="_Hlk94003484"/>
      <w:r>
        <w:rPr>
          <w:rFonts w:hint="eastAsia"/>
          <w:color w:val="auto"/>
          <w:sz w:val="24"/>
          <w:highlight w:val="none"/>
        </w:rPr>
        <w:t>授权的招标人或招标代理机构</w:t>
      </w:r>
      <w:bookmarkEnd w:id="410"/>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bookmarkStart w:id="411" w:name="_Hlk94003497"/>
      <w:r>
        <w:rPr>
          <w:rFonts w:hint="eastAsia" w:ascii="宋体" w:hAnsi="宋体" w:cs="宋体"/>
          <w:color w:val="auto"/>
          <w:sz w:val="24"/>
          <w:highlight w:val="none"/>
          <w:u w:val="single"/>
        </w:rPr>
        <w:t>（盖单位电子印章／盖单位章）</w:t>
      </w:r>
      <w:bookmarkEnd w:id="411"/>
    </w:p>
    <w:p w14:paraId="4D593249">
      <w:pPr>
        <w:pStyle w:val="276"/>
        <w:rPr>
          <w:rFonts w:ascii="宋体" w:hAnsi="宋体" w:cs="宋体"/>
          <w:color w:val="auto"/>
          <w:highlight w:val="none"/>
        </w:rPr>
      </w:pP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bookmarkStart w:id="412" w:name="_Toc74760871"/>
      <w:bookmarkStart w:id="413" w:name="_Toc523921647"/>
    </w:p>
    <w:p w14:paraId="0E5BB920">
      <w:pPr>
        <w:rPr>
          <w:rStyle w:val="146"/>
          <w:rFonts w:hint="default"/>
          <w:b w:val="0"/>
          <w:bCs w:val="0"/>
        </w:rPr>
      </w:pPr>
      <w:r>
        <w:rPr>
          <w:rStyle w:val="146"/>
          <w:rFonts w:hint="default"/>
          <w:b w:val="0"/>
          <w:bCs w:val="0"/>
        </w:rPr>
        <w:br w:type="page"/>
      </w:r>
    </w:p>
    <w:p w14:paraId="0848541A">
      <w:pPr>
        <w:pStyle w:val="276"/>
        <w:spacing w:line="360" w:lineRule="auto"/>
        <w:outlineLvl w:val="1"/>
        <w:rPr>
          <w:rFonts w:eastAsia="黑体"/>
          <w:b w:val="0"/>
          <w:color w:val="auto"/>
          <w:sz w:val="24"/>
          <w:szCs w:val="24"/>
          <w:highlight w:val="none"/>
        </w:rPr>
      </w:pPr>
      <w:r>
        <w:rPr>
          <w:rStyle w:val="146"/>
          <w:rFonts w:hint="default"/>
          <w:b w:val="0"/>
          <w:bCs w:val="0"/>
        </w:rPr>
        <w:t>附件三</w:t>
      </w:r>
      <w:r>
        <w:rPr>
          <w:rStyle w:val="146"/>
          <w:b w:val="0"/>
          <w:bCs w:val="0"/>
        </w:rPr>
        <w:t xml:space="preserve">  </w:t>
      </w:r>
      <w:r>
        <w:rPr>
          <w:rStyle w:val="146"/>
          <w:rFonts w:hint="default"/>
          <w:b w:val="0"/>
          <w:bCs w:val="0"/>
        </w:rPr>
        <w:t>问题的澄清</w:t>
      </w:r>
      <w:bookmarkEnd w:id="412"/>
      <w:bookmarkEnd w:id="413"/>
    </w:p>
    <w:p w14:paraId="62F0C5DB">
      <w:pPr>
        <w:rPr>
          <w:rFonts w:ascii="宋体" w:hAnsi="宋体" w:cs="宋体"/>
          <w:color w:val="auto"/>
          <w:highlight w:val="none"/>
        </w:rPr>
      </w:pPr>
    </w:p>
    <w:p w14:paraId="62226272">
      <w:pPr>
        <w:pStyle w:val="276"/>
        <w:spacing w:line="360" w:lineRule="auto"/>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问题的澄清</w:t>
      </w:r>
    </w:p>
    <w:p w14:paraId="1B02FCA0">
      <w:pPr>
        <w:pStyle w:val="276"/>
        <w:spacing w:line="360" w:lineRule="auto"/>
        <w:ind w:firstLine="3150" w:firstLineChars="1500"/>
        <w:rPr>
          <w:rFonts w:ascii="宋体" w:hAnsi="宋体" w:cs="宋体"/>
          <w:color w:val="auto"/>
          <w:szCs w:val="21"/>
          <w:highlight w:val="none"/>
        </w:rPr>
      </w:pPr>
      <w:r>
        <w:rPr>
          <w:rFonts w:hint="eastAsia" w:ascii="宋体" w:hAnsi="宋体" w:cs="宋体"/>
          <w:color w:val="auto"/>
          <w:szCs w:val="21"/>
          <w:highlight w:val="none"/>
        </w:rPr>
        <w:t>（编号：</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4DBC815F">
      <w:pPr>
        <w:pStyle w:val="276"/>
        <w:spacing w:line="360" w:lineRule="auto"/>
        <w:rPr>
          <w:rFonts w:ascii="宋体" w:hAnsi="宋体" w:cs="宋体"/>
          <w:color w:val="auto"/>
          <w:sz w:val="24"/>
          <w:highlight w:val="none"/>
          <w:u w:val="single"/>
        </w:rPr>
      </w:pPr>
    </w:p>
    <w:p w14:paraId="358CDF5C">
      <w:pPr>
        <w:pStyle w:val="276"/>
        <w:spacing w:line="360" w:lineRule="auto"/>
        <w:rPr>
          <w:rFonts w:ascii="宋体" w:hAnsi="宋体" w:cs="宋体"/>
          <w:color w:val="auto"/>
          <w:sz w:val="24"/>
          <w:highlight w:val="none"/>
        </w:rPr>
      </w:pPr>
      <w:r>
        <w:rPr>
          <w:rFonts w:ascii="宋体" w:hAnsi="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招标</w:t>
      </w:r>
      <w:r>
        <w:rPr>
          <w:rFonts w:ascii="宋体" w:hAnsi="宋体"/>
          <w:color w:val="auto"/>
          <w:sz w:val="24"/>
          <w:highlight w:val="none"/>
        </w:rPr>
        <w:t>项目名称）</w:t>
      </w:r>
      <w:bookmarkStart w:id="414" w:name="_Hlk76574170"/>
      <w:r>
        <w:rPr>
          <w:rFonts w:hint="eastAsia" w:ascii="宋体" w:hAnsi="宋体"/>
          <w:color w:val="auto"/>
          <w:sz w:val="24"/>
          <w:highlight w:val="none"/>
        </w:rPr>
        <w:t>招标</w:t>
      </w:r>
      <w:bookmarkEnd w:id="414"/>
      <w:r>
        <w:rPr>
          <w:rFonts w:hint="eastAsia" w:ascii="宋体" w:hAnsi="宋体"/>
          <w:color w:val="auto"/>
          <w:sz w:val="24"/>
          <w:highlight w:val="none"/>
        </w:rPr>
        <w:t>第</w:t>
      </w:r>
      <w:r>
        <w:rPr>
          <w:rFonts w:ascii="宋体" w:hAnsi="宋体"/>
          <w:color w:val="auto"/>
          <w:sz w:val="24"/>
          <w:highlight w:val="none"/>
          <w:u w:val="single"/>
        </w:rPr>
        <w:t xml:space="preserve">    </w:t>
      </w:r>
      <w:r>
        <w:rPr>
          <w:rFonts w:hint="eastAsia" w:ascii="宋体" w:hAnsi="宋体" w:cs="宋体"/>
          <w:color w:val="auto"/>
          <w:sz w:val="24"/>
          <w:highlight w:val="none"/>
        </w:rPr>
        <w:t>标段评标委员会：</w:t>
      </w:r>
      <w:r>
        <w:rPr>
          <w:rFonts w:ascii="宋体" w:hAnsi="宋体" w:cs="宋体"/>
          <w:color w:val="auto"/>
          <w:sz w:val="24"/>
          <w:highlight w:val="none"/>
        </w:rPr>
        <w:t xml:space="preserve"> </w:t>
      </w:r>
    </w:p>
    <w:p w14:paraId="7475A8BC">
      <w:pPr>
        <w:pStyle w:val="276"/>
        <w:spacing w:line="360" w:lineRule="auto"/>
        <w:rPr>
          <w:rFonts w:ascii="宋体" w:hAnsi="宋体" w:cs="宋体"/>
          <w:color w:val="auto"/>
          <w:sz w:val="24"/>
          <w:highlight w:val="none"/>
        </w:rPr>
      </w:pPr>
    </w:p>
    <w:p w14:paraId="28AEEEA1">
      <w:pPr>
        <w:pStyle w:val="276"/>
        <w:spacing w:line="360" w:lineRule="auto"/>
        <w:rPr>
          <w:rFonts w:ascii="宋体" w:hAnsi="宋体" w:cs="宋体"/>
          <w:color w:val="auto"/>
          <w:sz w:val="24"/>
          <w:highlight w:val="none"/>
        </w:rPr>
      </w:pPr>
    </w:p>
    <w:p w14:paraId="19583098">
      <w:pPr>
        <w:ind w:firstLine="480" w:firstLineChars="200"/>
        <w:rPr>
          <w:color w:val="auto"/>
          <w:sz w:val="24"/>
          <w:highlight w:val="none"/>
        </w:rPr>
      </w:pPr>
      <w:r>
        <w:rPr>
          <w:rFonts w:hint="eastAsia"/>
          <w:color w:val="auto"/>
          <w:sz w:val="24"/>
          <w:highlight w:val="none"/>
        </w:rPr>
        <w:t>问题澄清通知（编号：</w:t>
      </w:r>
      <w:r>
        <w:rPr>
          <w:rFonts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ascii="宋体" w:hAnsi="宋体"/>
          <w:color w:val="auto"/>
          <w:sz w:val="24"/>
          <w:highlight w:val="none"/>
          <w:u w:val="single"/>
        </w:rPr>
        <w:t xml:space="preserve"> </w:t>
      </w:r>
      <w:r>
        <w:rPr>
          <w:rFonts w:hint="eastAsia"/>
          <w:color w:val="auto"/>
          <w:sz w:val="24"/>
          <w:highlight w:val="none"/>
        </w:rPr>
        <w:t>）已收悉，现澄清、说明如下：</w:t>
      </w:r>
    </w:p>
    <w:p w14:paraId="72A7FB0D">
      <w:pPr>
        <w:pStyle w:val="276"/>
        <w:spacing w:line="360" w:lineRule="auto"/>
        <w:rPr>
          <w:rFonts w:ascii="宋体" w:hAnsi="宋体" w:cs="宋体"/>
          <w:color w:val="auto"/>
          <w:sz w:val="24"/>
          <w:highlight w:val="none"/>
        </w:rPr>
      </w:pPr>
    </w:p>
    <w:p w14:paraId="3F017CBD">
      <w:pPr>
        <w:pStyle w:val="276"/>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 </w:t>
      </w:r>
    </w:p>
    <w:p w14:paraId="4A844932">
      <w:pPr>
        <w:pStyle w:val="276"/>
        <w:spacing w:line="360" w:lineRule="auto"/>
        <w:rPr>
          <w:rFonts w:ascii="宋体" w:hAnsi="宋体" w:cs="宋体"/>
          <w:color w:val="auto"/>
          <w:sz w:val="24"/>
          <w:highlight w:val="none"/>
        </w:rPr>
      </w:pPr>
    </w:p>
    <w:p w14:paraId="11D9A5AB">
      <w:pPr>
        <w:pStyle w:val="276"/>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 </w:t>
      </w:r>
    </w:p>
    <w:p w14:paraId="0477621B">
      <w:pPr>
        <w:pStyle w:val="276"/>
        <w:spacing w:line="360" w:lineRule="auto"/>
        <w:rPr>
          <w:rFonts w:ascii="宋体" w:hAnsi="宋体" w:cs="宋体"/>
          <w:color w:val="auto"/>
          <w:sz w:val="24"/>
          <w:highlight w:val="none"/>
        </w:rPr>
      </w:pPr>
    </w:p>
    <w:p w14:paraId="4FDFE40C">
      <w:pPr>
        <w:pStyle w:val="276"/>
        <w:spacing w:line="360" w:lineRule="auto"/>
        <w:ind w:firstLine="420" w:firstLineChars="200"/>
        <w:rPr>
          <w:rFonts w:ascii="宋体" w:hAnsi="宋体" w:cs="宋体"/>
          <w:color w:val="auto"/>
          <w:sz w:val="24"/>
          <w:highlight w:val="none"/>
        </w:rPr>
      </w:pPr>
      <w:r>
        <w:rPr>
          <w:rFonts w:hint="eastAsia" w:ascii="宋体" w:hAnsi="宋体" w:eastAsia="宋体" w:cs="宋体"/>
          <w:lang w:val="en-US" w:eastAsia="zh-CN"/>
        </w:rPr>
        <w:t>……</w:t>
      </w:r>
    </w:p>
    <w:p w14:paraId="03253D22">
      <w:pPr>
        <w:pStyle w:val="276"/>
        <w:spacing w:line="360" w:lineRule="auto"/>
        <w:rPr>
          <w:rFonts w:ascii="宋体" w:hAnsi="宋体" w:cs="宋体"/>
          <w:color w:val="auto"/>
          <w:sz w:val="24"/>
          <w:highlight w:val="none"/>
        </w:rPr>
      </w:pPr>
    </w:p>
    <w:p w14:paraId="2A743FDF">
      <w:pPr>
        <w:pStyle w:val="276"/>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上述问题澄清或说明，不改变我方投标文件的实质性内容，构成我方投标文件的组成部分。         </w:t>
      </w:r>
    </w:p>
    <w:p w14:paraId="09FD2BEA">
      <w:pPr>
        <w:pStyle w:val="276"/>
        <w:spacing w:line="360" w:lineRule="auto"/>
        <w:rPr>
          <w:rFonts w:ascii="宋体" w:hAnsi="宋体" w:cs="宋体"/>
          <w:color w:val="auto"/>
          <w:sz w:val="24"/>
          <w:highlight w:val="none"/>
        </w:rPr>
      </w:pPr>
    </w:p>
    <w:p w14:paraId="5059E64C">
      <w:pPr>
        <w:pStyle w:val="276"/>
        <w:spacing w:line="360" w:lineRule="auto"/>
        <w:rPr>
          <w:rFonts w:ascii="宋体" w:hAnsi="宋体" w:cs="宋体"/>
          <w:color w:val="auto"/>
          <w:sz w:val="24"/>
          <w:highlight w:val="none"/>
        </w:rPr>
      </w:pPr>
    </w:p>
    <w:p w14:paraId="4517CE1D">
      <w:pPr>
        <w:pStyle w:val="276"/>
        <w:spacing w:line="360" w:lineRule="auto"/>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投标人：</w:t>
      </w:r>
      <w:r>
        <w:rPr>
          <w:rFonts w:ascii="宋体" w:hAnsi="宋体" w:cs="宋体"/>
          <w:color w:val="auto"/>
          <w:sz w:val="24"/>
          <w:highlight w:val="none"/>
          <w:u w:val="single"/>
        </w:rPr>
        <w:t xml:space="preserve">            </w:t>
      </w:r>
      <w:r>
        <w:rPr>
          <w:rFonts w:hint="eastAsia" w:ascii="宋体" w:hAnsi="宋体" w:cs="宋体"/>
          <w:color w:val="auto"/>
          <w:sz w:val="24"/>
          <w:highlight w:val="none"/>
        </w:rPr>
        <w:t>（盖单位电子印章或法定代表人或其委托代理人</w:t>
      </w:r>
    </w:p>
    <w:p w14:paraId="18E3D4A1">
      <w:pPr>
        <w:pStyle w:val="276"/>
        <w:spacing w:line="360" w:lineRule="auto"/>
        <w:ind w:firstLine="5040" w:firstLineChars="2100"/>
        <w:rPr>
          <w:rFonts w:ascii="宋体" w:hAnsi="宋体" w:cs="宋体"/>
          <w:color w:val="auto"/>
          <w:sz w:val="24"/>
          <w:highlight w:val="none"/>
        </w:rPr>
      </w:pPr>
      <w:r>
        <w:rPr>
          <w:rFonts w:hint="eastAsia" w:ascii="宋体" w:hAnsi="宋体" w:cs="宋体"/>
          <w:color w:val="auto"/>
          <w:sz w:val="24"/>
          <w:highlight w:val="none"/>
        </w:rPr>
        <w:t>个人电子签名章或</w:t>
      </w:r>
      <w:r>
        <w:rPr>
          <w:rFonts w:ascii="宋体" w:hAnsi="宋体" w:cs="宋体"/>
          <w:color w:val="auto"/>
          <w:sz w:val="24"/>
          <w:highlight w:val="none"/>
        </w:rPr>
        <w:t>个人电子印章</w:t>
      </w:r>
      <w:r>
        <w:rPr>
          <w:rFonts w:hint="eastAsia" w:ascii="宋体" w:hAnsi="宋体" w:cs="宋体"/>
          <w:color w:val="auto"/>
          <w:sz w:val="24"/>
          <w:highlight w:val="none"/>
        </w:rPr>
        <w:t>）</w:t>
      </w:r>
    </w:p>
    <w:p w14:paraId="7FD31ECF">
      <w:pPr>
        <w:pStyle w:val="276"/>
        <w:spacing w:line="360" w:lineRule="auto"/>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ascii="宋体" w:hAnsi="宋体" w:cs="宋体"/>
          <w:color w:val="auto"/>
          <w:sz w:val="24"/>
          <w:highlight w:val="none"/>
        </w:rPr>
        <w:t xml:space="preserve"> 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14:paraId="258DE158">
      <w:pPr>
        <w:pStyle w:val="276"/>
        <w:rPr>
          <w:rFonts w:ascii="宋体" w:hAnsi="宋体" w:cs="宋体"/>
          <w:color w:val="auto"/>
          <w:sz w:val="24"/>
          <w:highlight w:val="none"/>
        </w:rPr>
      </w:pPr>
    </w:p>
    <w:p w14:paraId="005F0258">
      <w:pPr>
        <w:outlineLvl w:val="1"/>
        <w:rPr>
          <w:rStyle w:val="146"/>
          <w:b w:val="0"/>
          <w:bCs/>
          <w:kern w:val="2"/>
        </w:rPr>
      </w:pPr>
      <w:r>
        <w:rPr>
          <w:rFonts w:ascii="宋体" w:hAnsi="宋体" w:cs="宋体"/>
          <w:color w:val="auto"/>
          <w:highlight w:val="none"/>
        </w:rPr>
        <w:br w:type="page"/>
      </w:r>
      <w:bookmarkStart w:id="415" w:name="_Toc523921648"/>
      <w:bookmarkStart w:id="416" w:name="_Toc234382648"/>
      <w:r>
        <w:rPr>
          <w:rStyle w:val="146"/>
          <w:rFonts w:hint="default"/>
          <w:b w:val="0"/>
          <w:bCs/>
          <w:kern w:val="2"/>
        </w:rPr>
        <w:t>附件四</w:t>
      </w:r>
      <w:r>
        <w:rPr>
          <w:rStyle w:val="146"/>
          <w:b w:val="0"/>
          <w:bCs/>
          <w:kern w:val="2"/>
        </w:rPr>
        <w:t xml:space="preserve">  </w:t>
      </w:r>
      <w:r>
        <w:rPr>
          <w:rStyle w:val="146"/>
          <w:rFonts w:hint="default"/>
          <w:b w:val="0"/>
          <w:bCs/>
          <w:kern w:val="2"/>
        </w:rPr>
        <w:t>中标通知书</w:t>
      </w:r>
      <w:bookmarkEnd w:id="415"/>
      <w:bookmarkEnd w:id="416"/>
    </w:p>
    <w:p w14:paraId="33FDD320">
      <w:pPr>
        <w:pStyle w:val="276"/>
        <w:spacing w:line="360" w:lineRule="auto"/>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中标通知书</w:t>
      </w:r>
    </w:p>
    <w:p w14:paraId="4233979A">
      <w:pPr>
        <w:pStyle w:val="276"/>
        <w:spacing w:line="360" w:lineRule="auto"/>
        <w:rPr>
          <w:rFonts w:ascii="宋体" w:hAnsi="宋体" w:cs="宋体"/>
          <w:color w:val="auto"/>
          <w:sz w:val="24"/>
          <w:highlight w:val="none"/>
          <w:u w:val="single"/>
        </w:rPr>
      </w:pPr>
    </w:p>
    <w:p w14:paraId="1631FB49">
      <w:pPr>
        <w:pStyle w:val="276"/>
        <w:spacing w:line="360" w:lineRule="auto"/>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（中标人名称）：</w:t>
      </w:r>
    </w:p>
    <w:p w14:paraId="6C74732D">
      <w:pPr>
        <w:pStyle w:val="276"/>
        <w:spacing w:line="360" w:lineRule="auto"/>
        <w:ind w:firstLine="480" w:firstLineChars="200"/>
        <w:rPr>
          <w:rFonts w:ascii="宋体" w:hAnsi="宋体" w:cs="宋体"/>
          <w:color w:val="auto"/>
          <w:sz w:val="24"/>
          <w:highlight w:val="none"/>
        </w:rPr>
      </w:pPr>
    </w:p>
    <w:p w14:paraId="7692CE04">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你方于</w:t>
      </w:r>
      <w:r>
        <w:rPr>
          <w:rFonts w:ascii="宋体" w:hAnsi="宋体" w:cs="宋体"/>
          <w:color w:val="auto"/>
          <w:sz w:val="24"/>
          <w:highlight w:val="none"/>
          <w:u w:val="single"/>
        </w:rPr>
        <w:t xml:space="preserve">       </w:t>
      </w:r>
      <w:r>
        <w:rPr>
          <w:rFonts w:hint="eastAsia" w:ascii="宋体" w:hAnsi="宋体" w:cs="宋体"/>
          <w:color w:val="auto"/>
          <w:sz w:val="24"/>
          <w:highlight w:val="none"/>
        </w:rPr>
        <w:t>（投标日期）所递交的</w:t>
      </w:r>
      <w:r>
        <w:rPr>
          <w:rFonts w:ascii="宋体" w:hAnsi="宋体" w:cs="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招标</w:t>
      </w:r>
      <w:r>
        <w:rPr>
          <w:rFonts w:ascii="宋体" w:hAnsi="宋体"/>
          <w:color w:val="auto"/>
          <w:sz w:val="24"/>
          <w:highlight w:val="none"/>
        </w:rPr>
        <w:t>项目名称）</w:t>
      </w:r>
      <w:r>
        <w:rPr>
          <w:rFonts w:hint="eastAsia" w:ascii="宋体" w:hAnsi="宋体"/>
          <w:color w:val="auto"/>
          <w:sz w:val="24"/>
          <w:highlight w:val="none"/>
        </w:rPr>
        <w:t>招标第</w:t>
      </w:r>
      <w:r>
        <w:rPr>
          <w:rFonts w:ascii="宋体" w:hAnsi="宋体" w:cs="宋体"/>
          <w:color w:val="auto"/>
          <w:sz w:val="24"/>
          <w:highlight w:val="none"/>
          <w:u w:val="single"/>
        </w:rPr>
        <w:t xml:space="preserve">     </w:t>
      </w:r>
      <w:r>
        <w:rPr>
          <w:rFonts w:hint="eastAsia" w:ascii="宋体" w:hAnsi="宋体" w:cs="宋体"/>
          <w:color w:val="auto"/>
          <w:sz w:val="24"/>
          <w:highlight w:val="none"/>
        </w:rPr>
        <w:t>标段投标文件已被我方接受，被确定为中标人。</w:t>
      </w:r>
    </w:p>
    <w:p w14:paraId="7C35E91C">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中</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标</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价：</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元。</w:t>
      </w:r>
      <w:r>
        <w:rPr>
          <w:rStyle w:val="58"/>
          <w:rFonts w:hint="eastAsia" w:ascii="宋体" w:hAnsi="宋体"/>
          <w:szCs w:val="21"/>
        </w:rPr>
        <w:footnoteReference w:id="83"/>
      </w:r>
    </w:p>
    <w:p w14:paraId="724CD74A">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监理试验室服务期限：</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p>
    <w:p w14:paraId="7B3B4FF4">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质量要求：</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ascii="宋体" w:hAnsi="宋体" w:cs="宋体"/>
          <w:color w:val="auto"/>
          <w:sz w:val="24"/>
          <w:highlight w:val="none"/>
        </w:rPr>
        <w:t xml:space="preserve"> </w:t>
      </w:r>
    </w:p>
    <w:p w14:paraId="36FE15E6">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安全目标：</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8626419">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试验室主任：</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（姓名）。</w:t>
      </w:r>
    </w:p>
    <w:p w14:paraId="06D4785F">
      <w:pPr>
        <w:pStyle w:val="276"/>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w:t>
      </w:r>
      <w:r>
        <w:rPr>
          <w:rFonts w:ascii="宋体" w:hAnsi="宋体" w:cs="宋体"/>
          <w:b/>
          <w:bCs/>
          <w:color w:val="auto"/>
          <w:sz w:val="24"/>
          <w:highlight w:val="none"/>
        </w:rPr>
        <w:t xml:space="preserve"> </w:t>
      </w:r>
      <w:r>
        <w:rPr>
          <w:rFonts w:hint="eastAsia" w:ascii="宋体" w:hAnsi="宋体" w:cs="宋体"/>
          <w:color w:val="auto"/>
          <w:sz w:val="24"/>
          <w:highlight w:val="none"/>
        </w:rPr>
        <w:t>技术负责人：</w:t>
      </w:r>
      <w:r>
        <w:rPr>
          <w:rFonts w:ascii="宋体" w:hAnsi="宋体" w:cs="宋体"/>
          <w:color w:val="auto"/>
          <w:sz w:val="24"/>
          <w:highlight w:val="none"/>
          <w:u w:val="single"/>
        </w:rPr>
        <w:t xml:space="preserve">                </w:t>
      </w:r>
      <w:r>
        <w:rPr>
          <w:rFonts w:hint="eastAsia" w:ascii="宋体" w:hAnsi="宋体" w:cs="宋体"/>
          <w:color w:val="auto"/>
          <w:sz w:val="24"/>
          <w:highlight w:val="none"/>
        </w:rPr>
        <w:t>（姓名）。</w:t>
      </w:r>
    </w:p>
    <w:p w14:paraId="7FEBE091">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请你方在本通知书发出后的</w:t>
      </w:r>
      <w:r>
        <w:rPr>
          <w:rFonts w:ascii="宋体" w:hAnsi="宋体" w:cs="宋体"/>
          <w:color w:val="auto"/>
          <w:sz w:val="24"/>
          <w:highlight w:val="none"/>
          <w:u w:val="single"/>
        </w:rPr>
        <w:t xml:space="preserve">     </w:t>
      </w:r>
      <w:r>
        <w:rPr>
          <w:rFonts w:hint="eastAsia" w:ascii="宋体" w:hAnsi="宋体" w:cs="宋体"/>
          <w:color w:val="auto"/>
          <w:sz w:val="24"/>
          <w:highlight w:val="none"/>
        </w:rPr>
        <w:t>日内与</w:t>
      </w:r>
      <w:r>
        <w:rPr>
          <w:rFonts w:hint="eastAsia" w:ascii="宋体" w:hAnsi="宋体"/>
          <w:color w:val="auto"/>
          <w:sz w:val="24"/>
          <w:highlight w:val="none"/>
        </w:rPr>
        <w:t>我方以招标文件第二章</w:t>
      </w:r>
      <w:r>
        <w:rPr>
          <w:rFonts w:ascii="宋体" w:hAnsi="宋体"/>
          <w:color w:val="auto"/>
          <w:sz w:val="24"/>
          <w:highlight w:val="none"/>
        </w:rPr>
        <w:t>“</w:t>
      </w:r>
      <w:r>
        <w:rPr>
          <w:rFonts w:hint="eastAsia" w:ascii="宋体" w:hAnsi="宋体"/>
          <w:color w:val="auto"/>
          <w:sz w:val="24"/>
          <w:highlight w:val="none"/>
        </w:rPr>
        <w:t>投标人须知</w:t>
      </w:r>
      <w:r>
        <w:rPr>
          <w:rFonts w:ascii="宋体" w:hAnsi="宋体"/>
          <w:color w:val="auto"/>
          <w:sz w:val="24"/>
          <w:highlight w:val="none"/>
        </w:rPr>
        <w:t>”前附表</w:t>
      </w:r>
      <w:r>
        <w:rPr>
          <w:rFonts w:hint="eastAsia" w:ascii="宋体" w:hAnsi="宋体"/>
          <w:color w:val="auto"/>
          <w:sz w:val="24"/>
          <w:highlight w:val="none"/>
        </w:rPr>
        <w:t>第</w:t>
      </w:r>
      <w:r>
        <w:rPr>
          <w:rFonts w:ascii="宋体" w:hAnsi="宋体"/>
          <w:color w:val="auto"/>
          <w:sz w:val="24"/>
          <w:highlight w:val="none"/>
        </w:rPr>
        <w:t>7.8.1</w:t>
      </w:r>
      <w:r>
        <w:rPr>
          <w:rFonts w:hint="eastAsia" w:ascii="宋体" w:hAnsi="宋体"/>
          <w:color w:val="auto"/>
          <w:sz w:val="24"/>
          <w:highlight w:val="none"/>
        </w:rPr>
        <w:t>项</w:t>
      </w:r>
      <w:r>
        <w:rPr>
          <w:rFonts w:ascii="宋体" w:hAnsi="宋体"/>
          <w:color w:val="auto"/>
          <w:sz w:val="24"/>
          <w:highlight w:val="none"/>
        </w:rPr>
        <w:t>约定的方式</w:t>
      </w:r>
      <w:r>
        <w:rPr>
          <w:rFonts w:hint="eastAsia" w:ascii="宋体" w:hAnsi="宋体" w:cs="宋体"/>
          <w:color w:val="auto"/>
          <w:sz w:val="24"/>
          <w:highlight w:val="none"/>
        </w:rPr>
        <w:t>签订监理试验室合同，在此之前按招标文件第二章“投标人须知”前附表第</w:t>
      </w:r>
      <w:r>
        <w:rPr>
          <w:rFonts w:ascii="宋体" w:hAnsi="宋体" w:cs="宋体"/>
          <w:color w:val="auto"/>
          <w:sz w:val="24"/>
          <w:highlight w:val="none"/>
        </w:rPr>
        <w:t>7.7.1</w:t>
      </w:r>
      <w:r>
        <w:rPr>
          <w:rFonts w:hint="eastAsia" w:ascii="宋体" w:hAnsi="宋体" w:cs="宋体"/>
          <w:color w:val="auto"/>
          <w:sz w:val="24"/>
          <w:highlight w:val="none"/>
        </w:rPr>
        <w:t>项</w:t>
      </w:r>
      <w:r>
        <w:rPr>
          <w:rFonts w:ascii="宋体" w:hAnsi="宋体" w:cs="宋体"/>
          <w:color w:val="auto"/>
          <w:sz w:val="24"/>
          <w:highlight w:val="none"/>
        </w:rPr>
        <w:t>规定向我方提交履约保证金。</w:t>
      </w:r>
    </w:p>
    <w:p w14:paraId="3CD3B558">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特此通知。</w:t>
      </w:r>
    </w:p>
    <w:p w14:paraId="4896A430">
      <w:pPr>
        <w:pStyle w:val="276"/>
        <w:spacing w:line="360" w:lineRule="auto"/>
        <w:ind w:firstLine="480" w:firstLineChars="200"/>
        <w:rPr>
          <w:rFonts w:ascii="宋体" w:hAnsi="宋体" w:cs="宋体"/>
          <w:color w:val="auto"/>
          <w:sz w:val="24"/>
          <w:highlight w:val="none"/>
        </w:rPr>
      </w:pPr>
    </w:p>
    <w:p w14:paraId="71565823">
      <w:pPr>
        <w:pStyle w:val="276"/>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招标人：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（盖单位电子印章／盖单位章）</w:t>
      </w:r>
      <w:r>
        <w:rPr>
          <w:rFonts w:ascii="宋体" w:hAnsi="宋体" w:cs="宋体"/>
          <w:color w:val="auto"/>
          <w:sz w:val="24"/>
          <w:highlight w:val="none"/>
        </w:rPr>
        <w:t xml:space="preserve"> </w:t>
      </w:r>
    </w:p>
    <w:p w14:paraId="1A5148A6">
      <w:pPr>
        <w:pStyle w:val="276"/>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 招标代理机构：</w:t>
      </w:r>
      <w:r>
        <w:rPr>
          <w:rFonts w:ascii="宋体" w:hAnsi="宋体" w:cs="宋体"/>
          <w:color w:val="auto"/>
          <w:sz w:val="24"/>
          <w:highlight w:val="none"/>
          <w:u w:val="single"/>
        </w:rPr>
        <w:t xml:space="preserve">      </w:t>
      </w:r>
      <w:r>
        <w:rPr>
          <w:rFonts w:hint="eastAsia" w:ascii="宋体" w:hAnsi="宋体" w:cs="宋体"/>
          <w:color w:val="auto"/>
          <w:sz w:val="24"/>
          <w:highlight w:val="none"/>
        </w:rPr>
        <w:t>（盖单位电子印章／盖单位章）</w:t>
      </w:r>
    </w:p>
    <w:p w14:paraId="351D608C">
      <w:pPr>
        <w:pStyle w:val="276"/>
        <w:spacing w:line="360" w:lineRule="auto"/>
        <w:ind w:firstLine="5040" w:firstLineChars="2100"/>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ascii="宋体" w:hAnsi="宋体" w:cs="宋体"/>
          <w:color w:val="auto"/>
          <w:sz w:val="24"/>
          <w:highlight w:val="none"/>
        </w:rPr>
        <w:t xml:space="preserve"> 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r>
        <w:rPr>
          <w:rFonts w:ascii="宋体" w:hAnsi="宋体" w:cs="宋体"/>
          <w:color w:val="auto"/>
          <w:sz w:val="24"/>
          <w:highlight w:val="none"/>
        </w:rPr>
        <w:t xml:space="preserve">   </w:t>
      </w:r>
    </w:p>
    <w:p w14:paraId="0DC39659">
      <w:pPr>
        <w:pStyle w:val="276"/>
        <w:spacing w:line="360" w:lineRule="auto"/>
        <w:ind w:firstLine="480" w:firstLineChars="200"/>
        <w:rPr>
          <w:rFonts w:ascii="宋体" w:hAnsi="宋体" w:cs="宋体"/>
          <w:color w:val="auto"/>
          <w:sz w:val="24"/>
          <w:highlight w:val="none"/>
        </w:rPr>
      </w:pPr>
    </w:p>
    <w:p w14:paraId="74E231FC">
      <w:pPr>
        <w:pStyle w:val="276"/>
        <w:spacing w:line="360" w:lineRule="auto"/>
        <w:ind w:firstLine="480" w:firstLineChars="200"/>
        <w:rPr>
          <w:rFonts w:ascii="宋体" w:hAnsi="宋体" w:cs="宋体"/>
          <w:color w:val="auto"/>
          <w:sz w:val="24"/>
          <w:highlight w:val="none"/>
        </w:rPr>
      </w:pPr>
    </w:p>
    <w:p w14:paraId="78E7B95B">
      <w:pPr>
        <w:pStyle w:val="276"/>
        <w:spacing w:line="360" w:lineRule="auto"/>
        <w:ind w:firstLine="480" w:firstLineChars="200"/>
        <w:rPr>
          <w:rFonts w:ascii="宋体" w:hAnsi="宋体" w:cs="宋体"/>
          <w:color w:val="auto"/>
          <w:sz w:val="24"/>
          <w:highlight w:val="none"/>
        </w:rPr>
      </w:pPr>
    </w:p>
    <w:p w14:paraId="71CDB156">
      <w:pPr>
        <w:pStyle w:val="276"/>
        <w:rPr>
          <w:rFonts w:ascii="宋体" w:hAnsi="宋体" w:cs="宋体"/>
          <w:color w:val="auto"/>
          <w:highlight w:val="none"/>
        </w:rPr>
      </w:pPr>
    </w:p>
    <w:p w14:paraId="7D2F60CB">
      <w:pPr>
        <w:pStyle w:val="276"/>
        <w:rPr>
          <w:rFonts w:ascii="宋体" w:hAnsi="宋体" w:cs="宋体"/>
          <w:color w:val="auto"/>
          <w:highlight w:val="none"/>
        </w:rPr>
      </w:pPr>
    </w:p>
    <w:p w14:paraId="0A655F03">
      <w:pPr>
        <w:pStyle w:val="276"/>
        <w:rPr>
          <w:rFonts w:ascii="宋体" w:hAnsi="宋体" w:cs="宋体"/>
          <w:color w:val="auto"/>
          <w:highlight w:val="none"/>
        </w:rPr>
      </w:pPr>
    </w:p>
    <w:p w14:paraId="7BDD23B5">
      <w:pPr>
        <w:pStyle w:val="276"/>
        <w:rPr>
          <w:rFonts w:ascii="宋体" w:hAnsi="宋体" w:cs="宋体"/>
          <w:color w:val="auto"/>
          <w:highlight w:val="none"/>
        </w:rPr>
      </w:pPr>
    </w:p>
    <w:p w14:paraId="0DE94DBA">
      <w:pPr>
        <w:pStyle w:val="276"/>
        <w:rPr>
          <w:rFonts w:ascii="宋体" w:hAnsi="宋体" w:cs="宋体"/>
          <w:color w:val="auto"/>
          <w:highlight w:val="none"/>
        </w:rPr>
      </w:pPr>
    </w:p>
    <w:p w14:paraId="7678B814">
      <w:pPr>
        <w:outlineLvl w:val="1"/>
        <w:rPr>
          <w:rStyle w:val="146"/>
          <w:b w:val="0"/>
          <w:bCs w:val="0"/>
          <w:kern w:val="2"/>
        </w:rPr>
      </w:pPr>
      <w:r>
        <w:rPr>
          <w:rFonts w:ascii="宋体" w:hAnsi="宋体" w:cs="宋体"/>
          <w:color w:val="auto"/>
          <w:highlight w:val="none"/>
        </w:rPr>
        <w:br w:type="page"/>
      </w:r>
      <w:bookmarkStart w:id="417" w:name="_Toc523921649"/>
      <w:r>
        <w:rPr>
          <w:rStyle w:val="146"/>
          <w:rFonts w:hint="default"/>
          <w:b w:val="0"/>
          <w:bCs w:val="0"/>
          <w:kern w:val="2"/>
        </w:rPr>
        <w:t>附件五</w:t>
      </w:r>
      <w:r>
        <w:rPr>
          <w:rStyle w:val="146"/>
          <w:b w:val="0"/>
          <w:bCs w:val="0"/>
          <w:kern w:val="2"/>
        </w:rPr>
        <w:t xml:space="preserve">  </w:t>
      </w:r>
      <w:r>
        <w:rPr>
          <w:rStyle w:val="146"/>
          <w:rFonts w:hint="default"/>
          <w:b w:val="0"/>
          <w:bCs w:val="0"/>
          <w:kern w:val="2"/>
        </w:rPr>
        <w:t>中标结果通知书</w:t>
      </w:r>
      <w:bookmarkEnd w:id="417"/>
    </w:p>
    <w:p w14:paraId="01F7AC6B">
      <w:pPr>
        <w:pStyle w:val="276"/>
        <w:rPr>
          <w:rFonts w:ascii="宋体" w:hAnsi="宋体" w:cs="宋体"/>
          <w:color w:val="auto"/>
          <w:highlight w:val="none"/>
        </w:rPr>
      </w:pPr>
    </w:p>
    <w:p w14:paraId="0CCFB8BC">
      <w:pPr>
        <w:pStyle w:val="276"/>
        <w:spacing w:line="360" w:lineRule="auto"/>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中标结果通知书</w:t>
      </w:r>
    </w:p>
    <w:p w14:paraId="586305B0">
      <w:pPr>
        <w:pStyle w:val="276"/>
        <w:rPr>
          <w:rFonts w:ascii="宋体" w:hAnsi="宋体" w:cs="宋体"/>
          <w:color w:val="auto"/>
          <w:highlight w:val="none"/>
        </w:rPr>
      </w:pPr>
    </w:p>
    <w:p w14:paraId="15774089">
      <w:pPr>
        <w:pStyle w:val="276"/>
        <w:rPr>
          <w:rFonts w:ascii="宋体" w:hAnsi="宋体" w:cs="宋体"/>
          <w:color w:val="auto"/>
          <w:highlight w:val="none"/>
        </w:rPr>
      </w:pPr>
    </w:p>
    <w:p w14:paraId="1B881754">
      <w:pPr>
        <w:pStyle w:val="276"/>
        <w:spacing w:line="360" w:lineRule="auto"/>
        <w:rPr>
          <w:rFonts w:ascii="宋体" w:hAnsi="宋体" w:cs="宋体"/>
          <w:color w:val="auto"/>
          <w:sz w:val="24"/>
          <w:highlight w:val="none"/>
        </w:rPr>
      </w:pP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（未中标人名称）：</w:t>
      </w:r>
    </w:p>
    <w:p w14:paraId="27DBF8CB">
      <w:pPr>
        <w:pStyle w:val="276"/>
        <w:spacing w:line="360" w:lineRule="auto"/>
        <w:ind w:firstLine="480" w:firstLineChars="200"/>
        <w:rPr>
          <w:rFonts w:hint="eastAsia" w:ascii="宋体" w:hAnsi="宋体" w:cs="宋体"/>
          <w:color w:val="auto"/>
          <w:sz w:val="24"/>
          <w:highlight w:val="none"/>
        </w:rPr>
      </w:pPr>
    </w:p>
    <w:p w14:paraId="3F232A87">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我方已接受</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（中标人名称）于</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（投标日期）所递交的</w:t>
      </w:r>
      <w:r>
        <w:rPr>
          <w:rFonts w:ascii="宋体" w:hAnsi="宋体" w:cs="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招标</w:t>
      </w:r>
      <w:r>
        <w:rPr>
          <w:rFonts w:ascii="宋体" w:hAnsi="宋体"/>
          <w:color w:val="auto"/>
          <w:sz w:val="24"/>
          <w:highlight w:val="none"/>
        </w:rPr>
        <w:t>项目名称）</w:t>
      </w:r>
      <w:r>
        <w:rPr>
          <w:rFonts w:hint="eastAsia" w:ascii="宋体" w:hAnsi="宋体"/>
          <w:color w:val="auto"/>
          <w:sz w:val="24"/>
          <w:highlight w:val="none"/>
        </w:rPr>
        <w:t>招标第</w:t>
      </w:r>
      <w:r>
        <w:rPr>
          <w:rFonts w:ascii="宋体" w:hAnsi="宋体" w:cs="宋体"/>
          <w:color w:val="auto"/>
          <w:sz w:val="24"/>
          <w:highlight w:val="none"/>
          <w:u w:val="single"/>
        </w:rPr>
        <w:t xml:space="preserve">     </w:t>
      </w:r>
      <w:r>
        <w:rPr>
          <w:rFonts w:hint="eastAsia" w:ascii="宋体" w:hAnsi="宋体" w:cs="宋体"/>
          <w:color w:val="auto"/>
          <w:sz w:val="24"/>
          <w:highlight w:val="none"/>
        </w:rPr>
        <w:t>标段投标文件，确定</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（中标人名称）为中标人。</w:t>
      </w:r>
    </w:p>
    <w:p w14:paraId="5BCBBDC9">
      <w:pPr>
        <w:pStyle w:val="276"/>
        <w:spacing w:line="360" w:lineRule="auto"/>
        <w:ind w:firstLine="480" w:firstLineChars="200"/>
        <w:rPr>
          <w:rFonts w:ascii="宋体" w:hAnsi="宋体" w:cs="宋体"/>
          <w:color w:val="auto"/>
          <w:sz w:val="24"/>
          <w:highlight w:val="none"/>
        </w:rPr>
      </w:pPr>
    </w:p>
    <w:p w14:paraId="227ACB95">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感谢你单位对我们工作的大力支持！</w:t>
      </w:r>
    </w:p>
    <w:p w14:paraId="3798A9EC">
      <w:pPr>
        <w:pStyle w:val="276"/>
        <w:spacing w:line="360" w:lineRule="auto"/>
        <w:ind w:firstLine="480" w:firstLineChars="200"/>
        <w:rPr>
          <w:rFonts w:ascii="宋体" w:hAnsi="宋体" w:cs="宋体"/>
          <w:color w:val="auto"/>
          <w:sz w:val="24"/>
          <w:highlight w:val="none"/>
        </w:rPr>
      </w:pPr>
    </w:p>
    <w:p w14:paraId="5B31FBA9">
      <w:pPr>
        <w:pStyle w:val="276"/>
        <w:spacing w:line="360" w:lineRule="auto"/>
        <w:ind w:firstLine="480" w:firstLineChars="200"/>
        <w:rPr>
          <w:rFonts w:ascii="宋体" w:hAnsi="宋体" w:cs="宋体"/>
          <w:color w:val="auto"/>
          <w:sz w:val="24"/>
          <w:highlight w:val="none"/>
        </w:rPr>
      </w:pPr>
    </w:p>
    <w:p w14:paraId="1448EAE2">
      <w:pPr>
        <w:pStyle w:val="276"/>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招标人：</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（盖单位电子印章／盖单位章）</w:t>
      </w:r>
    </w:p>
    <w:p w14:paraId="44C0BF9D">
      <w:pPr>
        <w:pStyle w:val="276"/>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 招标代理机构：</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（盖单位电子印章／盖单位章）</w:t>
      </w:r>
    </w:p>
    <w:p w14:paraId="0E1F3D04">
      <w:pPr>
        <w:pStyle w:val="276"/>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14:paraId="793A3E99">
      <w:pPr>
        <w:pStyle w:val="276"/>
        <w:rPr>
          <w:rFonts w:ascii="宋体" w:hAnsi="宋体" w:cs="宋体"/>
          <w:color w:val="auto"/>
          <w:highlight w:val="none"/>
        </w:rPr>
      </w:pPr>
    </w:p>
    <w:p w14:paraId="49D4F6BF">
      <w:pPr>
        <w:pStyle w:val="276"/>
        <w:rPr>
          <w:rFonts w:ascii="宋体" w:hAnsi="宋体" w:cs="宋体"/>
          <w:color w:val="auto"/>
          <w:highlight w:val="none"/>
        </w:rPr>
      </w:pPr>
    </w:p>
    <w:p w14:paraId="3EFA2C58">
      <w:pPr>
        <w:pStyle w:val="276"/>
        <w:rPr>
          <w:rFonts w:ascii="宋体" w:hAnsi="宋体" w:cs="宋体"/>
          <w:color w:val="auto"/>
          <w:highlight w:val="none"/>
        </w:rPr>
      </w:pPr>
    </w:p>
    <w:p w14:paraId="78B73CAB">
      <w:pPr>
        <w:pStyle w:val="276"/>
        <w:rPr>
          <w:rFonts w:ascii="宋体" w:hAnsi="宋体" w:cs="宋体"/>
          <w:color w:val="auto"/>
          <w:highlight w:val="none"/>
        </w:rPr>
      </w:pPr>
    </w:p>
    <w:p w14:paraId="503CC677">
      <w:pPr>
        <w:pStyle w:val="276"/>
        <w:rPr>
          <w:rFonts w:ascii="宋体" w:hAnsi="宋体" w:cs="宋体"/>
          <w:color w:val="auto"/>
          <w:highlight w:val="none"/>
        </w:rPr>
      </w:pPr>
    </w:p>
    <w:p w14:paraId="71A52ADB">
      <w:pPr>
        <w:pStyle w:val="276"/>
        <w:rPr>
          <w:rFonts w:ascii="宋体" w:hAnsi="宋体" w:cs="宋体"/>
          <w:color w:val="auto"/>
          <w:highlight w:val="none"/>
        </w:rPr>
      </w:pPr>
    </w:p>
    <w:p w14:paraId="51B56E59">
      <w:pPr>
        <w:pStyle w:val="276"/>
        <w:rPr>
          <w:rFonts w:ascii="宋体" w:hAnsi="宋体" w:cs="宋体"/>
          <w:color w:val="auto"/>
          <w:highlight w:val="none"/>
        </w:rPr>
      </w:pPr>
    </w:p>
    <w:p w14:paraId="51C26015">
      <w:pPr>
        <w:pStyle w:val="276"/>
        <w:rPr>
          <w:rFonts w:ascii="宋体" w:hAnsi="宋体" w:cs="宋体"/>
          <w:color w:val="auto"/>
          <w:highlight w:val="none"/>
        </w:rPr>
      </w:pPr>
    </w:p>
    <w:p w14:paraId="00EC9D5D">
      <w:pPr>
        <w:pStyle w:val="276"/>
        <w:rPr>
          <w:rFonts w:ascii="宋体" w:hAnsi="宋体" w:cs="宋体"/>
          <w:color w:val="auto"/>
          <w:highlight w:val="none"/>
        </w:rPr>
      </w:pPr>
    </w:p>
    <w:p w14:paraId="6A645AF3">
      <w:pPr>
        <w:pStyle w:val="276"/>
        <w:rPr>
          <w:rFonts w:ascii="宋体" w:hAnsi="宋体" w:cs="宋体"/>
          <w:color w:val="auto"/>
          <w:highlight w:val="none"/>
        </w:rPr>
      </w:pPr>
    </w:p>
    <w:p w14:paraId="68C7990A">
      <w:pPr>
        <w:pStyle w:val="276"/>
        <w:rPr>
          <w:rFonts w:ascii="宋体" w:hAnsi="宋体" w:cs="宋体"/>
          <w:color w:val="auto"/>
          <w:highlight w:val="none"/>
        </w:rPr>
      </w:pPr>
    </w:p>
    <w:p w14:paraId="0A379E07">
      <w:pPr>
        <w:pStyle w:val="276"/>
        <w:rPr>
          <w:rFonts w:ascii="宋体" w:hAnsi="宋体" w:cs="宋体"/>
          <w:color w:val="auto"/>
          <w:highlight w:val="none"/>
        </w:rPr>
      </w:pPr>
    </w:p>
    <w:p w14:paraId="6247DFCD">
      <w:pPr>
        <w:pStyle w:val="276"/>
        <w:rPr>
          <w:rFonts w:ascii="宋体" w:hAnsi="宋体" w:cs="宋体"/>
          <w:color w:val="auto"/>
          <w:highlight w:val="none"/>
        </w:rPr>
      </w:pPr>
    </w:p>
    <w:p w14:paraId="72DB93A3">
      <w:pPr>
        <w:pStyle w:val="276"/>
        <w:rPr>
          <w:rFonts w:ascii="宋体" w:hAnsi="宋体" w:cs="宋体"/>
          <w:color w:val="auto"/>
          <w:highlight w:val="none"/>
        </w:rPr>
      </w:pPr>
    </w:p>
    <w:p w14:paraId="06A6105A">
      <w:pPr>
        <w:widowControl/>
        <w:jc w:val="left"/>
        <w:rPr>
          <w:rFonts w:ascii="Arial" w:hAnsi="Arial" w:eastAsia="黑体"/>
          <w:b/>
          <w:bCs/>
          <w:color w:val="auto"/>
          <w:kern w:val="0"/>
          <w:sz w:val="28"/>
          <w:szCs w:val="32"/>
          <w:highlight w:val="none"/>
        </w:rPr>
      </w:pPr>
      <w:bookmarkStart w:id="418" w:name="_Toc523921650"/>
      <w:r>
        <w:rPr>
          <w:rFonts w:ascii="Arial" w:hAnsi="Arial" w:eastAsia="黑体"/>
          <w:b/>
          <w:bCs/>
          <w:color w:val="auto"/>
          <w:kern w:val="0"/>
          <w:sz w:val="28"/>
          <w:szCs w:val="32"/>
          <w:highlight w:val="none"/>
        </w:rPr>
        <w:br w:type="page"/>
      </w:r>
    </w:p>
    <w:p w14:paraId="5540F385">
      <w:pPr>
        <w:outlineLvl w:val="1"/>
        <w:rPr>
          <w:rStyle w:val="146"/>
          <w:b w:val="0"/>
          <w:bCs/>
          <w:kern w:val="2"/>
        </w:rPr>
      </w:pPr>
      <w:r>
        <w:rPr>
          <w:rStyle w:val="146"/>
          <w:rFonts w:hint="default"/>
          <w:b w:val="0"/>
          <w:bCs/>
          <w:kern w:val="2"/>
        </w:rPr>
        <w:t>附件六</w:t>
      </w:r>
      <w:r>
        <w:rPr>
          <w:rStyle w:val="146"/>
          <w:b w:val="0"/>
          <w:bCs/>
          <w:kern w:val="2"/>
        </w:rPr>
        <w:t xml:space="preserve">  </w:t>
      </w:r>
      <w:r>
        <w:rPr>
          <w:rStyle w:val="146"/>
          <w:rFonts w:hint="default"/>
          <w:b w:val="0"/>
          <w:bCs/>
          <w:kern w:val="2"/>
        </w:rPr>
        <w:t>确认通知</w:t>
      </w:r>
      <w:bookmarkEnd w:id="418"/>
    </w:p>
    <w:p w14:paraId="6F9E540F">
      <w:pPr>
        <w:pStyle w:val="276"/>
        <w:rPr>
          <w:rFonts w:ascii="宋体" w:hAnsi="宋体" w:cs="宋体"/>
          <w:color w:val="auto"/>
          <w:highlight w:val="none"/>
        </w:rPr>
      </w:pPr>
    </w:p>
    <w:p w14:paraId="61362E7C">
      <w:pPr>
        <w:pStyle w:val="276"/>
        <w:spacing w:line="360" w:lineRule="auto"/>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确</w:t>
      </w:r>
      <w:r>
        <w:rPr>
          <w:rFonts w:ascii="黑体" w:hAnsi="黑体" w:eastAsia="黑体" w:cs="宋体"/>
          <w:color w:val="auto"/>
          <w:sz w:val="28"/>
          <w:szCs w:val="28"/>
          <w:highlight w:val="none"/>
        </w:rPr>
        <w:t xml:space="preserve"> </w:t>
      </w:r>
      <w:r>
        <w:rPr>
          <w:rFonts w:hint="eastAsia" w:ascii="黑体" w:hAnsi="黑体" w:eastAsia="黑体" w:cs="宋体"/>
          <w:color w:val="auto"/>
          <w:sz w:val="28"/>
          <w:szCs w:val="28"/>
          <w:highlight w:val="none"/>
        </w:rPr>
        <w:t>认</w:t>
      </w:r>
      <w:r>
        <w:rPr>
          <w:rFonts w:ascii="黑体" w:hAnsi="黑体" w:eastAsia="黑体" w:cs="宋体"/>
          <w:color w:val="auto"/>
          <w:sz w:val="28"/>
          <w:szCs w:val="28"/>
          <w:highlight w:val="none"/>
        </w:rPr>
        <w:t xml:space="preserve"> </w:t>
      </w:r>
      <w:r>
        <w:rPr>
          <w:rFonts w:hint="eastAsia" w:ascii="黑体" w:hAnsi="黑体" w:eastAsia="黑体" w:cs="宋体"/>
          <w:color w:val="auto"/>
          <w:sz w:val="28"/>
          <w:szCs w:val="28"/>
          <w:highlight w:val="none"/>
        </w:rPr>
        <w:t>通</w:t>
      </w:r>
      <w:r>
        <w:rPr>
          <w:rFonts w:ascii="黑体" w:hAnsi="黑体" w:eastAsia="黑体" w:cs="宋体"/>
          <w:color w:val="auto"/>
          <w:sz w:val="28"/>
          <w:szCs w:val="28"/>
          <w:highlight w:val="none"/>
        </w:rPr>
        <w:t xml:space="preserve"> </w:t>
      </w:r>
      <w:r>
        <w:rPr>
          <w:rFonts w:hint="eastAsia" w:ascii="黑体" w:hAnsi="黑体" w:eastAsia="黑体" w:cs="宋体"/>
          <w:color w:val="auto"/>
          <w:sz w:val="28"/>
          <w:szCs w:val="28"/>
          <w:highlight w:val="none"/>
        </w:rPr>
        <w:t>知</w:t>
      </w:r>
    </w:p>
    <w:p w14:paraId="0A1B9EEF">
      <w:pPr>
        <w:pStyle w:val="276"/>
        <w:rPr>
          <w:rFonts w:ascii="宋体" w:hAnsi="宋体" w:cs="宋体"/>
          <w:color w:val="auto"/>
          <w:highlight w:val="none"/>
        </w:rPr>
      </w:pPr>
    </w:p>
    <w:p w14:paraId="2D3007C1">
      <w:pPr>
        <w:pStyle w:val="276"/>
        <w:spacing w:line="360" w:lineRule="auto"/>
        <w:rPr>
          <w:rFonts w:ascii="宋体" w:hAnsi="宋体" w:cs="宋体"/>
          <w:color w:val="auto"/>
          <w:sz w:val="24"/>
          <w:highlight w:val="none"/>
        </w:rPr>
      </w:pPr>
      <w:r>
        <w:rPr>
          <w:rFonts w:ascii="宋体" w:hAnsi="宋体" w:cs="宋体"/>
          <w:color w:val="auto"/>
          <w:sz w:val="24"/>
          <w:highlight w:val="none"/>
        </w:rPr>
        <w:t xml:space="preserve"> </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（招标人名称）：</w:t>
      </w:r>
    </w:p>
    <w:p w14:paraId="1E993545">
      <w:pPr>
        <w:pStyle w:val="276"/>
        <w:spacing w:line="360" w:lineRule="auto"/>
        <w:rPr>
          <w:rFonts w:ascii="宋体" w:hAnsi="宋体" w:cs="宋体"/>
          <w:color w:val="auto"/>
          <w:sz w:val="24"/>
          <w:highlight w:val="none"/>
        </w:rPr>
      </w:pPr>
    </w:p>
    <w:p w14:paraId="7E64F35E">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你方</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日发出的</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招标</w:t>
      </w:r>
      <w:r>
        <w:rPr>
          <w:rFonts w:ascii="宋体" w:hAnsi="宋体"/>
          <w:color w:val="auto"/>
          <w:sz w:val="24"/>
          <w:highlight w:val="none"/>
        </w:rPr>
        <w:t>项目名称）</w:t>
      </w:r>
      <w:r>
        <w:rPr>
          <w:rFonts w:hint="eastAsia" w:ascii="宋体" w:hAnsi="宋体"/>
          <w:color w:val="auto"/>
          <w:sz w:val="24"/>
          <w:highlight w:val="none"/>
        </w:rPr>
        <w:t>招标第</w:t>
      </w:r>
      <w:r>
        <w:rPr>
          <w:rFonts w:ascii="宋体" w:hAnsi="宋体" w:cs="宋体"/>
          <w:color w:val="auto"/>
          <w:sz w:val="24"/>
          <w:highlight w:val="none"/>
          <w:u w:val="single"/>
        </w:rPr>
        <w:t xml:space="preserve">    </w:t>
      </w:r>
      <w:r>
        <w:rPr>
          <w:rFonts w:hint="eastAsia" w:ascii="宋体" w:hAnsi="宋体" w:cs="宋体"/>
          <w:color w:val="auto"/>
          <w:sz w:val="24"/>
          <w:highlight w:val="none"/>
        </w:rPr>
        <w:t>标段关于</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的通知，我方已于</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日收到。</w:t>
      </w:r>
    </w:p>
    <w:p w14:paraId="297F28FA">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特此确认。</w:t>
      </w:r>
    </w:p>
    <w:p w14:paraId="724E89FD">
      <w:pPr>
        <w:pStyle w:val="276"/>
        <w:spacing w:line="360" w:lineRule="auto"/>
        <w:rPr>
          <w:rFonts w:ascii="宋体" w:hAnsi="宋体" w:cs="宋体"/>
          <w:color w:val="auto"/>
          <w:sz w:val="24"/>
          <w:highlight w:val="none"/>
        </w:rPr>
      </w:pPr>
    </w:p>
    <w:p w14:paraId="715AE39D">
      <w:pPr>
        <w:pStyle w:val="276"/>
        <w:spacing w:line="360" w:lineRule="auto"/>
        <w:rPr>
          <w:rFonts w:ascii="宋体" w:hAnsi="宋体" w:cs="宋体"/>
          <w:color w:val="auto"/>
          <w:sz w:val="24"/>
          <w:highlight w:val="none"/>
        </w:rPr>
      </w:pPr>
    </w:p>
    <w:p w14:paraId="76A28A21">
      <w:pPr>
        <w:pStyle w:val="276"/>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投标人：</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（盖单位电子印章／盖单位章）</w:t>
      </w:r>
    </w:p>
    <w:p w14:paraId="02FE5AF3">
      <w:pPr>
        <w:pStyle w:val="276"/>
        <w:spacing w:line="360" w:lineRule="auto"/>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u w:val="none"/>
          <w:lang w:val="en-US" w:eastAsia="zh-CN"/>
        </w:rPr>
        <w:t xml:space="preserve">            </w:t>
      </w:r>
      <w:r>
        <w:rPr>
          <w:rFonts w:ascii="宋体" w:hAnsi="宋体" w:cs="宋体"/>
          <w:color w:val="auto"/>
          <w:sz w:val="24"/>
          <w:highlight w:val="none"/>
          <w:u w:val="single"/>
        </w:rPr>
        <w:t xml:space="preserve">       </w:t>
      </w:r>
      <w:r>
        <w:rPr>
          <w:rFonts w:ascii="宋体" w:hAnsi="宋体" w:cs="宋体"/>
          <w:color w:val="auto"/>
          <w:sz w:val="24"/>
          <w:highlight w:val="none"/>
        </w:rPr>
        <w:t>年</w:t>
      </w:r>
      <w:r>
        <w:rPr>
          <w:rFonts w:ascii="宋体" w:hAnsi="宋体" w:cs="宋体"/>
          <w:color w:val="auto"/>
          <w:sz w:val="24"/>
          <w:highlight w:val="none"/>
          <w:u w:val="single"/>
        </w:rPr>
        <w:t xml:space="preserve">    </w:t>
      </w:r>
      <w:r>
        <w:rPr>
          <w:rFonts w:ascii="宋体" w:hAnsi="宋体" w:cs="宋体"/>
          <w:color w:val="auto"/>
          <w:sz w:val="24"/>
          <w:highlight w:val="none"/>
        </w:rPr>
        <w:t>月</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ascii="宋体" w:hAnsi="宋体" w:cs="宋体"/>
          <w:color w:val="auto"/>
          <w:sz w:val="24"/>
          <w:highlight w:val="none"/>
        </w:rPr>
        <w:t>日</w:t>
      </w:r>
    </w:p>
    <w:p w14:paraId="1737FC6C">
      <w:pPr>
        <w:pStyle w:val="276"/>
        <w:rPr>
          <w:rFonts w:ascii="宋体" w:hAnsi="宋体" w:cs="宋体"/>
          <w:color w:val="auto"/>
          <w:highlight w:val="none"/>
        </w:rPr>
      </w:pPr>
    </w:p>
    <w:p w14:paraId="38CA5881">
      <w:pPr>
        <w:pStyle w:val="276"/>
        <w:rPr>
          <w:rFonts w:ascii="宋体" w:hAnsi="宋体" w:cs="宋体"/>
          <w:color w:val="auto"/>
          <w:highlight w:val="none"/>
        </w:rPr>
      </w:pPr>
    </w:p>
    <w:p w14:paraId="5443A202">
      <w:pPr>
        <w:pStyle w:val="276"/>
        <w:rPr>
          <w:rFonts w:ascii="宋体" w:hAnsi="宋体" w:cs="宋体"/>
          <w:color w:val="auto"/>
          <w:highlight w:val="none"/>
        </w:rPr>
      </w:pPr>
    </w:p>
    <w:p w14:paraId="3065FB06">
      <w:pPr>
        <w:pStyle w:val="276"/>
        <w:rPr>
          <w:rFonts w:ascii="宋体" w:hAnsi="宋体" w:cs="宋体"/>
          <w:color w:val="auto"/>
          <w:highlight w:val="none"/>
        </w:rPr>
      </w:pPr>
    </w:p>
    <w:p w14:paraId="792498F0">
      <w:pPr>
        <w:pStyle w:val="276"/>
        <w:rPr>
          <w:rFonts w:ascii="宋体" w:hAnsi="宋体" w:cs="宋体"/>
          <w:color w:val="auto"/>
          <w:highlight w:val="none"/>
        </w:rPr>
      </w:pPr>
    </w:p>
    <w:p w14:paraId="4C1C5FE9">
      <w:pPr>
        <w:pStyle w:val="276"/>
        <w:rPr>
          <w:rFonts w:ascii="宋体" w:hAnsi="宋体" w:cs="宋体"/>
          <w:color w:val="auto"/>
          <w:highlight w:val="none"/>
        </w:rPr>
      </w:pPr>
    </w:p>
    <w:p w14:paraId="6E1FE1FF">
      <w:pPr>
        <w:pStyle w:val="276"/>
        <w:rPr>
          <w:rFonts w:ascii="宋体" w:hAnsi="宋体" w:cs="宋体"/>
          <w:color w:val="auto"/>
          <w:highlight w:val="none"/>
        </w:rPr>
      </w:pPr>
    </w:p>
    <w:p w14:paraId="6DCD5207">
      <w:pPr>
        <w:pStyle w:val="276"/>
        <w:rPr>
          <w:rFonts w:ascii="宋体" w:hAnsi="宋体" w:cs="宋体"/>
          <w:color w:val="auto"/>
          <w:highlight w:val="none"/>
        </w:rPr>
      </w:pPr>
    </w:p>
    <w:p w14:paraId="3F0D8370">
      <w:pPr>
        <w:pStyle w:val="276"/>
        <w:rPr>
          <w:rFonts w:ascii="宋体" w:hAnsi="宋体" w:cs="宋体"/>
          <w:color w:val="auto"/>
          <w:highlight w:val="none"/>
        </w:rPr>
      </w:pPr>
    </w:p>
    <w:p w14:paraId="175F889B">
      <w:pPr>
        <w:pStyle w:val="276"/>
        <w:rPr>
          <w:rFonts w:ascii="宋体" w:hAnsi="宋体" w:cs="宋体"/>
          <w:color w:val="auto"/>
          <w:highlight w:val="none"/>
        </w:rPr>
      </w:pPr>
    </w:p>
    <w:p w14:paraId="0F30CAED">
      <w:pPr>
        <w:pStyle w:val="276"/>
        <w:rPr>
          <w:rFonts w:ascii="宋体" w:hAnsi="宋体" w:cs="宋体"/>
          <w:color w:val="auto"/>
          <w:highlight w:val="none"/>
        </w:rPr>
      </w:pPr>
    </w:p>
    <w:p w14:paraId="65AF9825">
      <w:pPr>
        <w:pStyle w:val="276"/>
        <w:rPr>
          <w:rFonts w:ascii="宋体" w:hAnsi="宋体" w:cs="宋体"/>
          <w:color w:val="auto"/>
          <w:highlight w:val="none"/>
        </w:rPr>
      </w:pPr>
    </w:p>
    <w:p w14:paraId="5E5F8B89">
      <w:pPr>
        <w:pStyle w:val="276"/>
        <w:rPr>
          <w:rFonts w:ascii="宋体" w:hAnsi="宋体" w:cs="宋体"/>
          <w:color w:val="auto"/>
          <w:highlight w:val="none"/>
        </w:rPr>
      </w:pPr>
    </w:p>
    <w:p w14:paraId="67BC8C95">
      <w:pPr>
        <w:pStyle w:val="276"/>
        <w:rPr>
          <w:rFonts w:ascii="宋体" w:hAnsi="宋体" w:cs="宋体"/>
          <w:color w:val="auto"/>
          <w:highlight w:val="none"/>
        </w:rPr>
      </w:pPr>
    </w:p>
    <w:p w14:paraId="0F7043F8">
      <w:pPr>
        <w:pStyle w:val="276"/>
        <w:rPr>
          <w:rFonts w:ascii="宋体" w:hAnsi="宋体" w:cs="宋体"/>
          <w:color w:val="auto"/>
          <w:highlight w:val="none"/>
        </w:rPr>
      </w:pPr>
    </w:p>
    <w:p w14:paraId="548B03B1">
      <w:pPr>
        <w:pStyle w:val="276"/>
        <w:rPr>
          <w:rFonts w:ascii="宋体" w:hAnsi="宋体" w:cs="宋体"/>
          <w:color w:val="auto"/>
          <w:highlight w:val="none"/>
        </w:rPr>
      </w:pPr>
    </w:p>
    <w:p w14:paraId="3EC686FF">
      <w:pPr>
        <w:pStyle w:val="276"/>
        <w:rPr>
          <w:rFonts w:ascii="宋体" w:hAnsi="宋体" w:cs="宋体"/>
          <w:color w:val="auto"/>
          <w:highlight w:val="none"/>
        </w:rPr>
      </w:pPr>
    </w:p>
    <w:p w14:paraId="746AF6AA">
      <w:pPr>
        <w:pStyle w:val="276"/>
        <w:rPr>
          <w:rFonts w:ascii="宋体" w:hAnsi="宋体" w:cs="宋体"/>
          <w:color w:val="auto"/>
          <w:highlight w:val="none"/>
        </w:rPr>
      </w:pPr>
    </w:p>
    <w:p w14:paraId="2560F85D">
      <w:pPr>
        <w:pStyle w:val="276"/>
        <w:rPr>
          <w:rFonts w:ascii="宋体" w:hAnsi="宋体" w:cs="宋体"/>
          <w:color w:val="auto"/>
          <w:highlight w:val="none"/>
        </w:rPr>
      </w:pPr>
    </w:p>
    <w:p w14:paraId="3B7936EA">
      <w:pPr>
        <w:widowControl/>
        <w:jc w:val="left"/>
        <w:rPr>
          <w:rFonts w:ascii="Arial" w:hAnsi="Arial" w:eastAsia="黑体"/>
          <w:b/>
          <w:bCs/>
          <w:color w:val="auto"/>
          <w:kern w:val="0"/>
          <w:sz w:val="28"/>
          <w:szCs w:val="32"/>
          <w:highlight w:val="none"/>
        </w:rPr>
      </w:pPr>
      <w:bookmarkStart w:id="419" w:name="_Toc523921651"/>
      <w:r>
        <w:rPr>
          <w:rFonts w:ascii="Arial" w:hAnsi="Arial" w:eastAsia="黑体"/>
          <w:b/>
          <w:bCs/>
          <w:color w:val="auto"/>
          <w:kern w:val="0"/>
          <w:sz w:val="28"/>
          <w:szCs w:val="32"/>
          <w:highlight w:val="none"/>
        </w:rPr>
        <w:br w:type="page"/>
      </w:r>
    </w:p>
    <w:p w14:paraId="354CBEA5">
      <w:pPr>
        <w:outlineLvl w:val="1"/>
        <w:rPr>
          <w:rStyle w:val="146"/>
          <w:b w:val="0"/>
          <w:bCs w:val="0"/>
          <w:kern w:val="2"/>
        </w:rPr>
      </w:pPr>
      <w:r>
        <w:rPr>
          <w:rStyle w:val="146"/>
          <w:rFonts w:hint="default"/>
          <w:b w:val="0"/>
          <w:bCs w:val="0"/>
          <w:kern w:val="2"/>
        </w:rPr>
        <w:t>附件七</w:t>
      </w:r>
      <w:r>
        <w:rPr>
          <w:rStyle w:val="146"/>
          <w:b w:val="0"/>
          <w:bCs w:val="0"/>
          <w:kern w:val="2"/>
        </w:rPr>
        <w:t xml:space="preserve">  </w:t>
      </w:r>
      <w:r>
        <w:rPr>
          <w:rStyle w:val="146"/>
          <w:rFonts w:hint="default"/>
          <w:b w:val="0"/>
          <w:bCs w:val="0"/>
          <w:kern w:val="2"/>
        </w:rPr>
        <w:t>异议书</w:t>
      </w:r>
      <w:bookmarkEnd w:id="419"/>
    </w:p>
    <w:p w14:paraId="61263096">
      <w:pPr>
        <w:pStyle w:val="276"/>
        <w:spacing w:line="360" w:lineRule="auto"/>
        <w:ind w:firstLine="1120" w:firstLineChars="400"/>
        <w:rPr>
          <w:rFonts w:ascii="黑体" w:hAnsi="黑体" w:eastAsia="黑体" w:cs="宋体"/>
          <w:color w:val="auto"/>
          <w:sz w:val="28"/>
          <w:szCs w:val="28"/>
          <w:highlight w:val="none"/>
        </w:rPr>
      </w:pPr>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（招标项目名称）招标第</w:t>
      </w:r>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标段</w:t>
      </w:r>
    </w:p>
    <w:p w14:paraId="1A731BD4">
      <w:pPr>
        <w:pStyle w:val="276"/>
        <w:spacing w:line="360" w:lineRule="auto"/>
        <w:ind w:firstLine="3500" w:firstLineChars="1250"/>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异</w:t>
      </w:r>
      <w:r>
        <w:rPr>
          <w:rFonts w:ascii="黑体" w:hAnsi="黑体" w:eastAsia="黑体" w:cs="宋体"/>
          <w:color w:val="auto"/>
          <w:sz w:val="28"/>
          <w:szCs w:val="28"/>
          <w:highlight w:val="none"/>
        </w:rPr>
        <w:t xml:space="preserve"> </w:t>
      </w:r>
      <w:r>
        <w:rPr>
          <w:rFonts w:hint="eastAsia" w:ascii="黑体" w:hAnsi="黑体" w:eastAsia="黑体" w:cs="宋体"/>
          <w:color w:val="auto"/>
          <w:sz w:val="28"/>
          <w:szCs w:val="28"/>
          <w:highlight w:val="none"/>
        </w:rPr>
        <w:t>议</w:t>
      </w:r>
      <w:r>
        <w:rPr>
          <w:rFonts w:ascii="黑体" w:hAnsi="黑体" w:eastAsia="黑体" w:cs="宋体"/>
          <w:color w:val="auto"/>
          <w:sz w:val="28"/>
          <w:szCs w:val="28"/>
          <w:highlight w:val="none"/>
        </w:rPr>
        <w:t xml:space="preserve"> </w:t>
      </w:r>
      <w:r>
        <w:rPr>
          <w:rFonts w:hint="eastAsia" w:ascii="黑体" w:hAnsi="黑体" w:eastAsia="黑体" w:cs="宋体"/>
          <w:color w:val="auto"/>
          <w:sz w:val="28"/>
          <w:szCs w:val="28"/>
          <w:highlight w:val="none"/>
        </w:rPr>
        <w:t>书</w:t>
      </w:r>
    </w:p>
    <w:p w14:paraId="6F31E86F">
      <w:pPr>
        <w:pStyle w:val="276"/>
        <w:spacing w:line="360" w:lineRule="auto"/>
        <w:rPr>
          <w:rFonts w:ascii="宋体" w:hAnsi="宋体" w:cs="宋体"/>
          <w:color w:val="auto"/>
          <w:sz w:val="24"/>
          <w:highlight w:val="none"/>
        </w:rPr>
      </w:pPr>
      <w:r>
        <w:rPr>
          <w:rFonts w:hint="eastAsia" w:ascii="宋体" w:hAnsi="宋体" w:cs="宋体"/>
          <w:color w:val="auto"/>
          <w:sz w:val="24"/>
          <w:highlight w:val="none"/>
        </w:rPr>
        <w:t> </w:t>
      </w:r>
    </w:p>
    <w:p w14:paraId="793B1FFB">
      <w:pPr>
        <w:spacing w:line="360" w:lineRule="auto"/>
        <w:jc w:val="left"/>
        <w:rPr>
          <w:sz w:val="24"/>
        </w:rPr>
      </w:pPr>
      <w:r>
        <w:rPr>
          <w:rFonts w:hint="eastAsia"/>
          <w:sz w:val="24"/>
        </w:rPr>
        <w:t>异 议 人：</w:t>
      </w:r>
      <w:r>
        <w:rPr>
          <w:sz w:val="24"/>
          <w:u w:val="single"/>
        </w:rPr>
        <w:t xml:space="preserve">    </w:t>
      </w:r>
      <w:r>
        <w:rPr>
          <w:rFonts w:hint="eastAsia"/>
          <w:sz w:val="24"/>
          <w:u w:val="single"/>
        </w:rPr>
        <w:t xml:space="preserve">　　　　　　　　　　　　　　 </w:t>
      </w:r>
      <w:r>
        <w:rPr>
          <w:rFonts w:hint="eastAsia"/>
          <w:sz w:val="24"/>
        </w:rPr>
        <w:t>　　　　　　　　</w:t>
      </w:r>
      <w:r>
        <w:rPr>
          <w:sz w:val="24"/>
        </w:rPr>
        <w:t xml:space="preserve">                  </w:t>
      </w:r>
    </w:p>
    <w:p w14:paraId="5390E71C">
      <w:pPr>
        <w:spacing w:line="360" w:lineRule="auto"/>
        <w:jc w:val="left"/>
        <w:rPr>
          <w:sz w:val="24"/>
        </w:rPr>
      </w:pPr>
      <w:r>
        <w:rPr>
          <w:rFonts w:hint="eastAsia"/>
          <w:sz w:val="24"/>
        </w:rPr>
        <w:t>住 所 地：</w:t>
      </w:r>
      <w:r>
        <w:rPr>
          <w:sz w:val="24"/>
          <w:u w:val="single"/>
        </w:rPr>
        <w:t xml:space="preserve">          </w:t>
      </w:r>
      <w:r>
        <w:rPr>
          <w:rFonts w:hint="eastAsia"/>
          <w:sz w:val="24"/>
          <w:u w:val="single"/>
        </w:rPr>
        <w:t>　　　　　　　　　　　　</w:t>
      </w:r>
      <w:r>
        <w:rPr>
          <w:rFonts w:hint="eastAsia"/>
          <w:sz w:val="24"/>
        </w:rPr>
        <w:t>　　　　　　　　　　</w:t>
      </w:r>
      <w:r>
        <w:rPr>
          <w:sz w:val="24"/>
        </w:rPr>
        <w:t xml:space="preserve">              </w:t>
      </w:r>
    </w:p>
    <w:p w14:paraId="6785D810">
      <w:pPr>
        <w:spacing w:line="360" w:lineRule="auto"/>
        <w:jc w:val="left"/>
        <w:rPr>
          <w:sz w:val="24"/>
        </w:rPr>
      </w:pPr>
      <w:r>
        <w:rPr>
          <w:rFonts w:hint="eastAsia"/>
          <w:sz w:val="24"/>
        </w:rPr>
        <w:t>邮    编：</w:t>
      </w:r>
      <w:r>
        <w:rPr>
          <w:sz w:val="24"/>
        </w:rPr>
        <w:t xml:space="preserve"> </w:t>
      </w:r>
      <w:r>
        <w:rPr>
          <w:sz w:val="24"/>
          <w:u w:val="single"/>
        </w:rPr>
        <w:t>          </w:t>
      </w:r>
      <w:r>
        <w:rPr>
          <w:rFonts w:hint="eastAsia"/>
          <w:sz w:val="24"/>
          <w:u w:val="single"/>
        </w:rPr>
        <w:t>　　　　　　　　　　　　</w:t>
      </w:r>
      <w:r>
        <w:rPr>
          <w:rFonts w:hint="eastAsia"/>
          <w:sz w:val="24"/>
        </w:rPr>
        <w:t>　　　　　　　　</w:t>
      </w:r>
      <w:r>
        <w:rPr>
          <w:sz w:val="24"/>
        </w:rPr>
        <w:t xml:space="preserve">                  </w:t>
      </w:r>
    </w:p>
    <w:p w14:paraId="6164B4AE">
      <w:pPr>
        <w:spacing w:line="360" w:lineRule="auto"/>
        <w:jc w:val="left"/>
        <w:rPr>
          <w:sz w:val="24"/>
        </w:rPr>
      </w:pPr>
      <w:r>
        <w:rPr>
          <w:rFonts w:hint="eastAsia"/>
          <w:sz w:val="24"/>
        </w:rPr>
        <w:t>法定代表人：</w:t>
      </w:r>
      <w:r>
        <w:rPr>
          <w:sz w:val="24"/>
          <w:u w:val="single"/>
        </w:rPr>
        <w:t xml:space="preserve">          </w:t>
      </w:r>
      <w:r>
        <w:rPr>
          <w:rFonts w:hint="eastAsia"/>
          <w:sz w:val="24"/>
          <w:u w:val="single"/>
        </w:rPr>
        <w:t>　　　　　　　　　　　</w:t>
      </w:r>
      <w:r>
        <w:rPr>
          <w:rFonts w:hint="eastAsia"/>
          <w:sz w:val="24"/>
        </w:rPr>
        <w:t>　　　　　　　　　</w:t>
      </w:r>
      <w:r>
        <w:rPr>
          <w:sz w:val="24"/>
        </w:rPr>
        <w:t xml:space="preserve">               </w:t>
      </w:r>
    </w:p>
    <w:p w14:paraId="7ECCCB33">
      <w:pPr>
        <w:spacing w:line="360" w:lineRule="auto"/>
        <w:jc w:val="left"/>
        <w:rPr>
          <w:sz w:val="24"/>
        </w:rPr>
      </w:pPr>
      <w:r>
        <w:rPr>
          <w:rFonts w:hint="eastAsia"/>
          <w:sz w:val="24"/>
        </w:rPr>
        <w:t>联系电话：</w:t>
      </w:r>
      <w:r>
        <w:rPr>
          <w:sz w:val="24"/>
          <w:u w:val="single"/>
        </w:rPr>
        <w:t>         </w:t>
      </w:r>
      <w:r>
        <w:rPr>
          <w:rFonts w:hint="eastAsia"/>
          <w:sz w:val="24"/>
          <w:u w:val="single"/>
        </w:rPr>
        <w:t>　　　　　　　　　　　　　</w:t>
      </w:r>
      <w:r>
        <w:rPr>
          <w:rFonts w:hint="eastAsia"/>
          <w:sz w:val="24"/>
        </w:rPr>
        <w:t>　　　　　　　</w:t>
      </w:r>
      <w:r>
        <w:rPr>
          <w:sz w:val="24"/>
        </w:rPr>
        <w:t xml:space="preserve">                  </w:t>
      </w:r>
    </w:p>
    <w:p w14:paraId="7879C7CE">
      <w:pPr>
        <w:spacing w:line="360" w:lineRule="auto"/>
        <w:jc w:val="left"/>
        <w:rPr>
          <w:sz w:val="24"/>
        </w:rPr>
      </w:pPr>
      <w:r>
        <w:rPr>
          <w:rFonts w:hint="eastAsia"/>
          <w:sz w:val="24"/>
        </w:rPr>
        <w:t>异议人授权代表：</w:t>
      </w:r>
      <w:r>
        <w:rPr>
          <w:sz w:val="24"/>
          <w:u w:val="single"/>
        </w:rPr>
        <w:t>               </w:t>
      </w:r>
      <w:r>
        <w:rPr>
          <w:rFonts w:hint="eastAsia"/>
          <w:sz w:val="24"/>
          <w:u w:val="single"/>
        </w:rPr>
        <w:t>　　　　　　　　</w:t>
      </w:r>
      <w:r>
        <w:rPr>
          <w:sz w:val="24"/>
        </w:rPr>
        <w:t>   </w:t>
      </w:r>
    </w:p>
    <w:p w14:paraId="790FE801">
      <w:pPr>
        <w:spacing w:line="360" w:lineRule="auto"/>
        <w:jc w:val="left"/>
        <w:rPr>
          <w:sz w:val="24"/>
        </w:rPr>
      </w:pPr>
      <w:r>
        <w:rPr>
          <w:rFonts w:hint="eastAsia"/>
          <w:sz w:val="24"/>
        </w:rPr>
        <w:t>性    别：</w:t>
      </w:r>
      <w:r>
        <w:rPr>
          <w:sz w:val="24"/>
          <w:u w:val="single"/>
        </w:rPr>
        <w:t xml:space="preserve">      </w:t>
      </w:r>
      <w:r>
        <w:rPr>
          <w:rFonts w:hint="eastAsia"/>
          <w:sz w:val="24"/>
          <w:u w:val="single"/>
        </w:rPr>
        <w:t>　　　　　　　　　</w:t>
      </w:r>
      <w:r>
        <w:rPr>
          <w:sz w:val="24"/>
          <w:u w:val="single"/>
        </w:rPr>
        <w:t xml:space="preserve">   </w:t>
      </w:r>
      <w:r>
        <w:rPr>
          <w:rFonts w:hint="eastAsia"/>
          <w:sz w:val="24"/>
          <w:u w:val="single"/>
        </w:rPr>
        <w:t xml:space="preserve">     </w:t>
      </w:r>
      <w:r>
        <w:rPr>
          <w:sz w:val="24"/>
          <w:u w:val="single"/>
        </w:rPr>
        <w:t>   </w:t>
      </w:r>
      <w:r>
        <w:rPr>
          <w:sz w:val="24"/>
        </w:rPr>
        <w:t xml:space="preserve">     </w:t>
      </w:r>
    </w:p>
    <w:p w14:paraId="6DE7B06C">
      <w:pPr>
        <w:spacing w:line="360" w:lineRule="auto"/>
        <w:jc w:val="left"/>
        <w:rPr>
          <w:sz w:val="24"/>
        </w:rPr>
      </w:pPr>
      <w:r>
        <w:rPr>
          <w:rFonts w:hint="eastAsia"/>
          <w:sz w:val="24"/>
        </w:rPr>
        <w:t>年    龄：</w:t>
      </w:r>
      <w:r>
        <w:rPr>
          <w:sz w:val="24"/>
          <w:u w:val="single"/>
        </w:rPr>
        <w:t xml:space="preserve">             </w:t>
      </w:r>
      <w:r>
        <w:rPr>
          <w:rFonts w:hint="eastAsia"/>
          <w:sz w:val="24"/>
          <w:u w:val="single"/>
        </w:rPr>
        <w:t>　　　　　　      　　</w:t>
      </w:r>
      <w:r>
        <w:rPr>
          <w:rFonts w:hint="eastAsia"/>
          <w:sz w:val="24"/>
        </w:rPr>
        <w:t>　</w:t>
      </w:r>
      <w:r>
        <w:rPr>
          <w:sz w:val="24"/>
        </w:rPr>
        <w:t xml:space="preserve">      </w:t>
      </w:r>
    </w:p>
    <w:p w14:paraId="0957B7A0">
      <w:pPr>
        <w:spacing w:line="360" w:lineRule="auto"/>
        <w:jc w:val="left"/>
        <w:rPr>
          <w:sz w:val="24"/>
        </w:rPr>
      </w:pPr>
      <w:r>
        <w:rPr>
          <w:rFonts w:hint="eastAsia"/>
          <w:sz w:val="24"/>
        </w:rPr>
        <w:t>住    址：</w:t>
      </w:r>
      <w:r>
        <w:rPr>
          <w:sz w:val="24"/>
          <w:u w:val="single"/>
        </w:rPr>
        <w:t xml:space="preserve">      </w:t>
      </w:r>
      <w:r>
        <w:rPr>
          <w:rFonts w:hint="eastAsia"/>
          <w:sz w:val="24"/>
          <w:u w:val="single"/>
        </w:rPr>
        <w:t>　　　　　　　　　　　　　　</w:t>
      </w:r>
      <w:r>
        <w:rPr>
          <w:rFonts w:hint="eastAsia"/>
          <w:sz w:val="24"/>
        </w:rPr>
        <w:t>　　　　　　　　　　</w:t>
      </w:r>
      <w:r>
        <w:rPr>
          <w:sz w:val="24"/>
        </w:rPr>
        <w:t xml:space="preserve">           </w:t>
      </w:r>
    </w:p>
    <w:p w14:paraId="5CFCC30E">
      <w:pPr>
        <w:spacing w:line="360" w:lineRule="auto"/>
        <w:jc w:val="left"/>
        <w:rPr>
          <w:sz w:val="24"/>
        </w:rPr>
      </w:pPr>
      <w:r>
        <w:rPr>
          <w:rFonts w:hint="eastAsia"/>
          <w:sz w:val="24"/>
        </w:rPr>
        <w:t>联系电话：</w:t>
      </w:r>
      <w:r>
        <w:rPr>
          <w:sz w:val="24"/>
          <w:u w:val="single"/>
        </w:rPr>
        <w:t>           </w:t>
      </w:r>
      <w:r>
        <w:rPr>
          <w:rFonts w:hint="eastAsia"/>
          <w:sz w:val="24"/>
          <w:u w:val="single"/>
        </w:rPr>
        <w:t>　　　　　　　　　　　　</w:t>
      </w:r>
      <w:r>
        <w:rPr>
          <w:rFonts w:hint="eastAsia"/>
          <w:sz w:val="24"/>
        </w:rPr>
        <w:t>　　</w:t>
      </w:r>
      <w:r>
        <w:rPr>
          <w:sz w:val="24"/>
        </w:rPr>
        <w:t xml:space="preserve">     </w:t>
      </w:r>
      <w:r>
        <w:rPr>
          <w:rFonts w:hint="eastAsia"/>
          <w:sz w:val="24"/>
        </w:rPr>
        <w:t>　　　　　</w:t>
      </w:r>
      <w:r>
        <w:rPr>
          <w:sz w:val="24"/>
        </w:rPr>
        <w:t xml:space="preserve">             </w:t>
      </w:r>
    </w:p>
    <w:p w14:paraId="35E4933F">
      <w:pPr>
        <w:spacing w:line="360" w:lineRule="auto"/>
        <w:jc w:val="left"/>
        <w:rPr>
          <w:sz w:val="24"/>
          <w:u w:val="single"/>
        </w:rPr>
      </w:pPr>
      <w:r>
        <w:rPr>
          <w:rFonts w:hint="eastAsia"/>
          <w:sz w:val="24"/>
        </w:rPr>
        <w:t>提起异议事项的基本事实：</w:t>
      </w:r>
      <w:r>
        <w:rPr>
          <w:sz w:val="24"/>
          <w:u w:val="single"/>
        </w:rPr>
        <w:t xml:space="preserve">       </w:t>
      </w:r>
      <w:r>
        <w:rPr>
          <w:rFonts w:hint="eastAsia"/>
          <w:sz w:val="24"/>
          <w:u w:val="single"/>
        </w:rPr>
        <w:t>　　　　　　　　　　　　　　　　</w:t>
      </w:r>
      <w:r>
        <w:rPr>
          <w:sz w:val="24"/>
          <w:u w:val="single"/>
        </w:rPr>
        <w:t xml:space="preserve">             </w:t>
      </w:r>
    </w:p>
    <w:p w14:paraId="38EB8CA0">
      <w:pPr>
        <w:spacing w:line="360" w:lineRule="auto"/>
        <w:jc w:val="left"/>
        <w:rPr>
          <w:sz w:val="24"/>
        </w:rPr>
      </w:pPr>
      <w:r>
        <w:rPr>
          <w:sz w:val="24"/>
          <w:u w:val="single"/>
        </w:rPr>
        <w:t>                                                                                          </w:t>
      </w:r>
      <w:r>
        <w:rPr>
          <w:rFonts w:hint="eastAsia"/>
          <w:sz w:val="24"/>
        </w:rPr>
        <w:t>。</w:t>
      </w:r>
    </w:p>
    <w:p w14:paraId="2C59032F">
      <w:pPr>
        <w:spacing w:line="360" w:lineRule="auto"/>
        <w:jc w:val="left"/>
        <w:rPr>
          <w:sz w:val="24"/>
          <w:u w:val="single"/>
        </w:rPr>
      </w:pPr>
      <w:r>
        <w:rPr>
          <w:rFonts w:hint="eastAsia"/>
          <w:sz w:val="24"/>
        </w:rPr>
        <w:t>相关请求及主张：</w:t>
      </w:r>
      <w:r>
        <w:rPr>
          <w:sz w:val="24"/>
          <w:u w:val="single"/>
        </w:rPr>
        <w:t xml:space="preserve">             </w:t>
      </w:r>
      <w:r>
        <w:rPr>
          <w:rFonts w:hint="eastAsia"/>
          <w:sz w:val="24"/>
          <w:u w:val="single"/>
        </w:rPr>
        <w:t>　　　　　　　　　　　　　　</w:t>
      </w:r>
      <w:r>
        <w:rPr>
          <w:sz w:val="24"/>
          <w:u w:val="single"/>
        </w:rPr>
        <w:t xml:space="preserve">          </w:t>
      </w:r>
      <w:r>
        <w:rPr>
          <w:rFonts w:hint="eastAsia"/>
          <w:sz w:val="24"/>
          <w:u w:val="single"/>
        </w:rPr>
        <w:t xml:space="preserve">   </w:t>
      </w:r>
      <w:r>
        <w:rPr>
          <w:sz w:val="24"/>
          <w:u w:val="single"/>
        </w:rPr>
        <w:t xml:space="preserve">          </w:t>
      </w:r>
    </w:p>
    <w:p w14:paraId="53D9BDCF">
      <w:pPr>
        <w:spacing w:line="360" w:lineRule="auto"/>
        <w:jc w:val="left"/>
        <w:rPr>
          <w:sz w:val="24"/>
          <w:u w:val="single"/>
        </w:rPr>
      </w:pPr>
      <w:r>
        <w:rPr>
          <w:sz w:val="24"/>
          <w:u w:val="single"/>
        </w:rPr>
        <w:t xml:space="preserve">                </w:t>
      </w:r>
      <w:r>
        <w:rPr>
          <w:rFonts w:hint="eastAsia"/>
          <w:sz w:val="24"/>
          <w:u w:val="single"/>
        </w:rPr>
        <w:t xml:space="preserve">　　　　　　　　　　　　　　　　　　　　    </w:t>
      </w:r>
      <w:r>
        <w:rPr>
          <w:sz w:val="24"/>
          <w:u w:val="single"/>
        </w:rPr>
        <w:t xml:space="preserve">              </w:t>
      </w:r>
      <w:r>
        <w:rPr>
          <w:rFonts w:hint="eastAsia"/>
          <w:sz w:val="24"/>
        </w:rPr>
        <w:t>。</w:t>
      </w:r>
    </w:p>
    <w:p w14:paraId="59AA4955">
      <w:pPr>
        <w:spacing w:line="360" w:lineRule="auto"/>
        <w:jc w:val="left"/>
        <w:rPr>
          <w:sz w:val="24"/>
        </w:rPr>
      </w:pPr>
      <w:r>
        <w:rPr>
          <w:rFonts w:hint="eastAsia"/>
          <w:sz w:val="24"/>
        </w:rPr>
        <w:t>有效线索和相关证明材料</w:t>
      </w:r>
      <w:r>
        <w:rPr>
          <w:rFonts w:hint="eastAsia"/>
          <w:sz w:val="24"/>
          <w:u w:val="single"/>
        </w:rPr>
        <w:t>：</w:t>
      </w:r>
      <w:r>
        <w:rPr>
          <w:sz w:val="24"/>
          <w:u w:val="single"/>
        </w:rPr>
        <w:t xml:space="preserve">         </w:t>
      </w:r>
      <w:r>
        <w:rPr>
          <w:rFonts w:hint="eastAsia"/>
          <w:sz w:val="24"/>
          <w:u w:val="single"/>
        </w:rPr>
        <w:t>　　　　　　　　　　　　　　　</w:t>
      </w:r>
      <w:r>
        <w:rPr>
          <w:sz w:val="24"/>
          <w:u w:val="single"/>
        </w:rPr>
        <w:t xml:space="preserve">        </w:t>
      </w:r>
      <w:r>
        <w:rPr>
          <w:rFonts w:hint="eastAsia"/>
          <w:sz w:val="24"/>
        </w:rPr>
        <w:t>。</w:t>
      </w:r>
    </w:p>
    <w:p w14:paraId="5EBAAB6B">
      <w:pPr>
        <w:spacing w:line="360" w:lineRule="auto"/>
        <w:jc w:val="left"/>
        <w:rPr>
          <w:sz w:val="24"/>
        </w:rPr>
      </w:pPr>
      <w:r>
        <w:rPr>
          <w:rFonts w:hint="eastAsia"/>
          <w:sz w:val="24"/>
        </w:rPr>
        <w:t>异议人与提起项目有利害关系的证明材料</w:t>
      </w:r>
      <w:r>
        <w:rPr>
          <w:rFonts w:hint="eastAsia"/>
          <w:sz w:val="24"/>
          <w:u w:val="single"/>
        </w:rPr>
        <w:t>：</w:t>
      </w:r>
      <w:r>
        <w:rPr>
          <w:sz w:val="24"/>
          <w:u w:val="single"/>
        </w:rPr>
        <w:t xml:space="preserve">        </w:t>
      </w:r>
      <w:r>
        <w:rPr>
          <w:rFonts w:hint="eastAsia"/>
          <w:sz w:val="24"/>
          <w:u w:val="single"/>
        </w:rPr>
        <w:t>　　　　　　　　　</w:t>
      </w:r>
      <w:r>
        <w:rPr>
          <w:sz w:val="24"/>
          <w:u w:val="single"/>
        </w:rPr>
        <w:t xml:space="preserve"> </w:t>
      </w:r>
      <w:r>
        <w:rPr>
          <w:rFonts w:hint="eastAsia"/>
          <w:sz w:val="24"/>
          <w:u w:val="single"/>
        </w:rPr>
        <w:t xml:space="preserve">  </w:t>
      </w:r>
      <w:r>
        <w:rPr>
          <w:sz w:val="24"/>
          <w:u w:val="single"/>
        </w:rPr>
        <w:t xml:space="preserve"> </w:t>
      </w:r>
      <w:r>
        <w:rPr>
          <w:rFonts w:hint="eastAsia"/>
          <w:sz w:val="24"/>
        </w:rPr>
        <w:t>。</w:t>
      </w:r>
    </w:p>
    <w:p w14:paraId="45D067FA">
      <w:pPr>
        <w:pStyle w:val="19"/>
        <w:spacing w:line="360" w:lineRule="auto"/>
        <w:jc w:val="left"/>
        <w:rPr>
          <w:sz w:val="24"/>
        </w:rPr>
      </w:pPr>
    </w:p>
    <w:p w14:paraId="442EC86D">
      <w:pPr>
        <w:pStyle w:val="19"/>
        <w:adjustRightInd w:val="0"/>
        <w:snapToGrid w:val="0"/>
        <w:spacing w:line="360" w:lineRule="auto"/>
        <w:jc w:val="left"/>
        <w:rPr>
          <w:sz w:val="24"/>
        </w:rPr>
      </w:pPr>
      <w:r>
        <w:rPr>
          <w:rFonts w:hint="eastAsia"/>
          <w:sz w:val="24"/>
        </w:rPr>
        <w:t>此致</w:t>
      </w:r>
    </w:p>
    <w:p w14:paraId="733609E1">
      <w:pPr>
        <w:adjustRightInd w:val="0"/>
        <w:snapToGrid w:val="0"/>
        <w:spacing w:line="360" w:lineRule="auto"/>
        <w:jc w:val="left"/>
        <w:rPr>
          <w:sz w:val="24"/>
          <w:u w:val="single"/>
        </w:rPr>
      </w:pPr>
      <w:r>
        <w:rPr>
          <w:sz w:val="24"/>
        </w:rPr>
        <w:t xml:space="preserve">  </w:t>
      </w:r>
      <w:r>
        <w:rPr>
          <w:rFonts w:hint="eastAsia"/>
          <w:sz w:val="24"/>
          <w:u w:val="single"/>
        </w:rPr>
        <w:t xml:space="preserve">    （招标人）</w:t>
      </w:r>
      <w:r>
        <w:rPr>
          <w:sz w:val="24"/>
          <w:u w:val="single"/>
        </w:rPr>
        <w:t xml:space="preserve">     </w:t>
      </w:r>
    </w:p>
    <w:p w14:paraId="72483496">
      <w:pPr>
        <w:pStyle w:val="21"/>
        <w:tabs>
          <w:tab w:val="left" w:pos="6270"/>
        </w:tabs>
        <w:spacing w:line="360" w:lineRule="auto"/>
        <w:ind w:right="103"/>
      </w:pPr>
      <w:r>
        <w:t xml:space="preserve">                          </w:t>
      </w:r>
    </w:p>
    <w:p w14:paraId="200E7F5C">
      <w:pPr>
        <w:pStyle w:val="21"/>
        <w:tabs>
          <w:tab w:val="left" w:pos="6270"/>
        </w:tabs>
        <w:spacing w:line="360" w:lineRule="auto"/>
        <w:ind w:right="103" w:firstLine="4320" w:firstLineChars="1800"/>
      </w:pPr>
      <w:r>
        <w:rPr>
          <w:rFonts w:cs="Tahoma"/>
          <w:kern w:val="0"/>
        </w:rPr>
        <w:t>异议人（盖单位</w:t>
      </w:r>
      <w:r>
        <w:rPr>
          <w:rFonts w:hint="eastAsia" w:cs="Tahoma"/>
          <w:kern w:val="0"/>
        </w:rPr>
        <w:t>章</w:t>
      </w:r>
      <w:r>
        <w:rPr>
          <w:rFonts w:cs="Tahoma"/>
          <w:kern w:val="0"/>
        </w:rPr>
        <w:t>）</w:t>
      </w:r>
      <w:r>
        <w:rPr>
          <w:rFonts w:hint="eastAsia"/>
        </w:rPr>
        <w:t>：</w:t>
      </w:r>
      <w:r>
        <w:rPr>
          <w:u w:val="single"/>
        </w:rPr>
        <w:t xml:space="preserve">            </w:t>
      </w:r>
      <w:r>
        <w:rPr>
          <w:rFonts w:hint="eastAsia"/>
          <w:u w:val="single"/>
          <w:lang w:val="en-US" w:eastAsia="zh-CN"/>
        </w:rPr>
        <w:t xml:space="preserve">  </w:t>
      </w:r>
      <w:r>
        <w:rPr>
          <w:rFonts w:hint="eastAsia"/>
          <w:u w:val="single"/>
        </w:rPr>
        <w:t xml:space="preserve">    </w:t>
      </w:r>
    </w:p>
    <w:p w14:paraId="290B7E36">
      <w:pPr>
        <w:pStyle w:val="276"/>
        <w:spacing w:line="360" w:lineRule="auto"/>
        <w:jc w:val="right"/>
        <w:rPr>
          <w:rFonts w:ascii="宋体" w:hAnsi="宋体" w:cs="宋体"/>
          <w:color w:val="auto"/>
          <w:sz w:val="24"/>
          <w:highlight w:val="none"/>
        </w:rPr>
      </w:pPr>
      <w:r>
        <w:rPr>
          <w:rFonts w:hint="eastAsia" w:ascii="宋体" w:hAnsi="宋体" w:cs="Tahoma"/>
          <w:kern w:val="0"/>
          <w:sz w:val="24"/>
          <w:lang w:val="en-US" w:eastAsia="zh-CN"/>
        </w:rPr>
        <w:t xml:space="preserve">      </w:t>
      </w:r>
      <w:r>
        <w:rPr>
          <w:rFonts w:ascii="宋体" w:hAnsi="宋体" w:cs="Tahoma"/>
          <w:kern w:val="0"/>
          <w:sz w:val="24"/>
        </w:rPr>
        <w:t>法定代表人或授权代表</w:t>
      </w:r>
      <w:r>
        <w:rPr>
          <w:rFonts w:hint="eastAsia" w:hAnsi="宋体"/>
          <w:sz w:val="24"/>
        </w:rPr>
        <w:t>（</w:t>
      </w:r>
      <w:r>
        <w:rPr>
          <w:rFonts w:hint="eastAsia"/>
          <w:sz w:val="24"/>
        </w:rPr>
        <w:t>签字</w:t>
      </w:r>
      <w:r>
        <w:rPr>
          <w:rFonts w:hint="eastAsia" w:hAnsi="宋体"/>
          <w:sz w:val="24"/>
        </w:rPr>
        <w:t>）</w:t>
      </w:r>
      <w:r>
        <w:rPr>
          <w:rFonts w:ascii="宋体" w:hAnsi="宋体" w:cs="Tahoma"/>
          <w:kern w:val="0"/>
          <w:sz w:val="24"/>
        </w:rPr>
        <w:t>：</w:t>
      </w:r>
      <w:r>
        <w:rPr>
          <w:rFonts w:ascii="宋体" w:hAnsi="宋体" w:cs="Tahoma"/>
          <w:kern w:val="0"/>
          <w:sz w:val="24"/>
          <w:u w:val="single"/>
        </w:rPr>
        <w:t> 　</w:t>
      </w:r>
      <w:r>
        <w:rPr>
          <w:rFonts w:hint="eastAsia" w:ascii="宋体" w:hAnsi="宋体" w:cs="Tahoma"/>
          <w:kern w:val="0"/>
          <w:sz w:val="24"/>
          <w:u w:val="single"/>
          <w:lang w:val="en-US" w:eastAsia="zh-CN"/>
        </w:rPr>
        <w:t xml:space="preserve"> </w:t>
      </w:r>
      <w:r>
        <w:rPr>
          <w:rFonts w:ascii="宋体" w:hAnsi="宋体" w:cs="Tahoma"/>
          <w:kern w:val="0"/>
          <w:sz w:val="24"/>
          <w:u w:val="single"/>
        </w:rPr>
        <w:t>　　</w:t>
      </w:r>
      <w:r>
        <w:rPr>
          <w:rFonts w:hint="eastAsia" w:ascii="宋体" w:hAnsi="宋体" w:cs="Tahoma"/>
          <w:kern w:val="0"/>
          <w:sz w:val="24"/>
          <w:u w:val="single"/>
          <w:lang w:val="en-US" w:eastAsia="zh-CN"/>
        </w:rPr>
        <w:t xml:space="preserve"> </w:t>
      </w:r>
      <w:r>
        <w:rPr>
          <w:rFonts w:ascii="宋体" w:hAnsi="宋体" w:cs="Tahoma"/>
          <w:kern w:val="0"/>
          <w:sz w:val="24"/>
          <w:u w:val="single"/>
        </w:rPr>
        <w:t>　   </w:t>
      </w:r>
    </w:p>
    <w:p w14:paraId="3CEA8B9D">
      <w:pPr>
        <w:pStyle w:val="276"/>
        <w:wordWrap w:val="0"/>
        <w:spacing w:line="360" w:lineRule="auto"/>
        <w:ind w:right="48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w:t>
      </w:r>
      <w:r>
        <w:rPr>
          <w:rFonts w:hint="eastAsia" w:ascii="宋体" w:hAnsi="宋体" w:cs="宋体"/>
          <w:color w:val="auto"/>
          <w:sz w:val="24"/>
          <w:highlight w:val="none"/>
        </w:rPr>
        <w:t>日</w:t>
      </w:r>
    </w:p>
    <w:p w14:paraId="236B93A8">
      <w:pPr>
        <w:rPr>
          <w:rFonts w:hint="eastAsia" w:ascii="Arial" w:hAnsi="Arial" w:eastAsia="黑体"/>
          <w:bCs/>
          <w:color w:val="auto"/>
          <w:kern w:val="0"/>
          <w:sz w:val="24"/>
          <w:highlight w:val="none"/>
        </w:rPr>
      </w:pPr>
      <w:bookmarkStart w:id="420" w:name="_Toc523921652"/>
      <w:r>
        <w:rPr>
          <w:rFonts w:hint="eastAsia" w:ascii="Arial" w:hAnsi="Arial" w:eastAsia="黑体"/>
          <w:bCs/>
          <w:color w:val="auto"/>
          <w:kern w:val="0"/>
          <w:sz w:val="24"/>
          <w:highlight w:val="none"/>
        </w:rPr>
        <w:br w:type="page"/>
      </w:r>
    </w:p>
    <w:p w14:paraId="4A14CE25">
      <w:pPr>
        <w:outlineLvl w:val="1"/>
        <w:rPr>
          <w:rStyle w:val="146"/>
          <w:b w:val="0"/>
          <w:bCs/>
          <w:kern w:val="2"/>
        </w:rPr>
      </w:pPr>
      <w:r>
        <w:rPr>
          <w:rStyle w:val="146"/>
          <w:rFonts w:hint="default"/>
          <w:b w:val="0"/>
          <w:bCs/>
          <w:kern w:val="2"/>
        </w:rPr>
        <w:t>附件八</w:t>
      </w:r>
      <w:r>
        <w:rPr>
          <w:rStyle w:val="146"/>
          <w:b w:val="0"/>
          <w:bCs/>
          <w:kern w:val="2"/>
        </w:rPr>
        <w:t xml:space="preserve">  </w:t>
      </w:r>
      <w:r>
        <w:rPr>
          <w:rStyle w:val="146"/>
          <w:rFonts w:hint="default"/>
          <w:b w:val="0"/>
          <w:bCs/>
          <w:kern w:val="2"/>
        </w:rPr>
        <w:t>投诉书</w:t>
      </w:r>
      <w:bookmarkEnd w:id="420"/>
    </w:p>
    <w:p w14:paraId="34581DE5">
      <w:pPr>
        <w:pStyle w:val="276"/>
        <w:spacing w:line="360" w:lineRule="auto"/>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投</w:t>
      </w:r>
      <w:r>
        <w:rPr>
          <w:rFonts w:ascii="黑体" w:hAnsi="黑体" w:eastAsia="黑体" w:cs="宋体"/>
          <w:color w:val="auto"/>
          <w:sz w:val="28"/>
          <w:szCs w:val="28"/>
          <w:highlight w:val="none"/>
        </w:rPr>
        <w:t xml:space="preserve"> </w:t>
      </w:r>
      <w:r>
        <w:rPr>
          <w:rFonts w:hint="eastAsia" w:ascii="黑体" w:hAnsi="黑体" w:eastAsia="黑体" w:cs="宋体"/>
          <w:color w:val="auto"/>
          <w:sz w:val="28"/>
          <w:szCs w:val="28"/>
          <w:highlight w:val="none"/>
        </w:rPr>
        <w:t>诉</w:t>
      </w:r>
      <w:r>
        <w:rPr>
          <w:rFonts w:ascii="黑体" w:hAnsi="黑体" w:eastAsia="黑体" w:cs="宋体"/>
          <w:color w:val="auto"/>
          <w:sz w:val="28"/>
          <w:szCs w:val="28"/>
          <w:highlight w:val="none"/>
        </w:rPr>
        <w:t xml:space="preserve"> </w:t>
      </w:r>
      <w:r>
        <w:rPr>
          <w:rFonts w:hint="eastAsia" w:ascii="黑体" w:hAnsi="黑体" w:eastAsia="黑体" w:cs="宋体"/>
          <w:color w:val="auto"/>
          <w:sz w:val="28"/>
          <w:szCs w:val="28"/>
          <w:highlight w:val="none"/>
        </w:rPr>
        <w:t>书</w:t>
      </w:r>
    </w:p>
    <w:p w14:paraId="3C4E6373">
      <w:pPr>
        <w:spacing w:line="360" w:lineRule="auto"/>
        <w:ind w:firstLine="480" w:firstLineChars="200"/>
        <w:jc w:val="left"/>
        <w:rPr>
          <w:rFonts w:hint="eastAsia" w:ascii="宋体" w:hAnsi="宋体" w:cs="宋体"/>
          <w:color w:val="auto"/>
          <w:sz w:val="24"/>
          <w:highlight w:val="none"/>
        </w:rPr>
      </w:pPr>
    </w:p>
    <w:p w14:paraId="2B7BBB69">
      <w:pPr>
        <w:spacing w:line="360" w:lineRule="auto"/>
        <w:ind w:firstLine="480" w:firstLineChars="200"/>
        <w:jc w:val="left"/>
        <w:rPr>
          <w:rFonts w:hint="eastAsia" w:ascii="宋体" w:hAnsi="宋体" w:cs="宋体"/>
          <w:sz w:val="24"/>
        </w:rPr>
      </w:pPr>
      <w:r>
        <w:rPr>
          <w:rFonts w:hint="eastAsia" w:ascii="宋体" w:hAnsi="宋体" w:cs="宋体"/>
          <w:sz w:val="24"/>
        </w:rPr>
        <w:t>就所投诉事项，投诉人已于</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u w:val="single"/>
          <w:lang w:val="en-US" w:eastAsia="zh-CN"/>
        </w:rPr>
        <w:t xml:space="preserve"> </w:t>
      </w:r>
      <w:r>
        <w:rPr>
          <w:rFonts w:hint="eastAsia" w:ascii="宋体" w:hAnsi="宋体" w:cs="宋体"/>
          <w:sz w:val="24"/>
        </w:rPr>
        <w:t>日向招标人提出异议，并于</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hint="eastAsia" w:ascii="宋体" w:hAnsi="宋体" w:cs="宋体"/>
          <w:sz w:val="24"/>
        </w:rPr>
        <w:t>年</w:t>
      </w:r>
    </w:p>
    <w:p w14:paraId="4F0D2BE0">
      <w:pPr>
        <w:spacing w:line="360" w:lineRule="auto"/>
        <w:ind w:firstLine="0" w:firstLineChars="0"/>
        <w:jc w:val="left"/>
        <w:rPr>
          <w:rFonts w:ascii="宋体" w:hAnsi="宋体" w:cs="宋体"/>
          <w:sz w:val="24"/>
        </w:rPr>
      </w:pP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w:t>
      </w:r>
      <w:r>
        <w:rPr>
          <w:rFonts w:hint="eastAsia" w:ascii="宋体" w:hAnsi="宋体" w:cs="宋体"/>
          <w:sz w:val="24"/>
        </w:rPr>
        <w:t>月</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rPr>
        <w:t>日收到招标人书面答复（后附异议及答复材料）。</w:t>
      </w:r>
    </w:p>
    <w:p w14:paraId="129406BC">
      <w:pPr>
        <w:pStyle w:val="276"/>
        <w:spacing w:line="360" w:lineRule="auto"/>
        <w:ind w:firstLine="480" w:firstLineChars="200"/>
        <w:jc w:val="left"/>
        <w:rPr>
          <w:rFonts w:hint="eastAsia" w:ascii="宋体" w:hAnsi="宋体" w:cs="宋体"/>
          <w:sz w:val="24"/>
        </w:rPr>
      </w:pPr>
    </w:p>
    <w:p w14:paraId="0CB311F9">
      <w:pPr>
        <w:pStyle w:val="276"/>
        <w:spacing w:line="360" w:lineRule="auto"/>
        <w:ind w:firstLine="480" w:firstLineChars="200"/>
        <w:jc w:val="left"/>
        <w:rPr>
          <w:rFonts w:ascii="宋体" w:hAnsi="宋体" w:cs="宋体"/>
          <w:sz w:val="24"/>
        </w:rPr>
      </w:pPr>
      <w:r>
        <w:rPr>
          <w:rFonts w:hint="eastAsia" w:ascii="宋体" w:hAnsi="宋体" w:cs="宋体"/>
          <w:sz w:val="24"/>
        </w:rPr>
        <w:t>投 诉 人：</w:t>
      </w:r>
      <w:r>
        <w:rPr>
          <w:rFonts w:hint="eastAsia" w:ascii="宋体" w:hAnsi="宋体" w:cs="宋体"/>
          <w:sz w:val="24"/>
          <w:u w:val="single"/>
        </w:rPr>
        <w:t> </w:t>
      </w:r>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 </w:t>
      </w:r>
    </w:p>
    <w:p w14:paraId="351F0ECE">
      <w:pPr>
        <w:pStyle w:val="276"/>
        <w:spacing w:line="360" w:lineRule="auto"/>
        <w:ind w:firstLine="480" w:firstLineChars="200"/>
        <w:jc w:val="left"/>
        <w:rPr>
          <w:rFonts w:ascii="宋体" w:hAnsi="宋体" w:cs="宋体"/>
          <w:sz w:val="24"/>
        </w:rPr>
      </w:pPr>
      <w:r>
        <w:rPr>
          <w:rFonts w:hint="eastAsia" w:ascii="宋体" w:hAnsi="宋体" w:cs="宋体"/>
          <w:sz w:val="24"/>
        </w:rPr>
        <w:t>住 所 地：</w:t>
      </w:r>
      <w:r>
        <w:rPr>
          <w:rFonts w:hint="eastAsia" w:ascii="宋体" w:hAnsi="宋体" w:cs="宋体"/>
          <w:sz w:val="24"/>
          <w:u w:val="single"/>
        </w:rPr>
        <w:t>  </w:t>
      </w:r>
      <w:r>
        <w:rPr>
          <w:rFonts w:ascii="宋体" w:hAnsi="宋体" w:cs="宋体"/>
          <w:sz w:val="24"/>
          <w:u w:val="single"/>
        </w:rPr>
        <w:t xml:space="preserve">                                    </w:t>
      </w:r>
    </w:p>
    <w:p w14:paraId="085FD017">
      <w:pPr>
        <w:pStyle w:val="276"/>
        <w:spacing w:line="360" w:lineRule="auto"/>
        <w:ind w:firstLine="480" w:firstLineChars="200"/>
        <w:jc w:val="left"/>
        <w:rPr>
          <w:rFonts w:ascii="宋体" w:hAnsi="宋体" w:cs="宋体"/>
          <w:sz w:val="24"/>
        </w:rPr>
      </w:pPr>
      <w:r>
        <w:rPr>
          <w:rFonts w:hint="eastAsia" w:ascii="宋体" w:hAnsi="宋体" w:cs="宋体"/>
          <w:sz w:val="24"/>
        </w:rPr>
        <w:t>邮</w:t>
      </w:r>
      <w:r>
        <w:rPr>
          <w:rFonts w:ascii="宋体" w:hAnsi="宋体" w:cs="宋体"/>
          <w:sz w:val="24"/>
        </w:rPr>
        <w:t xml:space="preserve"> </w:t>
      </w:r>
      <w:r>
        <w:rPr>
          <w:rFonts w:hint="eastAsia" w:ascii="宋体" w:hAnsi="宋体" w:cs="宋体"/>
          <w:sz w:val="24"/>
        </w:rPr>
        <w:t>  编：</w:t>
      </w:r>
      <w:r>
        <w:rPr>
          <w:rFonts w:ascii="宋体" w:hAnsi="宋体" w:cs="宋体"/>
          <w:sz w:val="24"/>
          <w:u w:val="single"/>
        </w:rPr>
        <w:t xml:space="preserve">                                  </w:t>
      </w:r>
      <w:r>
        <w:rPr>
          <w:rFonts w:ascii="宋体" w:hAnsi="宋体" w:cs="宋体"/>
          <w:sz w:val="24"/>
        </w:rPr>
        <w:t xml:space="preserve"> </w:t>
      </w:r>
    </w:p>
    <w:p w14:paraId="6FF754D8">
      <w:pPr>
        <w:spacing w:line="360" w:lineRule="auto"/>
        <w:ind w:firstLine="480" w:firstLineChars="200"/>
        <w:jc w:val="left"/>
        <w:rPr>
          <w:rFonts w:ascii="宋体" w:hAnsi="宋体" w:cs="宋体"/>
          <w:sz w:val="24"/>
        </w:rPr>
      </w:pPr>
      <w:r>
        <w:rPr>
          <w:rFonts w:hint="eastAsia" w:ascii="宋体" w:hAnsi="宋体" w:cs="宋体"/>
          <w:sz w:val="24"/>
        </w:rPr>
        <w:t>法定代表人：</w:t>
      </w:r>
      <w:r>
        <w:rPr>
          <w:rFonts w:ascii="宋体" w:hAnsi="宋体" w:cs="宋体"/>
          <w:sz w:val="24"/>
          <w:u w:val="single"/>
        </w:rPr>
        <w:t xml:space="preserve">                                    </w:t>
      </w:r>
    </w:p>
    <w:p w14:paraId="16F5B064">
      <w:pPr>
        <w:pStyle w:val="276"/>
        <w:spacing w:line="360" w:lineRule="auto"/>
        <w:ind w:firstLine="480" w:firstLineChars="200"/>
        <w:jc w:val="left"/>
        <w:rPr>
          <w:rFonts w:ascii="宋体" w:hAnsi="宋体" w:cs="宋体"/>
          <w:sz w:val="24"/>
        </w:rPr>
      </w:pPr>
      <w:r>
        <w:rPr>
          <w:rFonts w:hint="eastAsia" w:ascii="宋体" w:hAnsi="宋体" w:cs="宋体"/>
          <w:sz w:val="24"/>
        </w:rPr>
        <w:t>联系电话：</w:t>
      </w:r>
      <w:r>
        <w:rPr>
          <w:rFonts w:ascii="宋体" w:hAnsi="宋体" w:cs="宋体"/>
          <w:sz w:val="24"/>
          <w:u w:val="single"/>
        </w:rPr>
        <w:t xml:space="preserve">                                    </w:t>
      </w:r>
    </w:p>
    <w:p w14:paraId="1561B089">
      <w:pPr>
        <w:pStyle w:val="276"/>
        <w:spacing w:line="360" w:lineRule="auto"/>
        <w:ind w:firstLine="480" w:firstLineChars="200"/>
        <w:jc w:val="left"/>
        <w:rPr>
          <w:rFonts w:ascii="宋体" w:hAnsi="宋体" w:cs="宋体"/>
          <w:sz w:val="24"/>
        </w:rPr>
      </w:pPr>
      <w:r>
        <w:rPr>
          <w:rFonts w:hint="eastAsia" w:ascii="宋体" w:hAnsi="宋体" w:cs="宋体"/>
          <w:sz w:val="24"/>
        </w:rPr>
        <w:t>投诉人授权代表：</w:t>
      </w:r>
      <w:r>
        <w:rPr>
          <w:rFonts w:ascii="宋体" w:hAnsi="宋体" w:cs="宋体"/>
          <w:sz w:val="24"/>
          <w:u w:val="single"/>
        </w:rPr>
        <w:t xml:space="preserve">                              </w:t>
      </w:r>
    </w:p>
    <w:p w14:paraId="5A553A06">
      <w:pPr>
        <w:pStyle w:val="276"/>
        <w:spacing w:line="360" w:lineRule="auto"/>
        <w:ind w:firstLine="480" w:firstLineChars="200"/>
        <w:jc w:val="left"/>
        <w:rPr>
          <w:rFonts w:ascii="宋体" w:hAnsi="宋体" w:cs="宋体"/>
          <w:sz w:val="24"/>
        </w:rPr>
      </w:pPr>
      <w:r>
        <w:rPr>
          <w:rFonts w:hint="eastAsia" w:ascii="宋体" w:hAnsi="宋体" w:cs="宋体"/>
          <w:sz w:val="24"/>
        </w:rPr>
        <w:t>性    别：</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 </w:t>
      </w:r>
    </w:p>
    <w:p w14:paraId="3850F1F1">
      <w:pPr>
        <w:pStyle w:val="276"/>
        <w:spacing w:line="360" w:lineRule="auto"/>
        <w:ind w:firstLine="480" w:firstLineChars="200"/>
        <w:jc w:val="left"/>
        <w:rPr>
          <w:rFonts w:ascii="宋体" w:hAnsi="宋体" w:cs="宋体"/>
          <w:sz w:val="24"/>
          <w:u w:val="single"/>
        </w:rPr>
      </w:pPr>
      <w:r>
        <w:rPr>
          <w:rFonts w:hint="eastAsia" w:ascii="宋体" w:hAnsi="宋体" w:cs="宋体"/>
          <w:sz w:val="24"/>
        </w:rPr>
        <w:t>年    龄：</w:t>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p>
    <w:p w14:paraId="30AFFE2C">
      <w:pPr>
        <w:pStyle w:val="276"/>
        <w:spacing w:line="360" w:lineRule="auto"/>
        <w:ind w:firstLine="480" w:firstLineChars="200"/>
        <w:jc w:val="left"/>
        <w:rPr>
          <w:rFonts w:ascii="宋体" w:hAnsi="宋体" w:cs="宋体"/>
          <w:sz w:val="24"/>
        </w:rPr>
      </w:pPr>
      <w:r>
        <w:rPr>
          <w:rFonts w:hint="eastAsia" w:ascii="宋体" w:hAnsi="宋体" w:cs="宋体"/>
          <w:sz w:val="24"/>
        </w:rPr>
        <w:t>住    址：</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rPr>
        <w:t> </w:t>
      </w:r>
    </w:p>
    <w:p w14:paraId="7024721A">
      <w:pPr>
        <w:pStyle w:val="276"/>
        <w:spacing w:line="360" w:lineRule="auto"/>
        <w:ind w:firstLine="480" w:firstLineChars="200"/>
        <w:jc w:val="left"/>
        <w:rPr>
          <w:rFonts w:ascii="宋体" w:hAnsi="宋体" w:cs="宋体"/>
          <w:sz w:val="24"/>
        </w:rPr>
      </w:pPr>
      <w:r>
        <w:rPr>
          <w:rFonts w:hint="eastAsia" w:ascii="宋体" w:hAnsi="宋体" w:cs="宋体"/>
          <w:sz w:val="24"/>
        </w:rPr>
        <w:t>联系电话：</w:t>
      </w:r>
      <w:r>
        <w:rPr>
          <w:rFonts w:ascii="宋体" w:hAnsi="宋体" w:cs="宋体"/>
          <w:sz w:val="24"/>
          <w:u w:val="single"/>
        </w:rPr>
        <w:t xml:space="preserve">                                             </w:t>
      </w:r>
    </w:p>
    <w:p w14:paraId="6D5905CF">
      <w:pPr>
        <w:pStyle w:val="276"/>
        <w:spacing w:line="360" w:lineRule="auto"/>
        <w:ind w:firstLine="480" w:firstLineChars="200"/>
        <w:jc w:val="left"/>
        <w:rPr>
          <w:rFonts w:ascii="宋体" w:hAnsi="宋体" w:cs="宋体"/>
          <w:sz w:val="24"/>
        </w:rPr>
      </w:pPr>
      <w:r>
        <w:rPr>
          <w:rFonts w:hint="eastAsia" w:ascii="宋体" w:hAnsi="宋体" w:cs="宋体"/>
          <w:sz w:val="24"/>
        </w:rPr>
        <w:t>被投诉人：</w:t>
      </w:r>
      <w:r>
        <w:rPr>
          <w:rFonts w:ascii="宋体" w:hAnsi="宋体" w:cs="宋体"/>
          <w:sz w:val="24"/>
          <w:u w:val="single"/>
        </w:rPr>
        <w:t xml:space="preserve">                                         </w:t>
      </w:r>
      <w:r>
        <w:rPr>
          <w:rFonts w:ascii="宋体" w:hAnsi="宋体" w:cs="宋体"/>
          <w:sz w:val="24"/>
        </w:rPr>
        <w:t xml:space="preserve"> </w:t>
      </w:r>
    </w:p>
    <w:p w14:paraId="15923153">
      <w:pPr>
        <w:pStyle w:val="276"/>
        <w:spacing w:line="360" w:lineRule="auto"/>
        <w:ind w:firstLine="480" w:firstLineChars="200"/>
        <w:jc w:val="left"/>
        <w:rPr>
          <w:rFonts w:ascii="宋体" w:hAnsi="宋体" w:cs="宋体"/>
          <w:sz w:val="24"/>
        </w:rPr>
      </w:pPr>
      <w:r>
        <w:rPr>
          <w:rFonts w:hint="eastAsia" w:ascii="宋体" w:hAnsi="宋体" w:cs="宋体"/>
          <w:sz w:val="24"/>
        </w:rPr>
        <w:t>住 所 地：</w:t>
      </w:r>
      <w:r>
        <w:rPr>
          <w:rFonts w:hint="eastAsia" w:ascii="宋体" w:hAnsi="宋体" w:cs="宋体"/>
          <w:sz w:val="24"/>
          <w:u w:val="single"/>
        </w:rPr>
        <w:t>   </w:t>
      </w:r>
      <w:r>
        <w:rPr>
          <w:rFonts w:ascii="宋体" w:hAnsi="宋体" w:cs="宋体"/>
          <w:sz w:val="24"/>
          <w:u w:val="single"/>
        </w:rPr>
        <w:t xml:space="preserve">                                       </w:t>
      </w:r>
    </w:p>
    <w:p w14:paraId="7F11B4F8">
      <w:pPr>
        <w:pStyle w:val="276"/>
        <w:spacing w:line="360" w:lineRule="auto"/>
        <w:ind w:firstLine="480" w:firstLineChars="200"/>
        <w:jc w:val="left"/>
        <w:rPr>
          <w:rFonts w:ascii="宋体" w:hAnsi="宋体" w:cs="宋体"/>
          <w:sz w:val="24"/>
        </w:rPr>
      </w:pPr>
      <w:r>
        <w:rPr>
          <w:rFonts w:hint="eastAsia" w:ascii="宋体" w:hAnsi="宋体" w:cs="宋体"/>
          <w:sz w:val="24"/>
        </w:rPr>
        <w:t>邮    编：</w:t>
      </w:r>
      <w:r>
        <w:rPr>
          <w:rFonts w:ascii="宋体" w:hAnsi="宋体" w:cs="宋体"/>
          <w:sz w:val="24"/>
          <w:u w:val="single"/>
        </w:rPr>
        <w:t xml:space="preserve">                                           </w:t>
      </w:r>
      <w:r>
        <w:rPr>
          <w:rFonts w:hint="eastAsia" w:ascii="宋体" w:hAnsi="宋体" w:cs="宋体"/>
          <w:sz w:val="24"/>
        </w:rPr>
        <w:t> </w:t>
      </w:r>
    </w:p>
    <w:p w14:paraId="13565E3A">
      <w:pPr>
        <w:pStyle w:val="276"/>
        <w:spacing w:line="360" w:lineRule="auto"/>
        <w:ind w:firstLine="480" w:firstLineChars="200"/>
        <w:jc w:val="left"/>
        <w:rPr>
          <w:rFonts w:ascii="宋体" w:hAnsi="宋体" w:cs="宋体"/>
          <w:sz w:val="24"/>
        </w:rPr>
      </w:pPr>
      <w:r>
        <w:rPr>
          <w:rFonts w:hint="eastAsia" w:ascii="宋体" w:hAnsi="宋体" w:cs="宋体"/>
          <w:sz w:val="24"/>
        </w:rPr>
        <w:t>法定代表人：</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p>
    <w:p w14:paraId="01D88BED">
      <w:pPr>
        <w:pStyle w:val="276"/>
        <w:spacing w:line="360" w:lineRule="auto"/>
        <w:ind w:firstLine="480" w:firstLineChars="200"/>
        <w:jc w:val="left"/>
        <w:rPr>
          <w:rFonts w:ascii="宋体" w:hAnsi="宋体" w:cs="宋体"/>
          <w:sz w:val="24"/>
        </w:rPr>
      </w:pPr>
      <w:r>
        <w:rPr>
          <w:rFonts w:hint="eastAsia" w:ascii="宋体" w:hAnsi="宋体" w:cs="宋体"/>
          <w:sz w:val="24"/>
        </w:rPr>
        <w:t>联系电话：</w:t>
      </w:r>
      <w:r>
        <w:rPr>
          <w:rFonts w:ascii="宋体" w:hAnsi="宋体" w:cs="宋体"/>
          <w:sz w:val="24"/>
          <w:u w:val="single"/>
        </w:rPr>
        <w:t xml:space="preserve">                                      </w:t>
      </w:r>
    </w:p>
    <w:p w14:paraId="7DD91749">
      <w:pPr>
        <w:pStyle w:val="276"/>
        <w:spacing w:line="360" w:lineRule="auto"/>
        <w:ind w:firstLine="480" w:firstLineChars="200"/>
        <w:jc w:val="left"/>
        <w:rPr>
          <w:rFonts w:ascii="宋体" w:hAnsi="宋体" w:cs="宋体"/>
          <w:sz w:val="24"/>
        </w:rPr>
      </w:pPr>
      <w:r>
        <w:rPr>
          <w:rFonts w:hint="eastAsia" w:ascii="宋体" w:hAnsi="宋体" w:cs="宋体"/>
          <w:sz w:val="24"/>
        </w:rPr>
        <w:t>投诉事项的基本事实：</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hint="eastAsia" w:ascii="宋体" w:hAnsi="宋体" w:cs="宋体"/>
          <w:sz w:val="24"/>
        </w:rPr>
        <w:t>。</w:t>
      </w:r>
    </w:p>
    <w:p w14:paraId="7E2F10D1">
      <w:pPr>
        <w:pStyle w:val="276"/>
        <w:spacing w:line="360" w:lineRule="auto"/>
        <w:ind w:firstLine="480" w:firstLineChars="200"/>
        <w:jc w:val="left"/>
        <w:rPr>
          <w:rFonts w:ascii="宋体" w:hAnsi="宋体" w:cs="宋体"/>
          <w:sz w:val="24"/>
          <w:u w:val="single"/>
        </w:rPr>
      </w:pPr>
      <w:r>
        <w:rPr>
          <w:rFonts w:hint="eastAsia" w:ascii="宋体" w:hAnsi="宋体" w:cs="宋体"/>
          <w:sz w:val="24"/>
        </w:rPr>
        <w:t>相关请求及主张：</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hint="eastAsia" w:ascii="宋体" w:hAnsi="宋体" w:cs="宋体"/>
          <w:sz w:val="24"/>
        </w:rPr>
        <w:t>。</w:t>
      </w:r>
    </w:p>
    <w:p w14:paraId="66602272">
      <w:pPr>
        <w:pStyle w:val="276"/>
        <w:spacing w:line="360" w:lineRule="auto"/>
        <w:ind w:firstLine="480" w:firstLineChars="200"/>
        <w:jc w:val="left"/>
        <w:rPr>
          <w:rFonts w:ascii="宋体" w:hAnsi="宋体" w:cs="宋体"/>
          <w:sz w:val="24"/>
        </w:rPr>
      </w:pPr>
      <w:r>
        <w:rPr>
          <w:rFonts w:hint="eastAsia" w:ascii="宋体" w:hAnsi="宋体" w:cs="宋体"/>
          <w:sz w:val="24"/>
        </w:rPr>
        <w:t>有效线索和相关证明材料：</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hint="eastAsia" w:ascii="宋体" w:hAnsi="宋体" w:cs="宋体"/>
          <w:sz w:val="24"/>
        </w:rPr>
        <w:t>。</w:t>
      </w:r>
    </w:p>
    <w:p w14:paraId="4BA2A858">
      <w:pPr>
        <w:pStyle w:val="276"/>
        <w:spacing w:line="360" w:lineRule="auto"/>
        <w:ind w:firstLine="480" w:firstLineChars="200"/>
        <w:jc w:val="left"/>
        <w:rPr>
          <w:rFonts w:ascii="宋体" w:hAnsi="宋体" w:cs="宋体"/>
          <w:sz w:val="24"/>
        </w:rPr>
      </w:pPr>
      <w:r>
        <w:rPr>
          <w:rFonts w:hint="eastAsia" w:ascii="宋体" w:hAnsi="宋体" w:cs="宋体"/>
          <w:sz w:val="24"/>
        </w:rPr>
        <w:t>投诉人与投诉项目有利害关系的证明材料：</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rPr>
        <w:t>。</w:t>
      </w:r>
    </w:p>
    <w:p w14:paraId="78D88E75">
      <w:pPr>
        <w:pStyle w:val="276"/>
        <w:spacing w:line="360" w:lineRule="auto"/>
        <w:ind w:firstLine="480" w:firstLineChars="200"/>
        <w:jc w:val="left"/>
        <w:rPr>
          <w:rFonts w:ascii="宋体" w:hAnsi="宋体" w:cs="宋体"/>
          <w:sz w:val="24"/>
        </w:rPr>
      </w:pPr>
      <w:r>
        <w:rPr>
          <w:rFonts w:hint="eastAsia" w:ascii="宋体" w:hAnsi="宋体" w:cs="宋体"/>
          <w:sz w:val="24"/>
        </w:rPr>
        <w:t> 此致</w:t>
      </w:r>
    </w:p>
    <w:p w14:paraId="62AA5073">
      <w:pPr>
        <w:pStyle w:val="276"/>
        <w:spacing w:line="360" w:lineRule="auto"/>
        <w:ind w:firstLine="480" w:firstLineChars="200"/>
        <w:jc w:val="left"/>
        <w:rPr>
          <w:rFonts w:ascii="宋体" w:hAnsi="宋体" w:cs="宋体"/>
          <w:sz w:val="24"/>
        </w:rPr>
      </w:pPr>
      <w:r>
        <w:rPr>
          <w:rFonts w:hint="eastAsia" w:ascii="宋体" w:hAnsi="宋体" w:cs="宋体"/>
          <w:sz w:val="24"/>
        </w:rPr>
        <w:t> </w:t>
      </w:r>
      <w:r>
        <w:rPr>
          <w:rFonts w:hint="eastAsia" w:ascii="宋体" w:hAnsi="宋体" w:cs="宋体"/>
          <w:sz w:val="24"/>
          <w:u w:val="single"/>
        </w:rPr>
        <w:t>　（投诉受理机关）　</w:t>
      </w:r>
    </w:p>
    <w:p w14:paraId="044F110F">
      <w:pPr>
        <w:pStyle w:val="276"/>
        <w:spacing w:line="360" w:lineRule="auto"/>
        <w:ind w:firstLine="4080" w:firstLineChars="1700"/>
        <w:jc w:val="left"/>
        <w:rPr>
          <w:rFonts w:ascii="宋体" w:hAnsi="宋体" w:cs="宋体"/>
          <w:sz w:val="24"/>
          <w:u w:val="single"/>
        </w:rPr>
      </w:pPr>
      <w:r>
        <w:rPr>
          <w:rFonts w:hint="eastAsia" w:ascii="宋体" w:hAnsi="宋体" w:cs="宋体"/>
          <w:sz w:val="24"/>
        </w:rPr>
        <w:t>投诉人（盖单位章）：</w:t>
      </w:r>
      <w:r>
        <w:rPr>
          <w:rFonts w:ascii="宋体" w:hAnsi="宋体" w:cs="宋体"/>
          <w:sz w:val="24"/>
          <w:u w:val="single"/>
        </w:rPr>
        <w:t xml:space="preserve">      　　    </w:t>
      </w:r>
    </w:p>
    <w:p w14:paraId="3E5E2079">
      <w:pPr>
        <w:pStyle w:val="276"/>
        <w:spacing w:line="360" w:lineRule="auto"/>
        <w:ind w:firstLine="2880" w:firstLineChars="1200"/>
        <w:jc w:val="left"/>
        <w:rPr>
          <w:rFonts w:ascii="宋体" w:hAnsi="宋体" w:cs="宋体"/>
          <w:sz w:val="24"/>
          <w:u w:val="single"/>
        </w:rPr>
      </w:pPr>
      <w:r>
        <w:rPr>
          <w:rFonts w:hint="eastAsia" w:ascii="宋体" w:hAnsi="宋体" w:cs="宋体"/>
          <w:sz w:val="24"/>
        </w:rPr>
        <w:t>法定代表人或授权代表（签字）：</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r>
        <w:rPr>
          <w:rFonts w:ascii="宋体" w:hAnsi="宋体" w:cs="宋体"/>
          <w:sz w:val="24"/>
          <w:u w:val="single"/>
        </w:rPr>
        <w:t xml:space="preserve"> </w:t>
      </w:r>
      <w:r>
        <w:rPr>
          <w:rFonts w:hint="eastAsia" w:ascii="宋体" w:hAnsi="宋体" w:cs="宋体"/>
          <w:sz w:val="24"/>
          <w:u w:val="single"/>
        </w:rPr>
        <w:t> </w:t>
      </w:r>
    </w:p>
    <w:p w14:paraId="0C3BA429">
      <w:pPr>
        <w:pStyle w:val="276"/>
        <w:ind w:firstLine="6240" w:firstLineChars="2600"/>
        <w:rPr>
          <w:rFonts w:ascii="宋体" w:hAnsi="宋体" w:cs="宋体"/>
          <w:color w:val="auto"/>
          <w:highlight w:val="none"/>
        </w:rPr>
      </w:pPr>
      <w:r>
        <w:rPr>
          <w:rFonts w:hint="eastAsia" w:ascii="宋体" w:hAnsi="宋体" w:cs="宋体"/>
          <w:sz w:val="24"/>
          <w:u w:val="single"/>
        </w:rPr>
        <w:t>　　　</w:t>
      </w:r>
      <w:r>
        <w:rPr>
          <w:rFonts w:hint="eastAsia" w:ascii="宋体" w:hAnsi="宋体" w:cs="宋体"/>
          <w:sz w:val="24"/>
        </w:rPr>
        <w:t>年</w:t>
      </w:r>
      <w:r>
        <w:rPr>
          <w:rFonts w:hint="eastAsia" w:ascii="宋体" w:hAnsi="宋体" w:cs="宋体"/>
          <w:sz w:val="24"/>
          <w:u w:val="single"/>
        </w:rPr>
        <w:t>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w:t>
      </w:r>
      <w:r>
        <w:rPr>
          <w:rFonts w:hint="eastAsia" w:ascii="宋体" w:hAnsi="宋体" w:cs="宋体"/>
          <w:sz w:val="24"/>
          <w:u w:val="single"/>
          <w:lang w:val="en-US" w:eastAsia="zh-CN"/>
        </w:rPr>
        <w:t xml:space="preserve"> </w:t>
      </w:r>
      <w:r>
        <w:rPr>
          <w:rFonts w:hint="eastAsia" w:ascii="宋体" w:hAnsi="宋体" w:cs="宋体"/>
          <w:sz w:val="24"/>
        </w:rPr>
        <w:t>日</w:t>
      </w:r>
    </w:p>
    <w:p w14:paraId="449B64EE">
      <w:pPr>
        <w:widowControl/>
        <w:jc w:val="left"/>
        <w:rPr>
          <w:rFonts w:ascii="宋体" w:hAnsi="宋体" w:cs="宋体"/>
          <w:color w:val="auto"/>
          <w:highlight w:val="none"/>
        </w:rPr>
      </w:pPr>
    </w:p>
    <w:p w14:paraId="168AD464">
      <w:pPr>
        <w:pStyle w:val="276"/>
        <w:rPr>
          <w:rFonts w:ascii="宋体" w:hAnsi="宋体" w:cs="宋体"/>
          <w:color w:val="auto"/>
          <w:highlight w:val="none"/>
        </w:rPr>
      </w:pPr>
    </w:p>
    <w:p w14:paraId="5341B21C">
      <w:pPr>
        <w:pStyle w:val="276"/>
        <w:rPr>
          <w:rFonts w:ascii="宋体" w:hAnsi="宋体" w:cs="宋体"/>
          <w:color w:val="auto"/>
          <w:highlight w:val="none"/>
        </w:rPr>
      </w:pPr>
    </w:p>
    <w:p w14:paraId="0AF9E17F">
      <w:pPr>
        <w:pStyle w:val="276"/>
        <w:rPr>
          <w:rFonts w:ascii="宋体" w:hAnsi="宋体" w:cs="宋体"/>
          <w:color w:val="auto"/>
          <w:highlight w:val="none"/>
        </w:rPr>
      </w:pPr>
    </w:p>
    <w:p w14:paraId="72052EB3">
      <w:pPr>
        <w:spacing w:line="360" w:lineRule="auto"/>
        <w:rPr>
          <w:rFonts w:ascii="宋体" w:hAnsi="宋体" w:cs="宋体"/>
          <w:color w:val="auto"/>
          <w:highlight w:val="none"/>
        </w:rPr>
      </w:pPr>
    </w:p>
    <w:p w14:paraId="040C5894">
      <w:pPr>
        <w:pStyle w:val="276"/>
        <w:rPr>
          <w:rFonts w:ascii="宋体" w:hAnsi="宋体" w:cs="宋体"/>
          <w:color w:val="auto"/>
          <w:highlight w:val="none"/>
        </w:rPr>
      </w:pPr>
    </w:p>
    <w:p w14:paraId="085C8F11">
      <w:pPr>
        <w:pStyle w:val="276"/>
        <w:rPr>
          <w:rFonts w:ascii="宋体" w:hAnsi="宋体" w:cs="宋体"/>
          <w:color w:val="auto"/>
          <w:highlight w:val="none"/>
        </w:rPr>
      </w:pPr>
    </w:p>
    <w:p w14:paraId="7E293A18">
      <w:pPr>
        <w:pStyle w:val="276"/>
        <w:rPr>
          <w:rFonts w:ascii="宋体" w:hAnsi="宋体" w:cs="宋体"/>
          <w:color w:val="auto"/>
          <w:highlight w:val="none"/>
        </w:rPr>
      </w:pPr>
    </w:p>
    <w:p w14:paraId="6F4904A1">
      <w:pPr>
        <w:pStyle w:val="276"/>
        <w:rPr>
          <w:rFonts w:ascii="宋体" w:hAnsi="宋体" w:cs="宋体"/>
          <w:color w:val="auto"/>
          <w:highlight w:val="none"/>
        </w:rPr>
      </w:pPr>
    </w:p>
    <w:p w14:paraId="2BA7FDA7">
      <w:pPr>
        <w:pStyle w:val="276"/>
        <w:rPr>
          <w:rFonts w:ascii="宋体" w:hAnsi="宋体" w:cs="宋体"/>
          <w:color w:val="auto"/>
          <w:highlight w:val="none"/>
        </w:rPr>
      </w:pPr>
    </w:p>
    <w:p w14:paraId="0F83CC50">
      <w:pPr>
        <w:pStyle w:val="276"/>
        <w:rPr>
          <w:rFonts w:ascii="宋体" w:hAnsi="宋体" w:cs="宋体"/>
          <w:color w:val="auto"/>
          <w:highlight w:val="none"/>
        </w:rPr>
      </w:pPr>
    </w:p>
    <w:p w14:paraId="42586C47">
      <w:pPr>
        <w:pStyle w:val="276"/>
        <w:rPr>
          <w:rFonts w:ascii="宋体" w:hAnsi="宋体" w:cs="宋体"/>
          <w:color w:val="auto"/>
          <w:highlight w:val="none"/>
        </w:rPr>
      </w:pPr>
    </w:p>
    <w:p w14:paraId="277BC42C">
      <w:pPr>
        <w:pStyle w:val="276"/>
        <w:rPr>
          <w:rFonts w:ascii="宋体" w:hAnsi="宋体" w:cs="宋体"/>
          <w:color w:val="auto"/>
          <w:highlight w:val="none"/>
        </w:rPr>
      </w:pPr>
    </w:p>
    <w:p w14:paraId="67F7B267">
      <w:pPr>
        <w:pStyle w:val="276"/>
        <w:rPr>
          <w:rFonts w:ascii="宋体" w:hAnsi="宋体" w:cs="宋体"/>
          <w:color w:val="auto"/>
          <w:highlight w:val="none"/>
        </w:rPr>
      </w:pPr>
    </w:p>
    <w:p w14:paraId="0A4AF290">
      <w:pPr>
        <w:pStyle w:val="276"/>
        <w:rPr>
          <w:rFonts w:ascii="宋体" w:hAnsi="宋体" w:cs="宋体"/>
          <w:color w:val="auto"/>
          <w:highlight w:val="none"/>
        </w:rPr>
      </w:pPr>
    </w:p>
    <w:p w14:paraId="31018C45">
      <w:pPr>
        <w:pStyle w:val="276"/>
        <w:rPr>
          <w:rFonts w:ascii="宋体" w:hAnsi="宋体" w:cs="宋体"/>
          <w:color w:val="auto"/>
          <w:highlight w:val="none"/>
        </w:rPr>
      </w:pPr>
    </w:p>
    <w:p w14:paraId="21ECADD9">
      <w:pPr>
        <w:pStyle w:val="276"/>
        <w:rPr>
          <w:rFonts w:ascii="宋体" w:hAnsi="宋体" w:cs="宋体"/>
          <w:color w:val="auto"/>
          <w:highlight w:val="none"/>
        </w:rPr>
      </w:pPr>
    </w:p>
    <w:p w14:paraId="031A57AF">
      <w:pPr>
        <w:pStyle w:val="20"/>
        <w:jc w:val="center"/>
        <w:rPr>
          <w:rFonts w:hint="eastAsia" w:ascii="黑体" w:hAnsi="黑体" w:eastAsia="黑体" w:cs="黑体"/>
          <w:b w:val="0"/>
          <w:color w:val="auto"/>
          <w:sz w:val="52"/>
          <w:szCs w:val="52"/>
          <w:highlight w:val="none"/>
        </w:rPr>
      </w:pPr>
      <w:bookmarkStart w:id="421" w:name="_Toc74760872"/>
      <w:r>
        <w:rPr>
          <w:rFonts w:hint="eastAsia" w:ascii="黑体" w:hAnsi="黑体" w:eastAsia="黑体" w:cs="黑体"/>
          <w:b w:val="0"/>
          <w:color w:val="auto"/>
          <w:sz w:val="52"/>
          <w:szCs w:val="52"/>
          <w:highlight w:val="none"/>
        </w:rPr>
        <w:t>第三章  评标办法</w:t>
      </w:r>
      <w:bookmarkEnd w:id="421"/>
    </w:p>
    <w:p w14:paraId="4157B384">
      <w:pPr>
        <w:widowControl/>
        <w:jc w:val="left"/>
        <w:rPr>
          <w:rFonts w:ascii="宋体" w:hAnsi="宋体" w:cs="宋体"/>
          <w:b/>
          <w:color w:val="auto"/>
          <w:sz w:val="28"/>
          <w:szCs w:val="28"/>
          <w:highlight w:val="none"/>
        </w:rPr>
      </w:pPr>
    </w:p>
    <w:p w14:paraId="3BD88F48">
      <w:pPr>
        <w:widowControl/>
        <w:jc w:val="left"/>
        <w:rPr>
          <w:rFonts w:ascii="宋体" w:hAnsi="宋体" w:cs="宋体"/>
          <w:b/>
          <w:color w:val="auto"/>
          <w:sz w:val="28"/>
          <w:szCs w:val="28"/>
          <w:highlight w:val="none"/>
        </w:rPr>
      </w:pPr>
      <w:r>
        <w:rPr>
          <w:rFonts w:ascii="宋体" w:hAnsi="宋体" w:cs="宋体"/>
          <w:b/>
          <w:color w:val="auto"/>
          <w:sz w:val="28"/>
          <w:szCs w:val="28"/>
          <w:highlight w:val="none"/>
        </w:rPr>
        <w:br w:type="page"/>
      </w:r>
    </w:p>
    <w:p w14:paraId="73D3CACC">
      <w:pPr>
        <w:pStyle w:val="4"/>
        <w:rPr>
          <w:b w:val="0"/>
          <w:bCs w:val="0"/>
        </w:rPr>
      </w:pPr>
      <w:bookmarkStart w:id="422" w:name="_Toc74760873"/>
      <w:bookmarkStart w:id="423" w:name="_Toc523921670"/>
      <w:bookmarkStart w:id="424" w:name="_Toc28187726"/>
      <w:r>
        <w:rPr>
          <w:rFonts w:hint="eastAsia"/>
          <w:b w:val="0"/>
          <w:bCs w:val="0"/>
        </w:rPr>
        <w:t>第三章</w:t>
      </w:r>
      <w:r>
        <w:rPr>
          <w:b w:val="0"/>
          <w:bCs w:val="0"/>
        </w:rPr>
        <w:t xml:space="preserve">  </w:t>
      </w:r>
      <w:r>
        <w:rPr>
          <w:rFonts w:hint="eastAsia"/>
          <w:b w:val="0"/>
          <w:bCs w:val="0"/>
        </w:rPr>
        <w:t>评标办法（综合评估法）</w:t>
      </w:r>
    </w:p>
    <w:p w14:paraId="2A414998">
      <w:pPr>
        <w:pStyle w:val="5"/>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评标办法前附表</w:t>
      </w:r>
      <w:bookmarkEnd w:id="422"/>
      <w:bookmarkEnd w:id="423"/>
      <w:bookmarkEnd w:id="424"/>
    </w:p>
    <w:p w14:paraId="3618BD43">
      <w:pPr>
        <w:pStyle w:val="27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办法前附表”用于进一步明确正文中评标的方法、因素、标准、程序。招标人根据本项目具体特点和实际需要详细列明并补充全部评审因素、标准。“评标办法前附表”内容与正文不一致的，以“评标办法前附表”内容为准。“评标办法前附表”及正文没有规定的方法、评审因素、标准，不得作为评标的依据。</w:t>
      </w:r>
    </w:p>
    <w:tbl>
      <w:tblPr>
        <w:tblStyle w:val="4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939"/>
        <w:gridCol w:w="1910"/>
        <w:gridCol w:w="5121"/>
      </w:tblGrid>
      <w:tr w14:paraId="4B27E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blHeader/>
          <w:jc w:val="center"/>
        </w:trPr>
        <w:tc>
          <w:tcPr>
            <w:tcW w:w="1753" w:type="dxa"/>
            <w:gridSpan w:val="2"/>
            <w:tcBorders>
              <w:bottom w:val="single" w:color="auto" w:sz="4" w:space="0"/>
            </w:tcBorders>
            <w:vAlign w:val="center"/>
          </w:tcPr>
          <w:p w14:paraId="0FB91173">
            <w:pPr>
              <w:pStyle w:val="276"/>
              <w:adjustRightInd w:val="0"/>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031" w:type="dxa"/>
            <w:gridSpan w:val="2"/>
            <w:tcBorders>
              <w:bottom w:val="single" w:color="auto" w:sz="4" w:space="0"/>
            </w:tcBorders>
            <w:vAlign w:val="center"/>
          </w:tcPr>
          <w:p w14:paraId="4237EBB6">
            <w:pPr>
              <w:pStyle w:val="276"/>
              <w:adjustRightInd w:val="0"/>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评审因素与评审标准</w:t>
            </w:r>
          </w:p>
        </w:tc>
      </w:tr>
      <w:tr w14:paraId="4B7BE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Align w:val="center"/>
          </w:tcPr>
          <w:p w14:paraId="0B32BF7B">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w:t>
            </w:r>
          </w:p>
        </w:tc>
        <w:tc>
          <w:tcPr>
            <w:tcW w:w="939" w:type="dxa"/>
            <w:vAlign w:val="center"/>
          </w:tcPr>
          <w:p w14:paraId="4CE3023C">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w:t>
            </w:r>
          </w:p>
          <w:p w14:paraId="64A10F59">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方法</w:t>
            </w:r>
          </w:p>
        </w:tc>
        <w:tc>
          <w:tcPr>
            <w:tcW w:w="7031" w:type="dxa"/>
            <w:gridSpan w:val="2"/>
            <w:tcBorders>
              <w:bottom w:val="single" w:color="auto" w:sz="4" w:space="0"/>
            </w:tcBorders>
            <w:vAlign w:val="center"/>
          </w:tcPr>
          <w:p w14:paraId="14280739">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ascii="宋体" w:hAnsi="宋体" w:cs="宋体"/>
                <w:b/>
                <w:color w:val="auto"/>
                <w:szCs w:val="21"/>
                <w:highlight w:val="none"/>
              </w:rPr>
              <w:t>1.</w:t>
            </w:r>
            <w:r>
              <w:rPr>
                <w:rFonts w:hint="eastAsia" w:ascii="宋体" w:hAnsi="宋体" w:cs="宋体"/>
                <w:b/>
                <w:color w:val="auto"/>
                <w:szCs w:val="21"/>
                <w:highlight w:val="none"/>
              </w:rPr>
              <w:t>本次评标采用综合评估法，推荐中标候选人具体原则为：</w:t>
            </w:r>
            <w:r>
              <w:rPr>
                <w:rFonts w:ascii="宋体" w:hAnsi="宋体" w:cs="宋体"/>
                <w:color w:val="auto"/>
                <w:szCs w:val="21"/>
                <w:highlight w:val="none"/>
              </w:rPr>
              <w:t xml:space="preserve"> </w:t>
            </w:r>
          </w:p>
          <w:p w14:paraId="734502A1">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b/>
                <w:color w:val="auto"/>
                <w:szCs w:val="21"/>
                <w:highlight w:val="none"/>
              </w:rPr>
            </w:pPr>
            <w:r>
              <w:rPr>
                <w:rFonts w:hint="eastAsia" w:ascii="宋体" w:hAnsi="宋体" w:cs="宋体"/>
                <w:b/>
                <w:color w:val="auto"/>
                <w:szCs w:val="21"/>
                <w:highlight w:val="none"/>
              </w:rPr>
              <w:t>□ 允许中</w:t>
            </w:r>
            <w:r>
              <w:rPr>
                <w:rFonts w:ascii="宋体" w:hAnsi="宋体" w:cs="宋体"/>
                <w:b/>
                <w:color w:val="auto"/>
                <w:szCs w:val="21"/>
                <w:highlight w:val="none"/>
              </w:rPr>
              <w:t>1个标段时适用</w:t>
            </w:r>
          </w:p>
          <w:p w14:paraId="29262302">
            <w:pPr>
              <w:keepNext w:val="0"/>
              <w:keepLines w:val="0"/>
              <w:pageBreakBefore w:val="0"/>
              <w:widowControl/>
              <w:kinsoku/>
              <w:wordWrap/>
              <w:overflowPunct/>
              <w:topLinePunct w:val="0"/>
              <w:autoSpaceDE/>
              <w:autoSpaceDN/>
              <w:bidi w:val="0"/>
              <w:adjustRightInd w:val="0"/>
              <w:snapToGrid w:val="0"/>
              <w:spacing w:line="380" w:lineRule="exact"/>
              <w:ind w:firstLine="210" w:firstLineChars="100"/>
              <w:textAlignment w:val="auto"/>
              <w:rPr>
                <w:rFonts w:ascii="宋体" w:hAnsi="宋体"/>
                <w:color w:val="auto"/>
                <w:kern w:val="0"/>
                <w:szCs w:val="21"/>
                <w:highlight w:val="none"/>
              </w:rPr>
            </w:pPr>
            <w:r>
              <w:rPr>
                <w:rFonts w:hint="eastAsia" w:ascii="宋体" w:hAnsi="宋体"/>
                <w:color w:val="auto"/>
                <w:kern w:val="0"/>
                <w:szCs w:val="21"/>
                <w:highlight w:val="none"/>
              </w:rPr>
              <w:t>（1）评标委员会对通过第一个信封（商务及技术文件）和第二个信封（报价文件）评审的所有投标人，按照综合得分由高到低进行排序。若多个投标人综合得分相同时，评标委员会依次按照以下原则排序：</w:t>
            </w:r>
          </w:p>
          <w:p w14:paraId="75AFC1F1">
            <w:pPr>
              <w:keepNext w:val="0"/>
              <w:keepLines w:val="0"/>
              <w:pageBreakBefore w:val="0"/>
              <w:widowControl/>
              <w:kinsoku/>
              <w:wordWrap/>
              <w:overflowPunct/>
              <w:topLinePunct w:val="0"/>
              <w:autoSpaceDE/>
              <w:autoSpaceDN/>
              <w:bidi w:val="0"/>
              <w:adjustRightInd w:val="0"/>
              <w:snapToGrid w:val="0"/>
              <w:spacing w:line="380" w:lineRule="exact"/>
              <w:ind w:firstLine="420" w:firstLineChars="200"/>
              <w:textAlignment w:val="auto"/>
              <w:rPr>
                <w:rFonts w:ascii="宋体" w:hAnsi="宋体"/>
                <w:color w:val="auto"/>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w:instrText>
            </w:r>
            <w:r>
              <w:rPr>
                <w:rFonts w:hint="eastAsia" w:ascii="宋体" w:hAnsi="宋体"/>
                <w:color w:val="auto"/>
                <w:kern w:val="0"/>
                <w:szCs w:val="21"/>
                <w:highlight w:val="none"/>
              </w:rPr>
              <w:instrText xml:space="preserve">= 1 \* GB3</w:instrText>
            </w:r>
            <w:r>
              <w:rPr>
                <w:rFonts w:ascii="宋体" w:hAnsi="宋体"/>
                <w:color w:val="auto"/>
                <w:kern w:val="0"/>
                <w:szCs w:val="21"/>
                <w:highlight w:val="none"/>
              </w:rPr>
              <w:instrText xml:space="preserve"> </w:instrText>
            </w:r>
            <w:r>
              <w:rPr>
                <w:rFonts w:ascii="宋体" w:hAnsi="宋体"/>
                <w:color w:val="auto"/>
                <w:kern w:val="0"/>
                <w:szCs w:val="21"/>
                <w:highlight w:val="none"/>
              </w:rPr>
              <w:fldChar w:fldCharType="separate"/>
            </w:r>
            <w:r>
              <w:rPr>
                <w:rFonts w:hint="eastAsia" w:ascii="宋体" w:hAnsi="宋体"/>
                <w:color w:val="auto"/>
                <w:kern w:val="0"/>
                <w:szCs w:val="21"/>
                <w:highlight w:val="none"/>
              </w:rPr>
              <w:t>①</w:t>
            </w:r>
            <w:r>
              <w:rPr>
                <w:rFonts w:ascii="宋体" w:hAnsi="宋体"/>
                <w:color w:val="auto"/>
                <w:kern w:val="0"/>
                <w:szCs w:val="21"/>
                <w:highlight w:val="none"/>
              </w:rPr>
              <w:fldChar w:fldCharType="end"/>
            </w:r>
            <w:r>
              <w:rPr>
                <w:rFonts w:hint="eastAsia" w:ascii="宋体" w:hAnsi="宋体"/>
                <w:color w:val="auto"/>
                <w:szCs w:val="21"/>
                <w:highlight w:val="none"/>
              </w:rPr>
              <w:t>评标价低的投标人优先；</w:t>
            </w:r>
          </w:p>
          <w:p w14:paraId="0E067423">
            <w:pPr>
              <w:keepNext w:val="0"/>
              <w:keepLines w:val="0"/>
              <w:pageBreakBefore w:val="0"/>
              <w:widowControl/>
              <w:kinsoku/>
              <w:wordWrap/>
              <w:overflowPunct/>
              <w:topLinePunct w:val="0"/>
              <w:autoSpaceDE/>
              <w:autoSpaceDN/>
              <w:bidi w:val="0"/>
              <w:adjustRightInd w:val="0"/>
              <w:snapToGrid w:val="0"/>
              <w:spacing w:line="380" w:lineRule="exact"/>
              <w:ind w:left="210" w:leftChars="100" w:firstLine="210" w:firstLineChars="100"/>
              <w:textAlignment w:val="auto"/>
              <w:rPr>
                <w:rFonts w:hint="eastAsia" w:asciiTheme="minorEastAsia" w:hAnsiTheme="minorEastAsia" w:eastAsiaTheme="minorEastAsia"/>
                <w:color w:val="auto"/>
                <w:kern w:val="0"/>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2 \* GB3</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②</w:t>
            </w:r>
            <w:r>
              <w:rPr>
                <w:rFonts w:ascii="宋体" w:hAnsi="宋体"/>
                <w:color w:val="auto"/>
                <w:szCs w:val="21"/>
                <w:highlight w:val="none"/>
              </w:rPr>
              <w:fldChar w:fldCharType="end"/>
            </w:r>
            <w:r>
              <w:rPr>
                <w:rFonts w:hint="eastAsia" w:ascii="宋体" w:hAnsi="宋体"/>
                <w:b w:val="0"/>
                <w:bCs/>
                <w:color w:val="auto"/>
                <w:sz w:val="21"/>
                <w:szCs w:val="21"/>
                <w:highlight w:val="none"/>
              </w:rPr>
              <w:sym w:font="Wingdings 2" w:char="00A3"/>
            </w:r>
            <w:r>
              <w:rPr>
                <w:rFonts w:hint="eastAsia" w:ascii="宋体" w:hAnsi="宋体"/>
                <w:b w:val="0"/>
                <w:bCs/>
                <w:color w:val="auto"/>
                <w:sz w:val="21"/>
                <w:szCs w:val="21"/>
                <w:highlight w:val="none"/>
                <w:lang w:val="en-US" w:eastAsia="zh-CN"/>
              </w:rPr>
              <w:t xml:space="preserve"> </w:t>
            </w:r>
            <w:r>
              <w:rPr>
                <w:rFonts w:hint="eastAsia" w:asciiTheme="minorEastAsia" w:hAnsiTheme="minorEastAsia" w:eastAsiaTheme="minorEastAsia"/>
                <w:color w:val="auto"/>
                <w:kern w:val="0"/>
                <w:szCs w:val="21"/>
                <w:highlight w:val="none"/>
              </w:rPr>
              <w:t>四川省重点公路建设从业单位信用评价等级高的优先；</w:t>
            </w:r>
          </w:p>
          <w:p w14:paraId="3677A35F">
            <w:pPr>
              <w:keepNext w:val="0"/>
              <w:keepLines w:val="0"/>
              <w:pageBreakBefore w:val="0"/>
              <w:widowControl/>
              <w:kinsoku/>
              <w:wordWrap/>
              <w:overflowPunct/>
              <w:topLinePunct w:val="0"/>
              <w:autoSpaceDE/>
              <w:autoSpaceDN/>
              <w:bidi w:val="0"/>
              <w:adjustRightInd w:val="0"/>
              <w:snapToGrid w:val="0"/>
              <w:spacing w:line="380" w:lineRule="exact"/>
              <w:ind w:left="210" w:leftChars="100" w:firstLine="420" w:firstLineChars="200"/>
              <w:textAlignment w:val="auto"/>
              <w:rPr>
                <w:rFonts w:ascii="宋体" w:hAnsi="宋体"/>
                <w:color w:val="auto"/>
                <w:kern w:val="0"/>
                <w:szCs w:val="21"/>
                <w:highlight w:val="none"/>
              </w:rPr>
            </w:pPr>
            <w:r>
              <w:rPr>
                <w:rFonts w:hint="eastAsia" w:ascii="宋体" w:hAnsi="宋体"/>
                <w:b w:val="0"/>
                <w:bCs/>
                <w:color w:val="auto"/>
                <w:sz w:val="21"/>
                <w:szCs w:val="21"/>
                <w:highlight w:val="none"/>
              </w:rPr>
              <w:sym w:font="Wingdings 2" w:char="00A3"/>
            </w:r>
            <w:r>
              <w:rPr>
                <w:rFonts w:hint="eastAsia" w:ascii="宋体" w:hAnsi="宋体"/>
                <w:b w:val="0"/>
                <w:bCs/>
                <w:color w:val="auto"/>
                <w:sz w:val="21"/>
                <w:szCs w:val="21"/>
                <w:highlight w:val="none"/>
                <w:lang w:val="en-US" w:eastAsia="zh-CN"/>
              </w:rPr>
              <w:t xml:space="preserve"> </w:t>
            </w:r>
            <w:r>
              <w:rPr>
                <w:rFonts w:hint="eastAsia" w:ascii="宋体" w:hAnsi="宋体"/>
                <w:color w:val="auto"/>
                <w:sz w:val="21"/>
                <w:szCs w:val="21"/>
                <w:highlight w:val="none"/>
              </w:rPr>
              <w:t>四川省</w:t>
            </w:r>
            <w:r>
              <w:rPr>
                <w:rFonts w:hint="eastAsia" w:ascii="宋体" w:hAnsi="宋体"/>
                <w:color w:val="auto"/>
                <w:sz w:val="21"/>
                <w:szCs w:val="21"/>
                <w:highlight w:val="none"/>
                <w:lang w:val="en-US" w:eastAsia="zh-CN"/>
              </w:rPr>
              <w:t>农村公路建设从业单位</w:t>
            </w:r>
            <w:r>
              <w:rPr>
                <w:rFonts w:hint="eastAsia" w:asciiTheme="minorEastAsia" w:hAnsiTheme="minorEastAsia" w:eastAsiaTheme="minorEastAsia"/>
                <w:color w:val="auto"/>
                <w:kern w:val="0"/>
                <w:szCs w:val="21"/>
                <w:highlight w:val="none"/>
              </w:rPr>
              <w:t>信用评价等级高的优先</w:t>
            </w:r>
            <w:r>
              <w:rPr>
                <w:rFonts w:hint="eastAsia" w:ascii="宋体" w:hAnsi="宋体"/>
                <w:color w:val="auto"/>
                <w:kern w:val="0"/>
                <w:szCs w:val="21"/>
                <w:highlight w:val="none"/>
              </w:rPr>
              <w:t>；</w:t>
            </w:r>
          </w:p>
          <w:p w14:paraId="38705A04">
            <w:pPr>
              <w:keepNext w:val="0"/>
              <w:keepLines w:val="0"/>
              <w:pageBreakBefore w:val="0"/>
              <w:widowControl/>
              <w:kinsoku/>
              <w:wordWrap/>
              <w:overflowPunct/>
              <w:topLinePunct w:val="0"/>
              <w:autoSpaceDE/>
              <w:autoSpaceDN/>
              <w:bidi w:val="0"/>
              <w:adjustRightInd w:val="0"/>
              <w:snapToGrid w:val="0"/>
              <w:spacing w:line="380" w:lineRule="exact"/>
              <w:ind w:left="210" w:leftChars="100" w:firstLine="210" w:firstLineChars="100"/>
              <w:textAlignment w:val="auto"/>
              <w:rPr>
                <w:rFonts w:ascii="宋体" w:hAnsi="宋体"/>
                <w:color w:val="auto"/>
                <w:kern w:val="0"/>
                <w:szCs w:val="21"/>
                <w:highlight w:val="none"/>
              </w:rPr>
            </w:pPr>
            <w:r>
              <w:rPr>
                <w:rFonts w:ascii="宋体" w:hAnsi="宋体"/>
                <w:color w:val="auto"/>
                <w:kern w:val="0"/>
                <w:szCs w:val="21"/>
                <w:highlight w:val="none"/>
              </w:rPr>
              <w:fldChar w:fldCharType="begin"/>
            </w:r>
            <w:r>
              <w:rPr>
                <w:rFonts w:ascii="宋体" w:hAnsi="宋体"/>
                <w:color w:val="auto"/>
                <w:kern w:val="0"/>
                <w:szCs w:val="21"/>
                <w:highlight w:val="none"/>
              </w:rPr>
              <w:instrText xml:space="preserve"> </w:instrText>
            </w:r>
            <w:r>
              <w:rPr>
                <w:rFonts w:hint="eastAsia" w:ascii="宋体" w:hAnsi="宋体"/>
                <w:color w:val="auto"/>
                <w:kern w:val="0"/>
                <w:szCs w:val="21"/>
                <w:highlight w:val="none"/>
              </w:rPr>
              <w:instrText xml:space="preserve">= 3 \* GB3</w:instrText>
            </w:r>
            <w:r>
              <w:rPr>
                <w:rFonts w:ascii="宋体" w:hAnsi="宋体"/>
                <w:color w:val="auto"/>
                <w:kern w:val="0"/>
                <w:szCs w:val="21"/>
                <w:highlight w:val="none"/>
              </w:rPr>
              <w:instrText xml:space="preserve"> </w:instrText>
            </w:r>
            <w:r>
              <w:rPr>
                <w:rFonts w:ascii="宋体" w:hAnsi="宋体"/>
                <w:color w:val="auto"/>
                <w:kern w:val="0"/>
                <w:szCs w:val="21"/>
                <w:highlight w:val="none"/>
              </w:rPr>
              <w:fldChar w:fldCharType="separate"/>
            </w:r>
            <w:r>
              <w:rPr>
                <w:rFonts w:hint="eastAsia" w:ascii="宋体" w:hAnsi="宋体"/>
                <w:color w:val="auto"/>
                <w:kern w:val="0"/>
                <w:szCs w:val="21"/>
                <w:highlight w:val="none"/>
              </w:rPr>
              <w:t>③</w:t>
            </w:r>
            <w:r>
              <w:rPr>
                <w:rFonts w:ascii="宋体" w:hAnsi="宋体"/>
                <w:color w:val="auto"/>
                <w:kern w:val="0"/>
                <w:szCs w:val="21"/>
                <w:highlight w:val="none"/>
              </w:rPr>
              <w:fldChar w:fldCharType="end"/>
            </w:r>
            <w:r>
              <w:rPr>
                <w:rFonts w:hint="eastAsia" w:ascii="宋体" w:hAnsi="宋体"/>
                <w:color w:val="auto"/>
                <w:szCs w:val="21"/>
                <w:highlight w:val="none"/>
              </w:rPr>
              <w:t>若上述情况都相同时，则排序按照：</w:t>
            </w:r>
            <w:r>
              <w:rPr>
                <w:rFonts w:ascii="宋体" w:hAnsi="宋体"/>
                <w:color w:val="auto"/>
                <w:szCs w:val="21"/>
                <w:highlight w:val="none"/>
                <w:u w:val="single"/>
              </w:rPr>
              <w:t xml:space="preserve">        </w:t>
            </w:r>
            <w:r>
              <w:rPr>
                <w:rFonts w:hint="eastAsia" w:ascii="宋体" w:hAnsi="宋体"/>
                <w:color w:val="auto"/>
                <w:kern w:val="0"/>
                <w:szCs w:val="21"/>
                <w:highlight w:val="none"/>
              </w:rPr>
              <w:t>。</w:t>
            </w:r>
          </w:p>
          <w:p w14:paraId="0FAD9C11">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b w:val="0"/>
                <w:bCs/>
                <w:color w:val="auto"/>
                <w:kern w:val="0"/>
                <w:szCs w:val="21"/>
                <w:highlight w:val="none"/>
              </w:rPr>
              <w:sym w:font="Wingdings 2" w:char="00A3"/>
            </w:r>
            <w:r>
              <w:rPr>
                <w:rFonts w:hint="eastAsia" w:ascii="宋体" w:hAnsi="宋体" w:cs="宋体"/>
                <w:color w:val="auto"/>
                <w:szCs w:val="21"/>
                <w:highlight w:val="none"/>
              </w:rPr>
              <w:t>（</w:t>
            </w:r>
            <w:r>
              <w:rPr>
                <w:rFonts w:ascii="宋体" w:hAnsi="宋体" w:cs="宋体"/>
                <w:color w:val="auto"/>
                <w:szCs w:val="21"/>
                <w:highlight w:val="none"/>
              </w:rPr>
              <w:t>2）</w:t>
            </w:r>
            <w:r>
              <w:rPr>
                <w:color w:val="auto"/>
                <w:highlight w:val="none"/>
              </w:rPr>
              <w:t>若同一投标人在</w:t>
            </w:r>
            <w:r>
              <w:rPr>
                <w:rFonts w:hint="eastAsia" w:ascii="宋体" w:hAnsi="宋体" w:cs="宋体"/>
                <w:color w:val="auto"/>
                <w:highlight w:val="none"/>
                <w:lang w:val="en-US" w:eastAsia="zh-CN"/>
              </w:rPr>
              <w:t>2</w:t>
            </w:r>
            <w:r>
              <w:rPr>
                <w:rFonts w:hint="eastAsia" w:ascii="宋体" w:hAnsi="宋体" w:cs="宋体"/>
                <w:color w:val="auto"/>
                <w:highlight w:val="none"/>
              </w:rPr>
              <w:t>个</w:t>
            </w:r>
            <w:r>
              <w:rPr>
                <w:rFonts w:hint="eastAsia"/>
                <w:color w:val="auto"/>
                <w:highlight w:val="none"/>
                <w:lang w:val="en-US" w:eastAsia="zh-CN"/>
              </w:rPr>
              <w:t>及以上</w:t>
            </w:r>
            <w:r>
              <w:rPr>
                <w:color w:val="auto"/>
                <w:highlight w:val="none"/>
              </w:rPr>
              <w:t>标段排序均</w:t>
            </w:r>
            <w:r>
              <w:rPr>
                <w:rFonts w:hint="eastAsia"/>
                <w:color w:val="auto"/>
                <w:highlight w:val="none"/>
                <w:lang w:val="en-US" w:eastAsia="zh-CN"/>
              </w:rPr>
              <w:t>为</w:t>
            </w:r>
            <w:r>
              <w:rPr>
                <w:color w:val="auto"/>
                <w:highlight w:val="none"/>
              </w:rPr>
              <w:t>第一</w:t>
            </w:r>
            <w:r>
              <w:rPr>
                <w:rFonts w:hint="eastAsia"/>
                <w:color w:val="auto"/>
                <w:highlight w:val="none"/>
              </w:rPr>
              <w:t>，</w:t>
            </w:r>
            <w:r>
              <w:rPr>
                <w:color w:val="auto"/>
                <w:highlight w:val="none"/>
              </w:rPr>
              <w:t>按以下原则依次排序</w:t>
            </w:r>
            <w:r>
              <w:rPr>
                <w:rFonts w:ascii="宋体" w:hAnsi="宋体" w:cs="宋体"/>
                <w:color w:val="auto"/>
                <w:szCs w:val="21"/>
                <w:highlight w:val="none"/>
              </w:rPr>
              <w:t>：</w:t>
            </w:r>
          </w:p>
          <w:p w14:paraId="2ED27CD8">
            <w:pPr>
              <w:pStyle w:val="276"/>
              <w:keepNext w:val="0"/>
              <w:keepLines w:val="0"/>
              <w:pageBreakBefore w:val="0"/>
              <w:kinsoku/>
              <w:wordWrap/>
              <w:overflowPunct/>
              <w:topLinePunct w:val="0"/>
              <w:autoSpaceDE/>
              <w:autoSpaceDN/>
              <w:bidi w:val="0"/>
              <w:adjustRightInd w:val="0"/>
              <w:snapToGrid w:val="0"/>
              <w:spacing w:line="380" w:lineRule="exact"/>
              <w:ind w:left="399" w:leftChars="190" w:firstLine="0" w:firstLineChars="0"/>
              <w:textAlignment w:val="auto"/>
              <w:rPr>
                <w:rFonts w:hint="eastAsia" w:ascii="宋体" w:hAnsi="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olor w:val="auto"/>
                <w:kern w:val="0"/>
                <w:szCs w:val="21"/>
                <w:highlight w:val="none"/>
                <w:lang w:val="en-US" w:eastAsia="zh-CN"/>
              </w:rPr>
              <w:t xml:space="preserve"> </w:t>
            </w:r>
            <w:r>
              <w:rPr>
                <w:rFonts w:hint="eastAsia" w:ascii="宋体" w:hAnsi="宋体" w:cs="宋体"/>
                <w:color w:val="auto"/>
                <w:szCs w:val="21"/>
                <w:highlight w:val="none"/>
              </w:rPr>
              <w:t>保留该投标人评标价高的标段的第一排名，取消其在评标价低的标段的排名，其余投标人按综合得分由高到低重新排序。</w:t>
            </w:r>
            <w:r>
              <w:rPr>
                <w:rFonts w:hint="eastAsia" w:ascii="宋体" w:hAnsi="宋体"/>
                <w:color w:val="auto"/>
                <w:kern w:val="0"/>
                <w:szCs w:val="21"/>
                <w:highlight w:val="none"/>
              </w:rPr>
              <w:t>评标价也相同时，则排序按照：</w:t>
            </w:r>
            <w:r>
              <w:rPr>
                <w:rFonts w:ascii="宋体" w:hAnsi="宋体"/>
                <w:color w:val="auto"/>
                <w:kern w:val="0"/>
                <w:szCs w:val="21"/>
                <w:highlight w:val="none"/>
                <w:u w:val="single"/>
              </w:rPr>
              <w:t xml:space="preserve">           </w:t>
            </w:r>
            <w:r>
              <w:rPr>
                <w:rFonts w:hint="eastAsia" w:ascii="宋体" w:hAnsi="宋体"/>
                <w:color w:val="auto"/>
                <w:kern w:val="0"/>
                <w:szCs w:val="21"/>
                <w:highlight w:val="none"/>
              </w:rPr>
              <w:t>。</w:t>
            </w:r>
          </w:p>
          <w:p w14:paraId="2535797C">
            <w:pPr>
              <w:pStyle w:val="276"/>
              <w:keepNext w:val="0"/>
              <w:keepLines w:val="0"/>
              <w:pageBreakBefore w:val="0"/>
              <w:kinsoku/>
              <w:wordWrap/>
              <w:overflowPunct/>
              <w:topLinePunct w:val="0"/>
              <w:autoSpaceDE/>
              <w:autoSpaceDN/>
              <w:bidi w:val="0"/>
              <w:adjustRightInd w:val="0"/>
              <w:snapToGrid w:val="0"/>
              <w:spacing w:line="380" w:lineRule="exact"/>
              <w:ind w:left="399" w:leftChars="190" w:firstLine="0" w:firstLineChars="0"/>
              <w:textAlignment w:val="auto"/>
              <w:rPr>
                <w:rFonts w:hint="default" w:ascii="宋体" w:hAnsi="宋体" w:eastAsia="宋体"/>
                <w:color w:val="auto"/>
                <w:kern w:val="0"/>
                <w:szCs w:val="21"/>
                <w:highlight w:val="none"/>
                <w:lang w:val="en-US" w:eastAsia="zh-CN"/>
              </w:rPr>
            </w:pPr>
            <w:r>
              <w:rPr>
                <w:rFonts w:hint="eastAsia" w:ascii="宋体" w:hAnsi="宋体" w:eastAsia="宋体" w:cs="宋体"/>
                <w:color w:val="auto"/>
                <w:kern w:val="0"/>
                <w:szCs w:val="21"/>
                <w:highlight w:val="none"/>
              </w:rPr>
              <w:t>□</w:t>
            </w:r>
            <w:r>
              <w:rPr>
                <w:rFonts w:hint="eastAsia" w:ascii="宋体" w:hAnsi="宋体"/>
                <w:color w:val="auto"/>
                <w:kern w:val="0"/>
                <w:szCs w:val="21"/>
                <w:highlight w:val="none"/>
                <w:lang w:val="en-US" w:eastAsia="zh-CN"/>
              </w:rPr>
              <w:t xml:space="preserve"> 排序方式为：</w:t>
            </w:r>
            <w:r>
              <w:rPr>
                <w:rFonts w:hint="eastAsia" w:ascii="宋体" w:hAnsi="宋体"/>
                <w:color w:val="auto"/>
                <w:kern w:val="0"/>
                <w:szCs w:val="21"/>
                <w:highlight w:val="none"/>
                <w:u w:val="single"/>
                <w:lang w:val="en-US" w:eastAsia="zh-CN"/>
              </w:rPr>
              <w:t xml:space="preserve">          </w:t>
            </w:r>
            <w:r>
              <w:rPr>
                <w:rFonts w:hint="eastAsia" w:ascii="宋体" w:hAnsi="宋体"/>
                <w:color w:val="auto"/>
                <w:kern w:val="0"/>
                <w:szCs w:val="21"/>
                <w:highlight w:val="none"/>
                <w:lang w:val="en-US" w:eastAsia="zh-CN"/>
              </w:rPr>
              <w:t>。</w:t>
            </w:r>
          </w:p>
          <w:p w14:paraId="3D11C191">
            <w:pPr>
              <w:keepNext w:val="0"/>
              <w:keepLines w:val="0"/>
              <w:pageBreakBefore w:val="0"/>
              <w:widowControl/>
              <w:kinsoku/>
              <w:wordWrap/>
              <w:overflowPunct/>
              <w:topLinePunct w:val="0"/>
              <w:autoSpaceDE/>
              <w:autoSpaceDN/>
              <w:bidi w:val="0"/>
              <w:adjustRightInd w:val="0"/>
              <w:snapToGrid w:val="0"/>
              <w:spacing w:line="380" w:lineRule="exact"/>
              <w:ind w:firstLine="210" w:firstLineChars="100"/>
              <w:textAlignment w:val="auto"/>
              <w:rPr>
                <w:rFonts w:ascii="宋体" w:hAnsi="宋体"/>
                <w:color w:val="auto"/>
                <w:kern w:val="0"/>
                <w:szCs w:val="21"/>
                <w:highlight w:val="none"/>
              </w:rPr>
            </w:pPr>
            <w:r>
              <w:rPr>
                <w:rFonts w:hint="eastAsia" w:ascii="宋体" w:hAnsi="宋体" w:cs="宋体"/>
                <w:b w:val="0"/>
                <w:bCs/>
                <w:color w:val="auto"/>
                <w:kern w:val="0"/>
                <w:szCs w:val="21"/>
                <w:highlight w:val="none"/>
              </w:rPr>
              <w:sym w:font="Wingdings 2" w:char="00A3"/>
            </w:r>
            <w:r>
              <w:rPr>
                <w:rFonts w:hint="eastAsia" w:ascii="宋体" w:hAnsi="宋体"/>
                <w:color w:val="auto"/>
                <w:kern w:val="0"/>
                <w:szCs w:val="21"/>
                <w:highlight w:val="none"/>
              </w:rPr>
              <w:t>（3）</w:t>
            </w:r>
            <w:r>
              <w:rPr>
                <w:rFonts w:hint="eastAsia" w:ascii="宋体" w:hAnsi="宋体"/>
                <w:color w:val="auto"/>
                <w:kern w:val="0"/>
                <w:szCs w:val="21"/>
                <w:highlight w:val="none"/>
                <w:lang w:val="en-US" w:eastAsia="zh-CN"/>
              </w:rPr>
              <w:t>若</w:t>
            </w:r>
            <w:r>
              <w:rPr>
                <w:rFonts w:hint="eastAsia" w:ascii="宋体" w:hAnsi="宋体"/>
                <w:color w:val="auto"/>
                <w:kern w:val="0"/>
                <w:szCs w:val="21"/>
                <w:highlight w:val="none"/>
              </w:rPr>
              <w:t>同一投标人</w:t>
            </w:r>
            <w:r>
              <w:rPr>
                <w:rFonts w:hint="eastAsia" w:ascii="宋体" w:hAnsi="宋体"/>
                <w:color w:val="auto"/>
                <w:kern w:val="0"/>
                <w:szCs w:val="21"/>
                <w:highlight w:val="none"/>
                <w:lang w:val="en-US" w:eastAsia="zh-CN"/>
              </w:rPr>
              <w:t>参与2个及以上标段的投标，</w:t>
            </w:r>
            <w:r>
              <w:rPr>
                <w:rFonts w:hint="eastAsia" w:ascii="宋体" w:hAnsi="宋体"/>
                <w:color w:val="auto"/>
                <w:kern w:val="0"/>
                <w:szCs w:val="21"/>
                <w:highlight w:val="none"/>
              </w:rPr>
              <w:t>在其中一个标段已经推荐为第一中标候选人，则在其他标段不再作为中标候选人推荐，其余投标人按综合得分由高到低重新排序。</w:t>
            </w:r>
          </w:p>
          <w:p w14:paraId="1E7DBE7F">
            <w:pPr>
              <w:pStyle w:val="276"/>
              <w:keepNext w:val="0"/>
              <w:keepLines w:val="0"/>
              <w:pageBreakBefore w:val="0"/>
              <w:kinsoku/>
              <w:wordWrap/>
              <w:overflowPunct/>
              <w:topLinePunct w:val="0"/>
              <w:autoSpaceDE/>
              <w:autoSpaceDN/>
              <w:bidi w:val="0"/>
              <w:adjustRightInd w:val="0"/>
              <w:snapToGrid w:val="0"/>
              <w:spacing w:line="380" w:lineRule="exact"/>
              <w:ind w:firstLine="210" w:firstLineChars="100"/>
              <w:textAlignment w:val="auto"/>
              <w:rPr>
                <w:rFonts w:ascii="宋体" w:hAnsi="宋体" w:cs="宋体"/>
                <w:color w:val="auto"/>
                <w:szCs w:val="21"/>
                <w:highlight w:val="none"/>
              </w:rPr>
            </w:pPr>
            <w:r>
              <w:rPr>
                <w:rFonts w:hint="eastAsia" w:ascii="宋体" w:hAnsi="宋体" w:cs="宋体"/>
                <w:color w:val="auto"/>
                <w:szCs w:val="21"/>
                <w:highlight w:val="none"/>
              </w:rPr>
              <w:t>（4）评标委员会按最终排序推荐前</w:t>
            </w:r>
            <w:r>
              <w:rPr>
                <w:rFonts w:ascii="宋体" w:hAnsi="宋体" w:cs="宋体"/>
                <w:color w:val="auto"/>
                <w:szCs w:val="21"/>
                <w:highlight w:val="none"/>
              </w:rPr>
              <w:t>3名中标候选人（若不足3名，则按相应数量推荐）。</w:t>
            </w:r>
          </w:p>
          <w:p w14:paraId="2F1096DD">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b/>
                <w:color w:val="auto"/>
                <w:szCs w:val="21"/>
                <w:highlight w:val="none"/>
              </w:rPr>
            </w:pPr>
            <w:r>
              <w:rPr>
                <w:rFonts w:hint="eastAsia" w:ascii="宋体" w:hAnsi="宋体" w:cs="宋体"/>
                <w:b/>
                <w:color w:val="auto"/>
                <w:szCs w:val="21"/>
                <w:highlight w:val="none"/>
              </w:rPr>
              <w:t>□ 允许中2个及以上标段适用</w:t>
            </w:r>
          </w:p>
          <w:p w14:paraId="5D61EF92">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u w:val="single"/>
              </w:rPr>
            </w:pPr>
            <w:r>
              <w:rPr>
                <w:rFonts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FC8F4E8">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b/>
                <w:color w:val="auto"/>
                <w:szCs w:val="21"/>
                <w:highlight w:val="none"/>
              </w:rPr>
              <w:t>2.</w:t>
            </w:r>
            <w:r>
              <w:rPr>
                <w:color w:val="auto"/>
                <w:szCs w:val="21"/>
                <w:highlight w:val="none"/>
              </w:rPr>
              <w:t>在评标过程中，如有效投标不足3个，评标委员会应当对有效投标是</w:t>
            </w:r>
            <w:r>
              <w:rPr>
                <w:rFonts w:hint="eastAsia"/>
                <w:color w:val="auto"/>
                <w:szCs w:val="21"/>
                <w:highlight w:val="none"/>
              </w:rPr>
              <w:t>否仍具有竞争性进行评审。评标委员会一致认为有效投标仍具有竞争性的，应当继续推荐中标候选人，并在评标报告中予以说明。评标委员会对有效投标是否仍具有竞争性无法达成一致意见的，应当否决全部投标，并在评标报告中</w:t>
            </w:r>
            <w:r>
              <w:rPr>
                <w:rFonts w:hint="eastAsia"/>
                <w:color w:val="auto"/>
                <w:szCs w:val="21"/>
                <w:highlight w:val="none"/>
                <w:lang w:val="en-US" w:eastAsia="zh-CN"/>
              </w:rPr>
              <w:t>作</w:t>
            </w:r>
            <w:r>
              <w:rPr>
                <w:rFonts w:hint="eastAsia"/>
                <w:color w:val="auto"/>
                <w:szCs w:val="21"/>
                <w:highlight w:val="none"/>
              </w:rPr>
              <w:t>出说明。</w:t>
            </w:r>
          </w:p>
        </w:tc>
      </w:tr>
      <w:tr w14:paraId="7869E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7" w:hRule="atLeast"/>
          <w:jc w:val="center"/>
        </w:trPr>
        <w:tc>
          <w:tcPr>
            <w:tcW w:w="814" w:type="dxa"/>
            <w:vAlign w:val="center"/>
          </w:tcPr>
          <w:p w14:paraId="49A12AE2">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1</w:t>
            </w:r>
          </w:p>
        </w:tc>
        <w:tc>
          <w:tcPr>
            <w:tcW w:w="939" w:type="dxa"/>
            <w:vAlign w:val="center"/>
          </w:tcPr>
          <w:p w14:paraId="7EB045F0">
            <w:pPr>
              <w:pStyle w:val="276"/>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w:t>
            </w:r>
          </w:p>
          <w:p w14:paraId="781B0DAE">
            <w:pPr>
              <w:pStyle w:val="276"/>
              <w:adjustRightInd w:val="0"/>
              <w:snapToGrid w:val="0"/>
              <w:spacing w:line="4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方法</w:t>
            </w:r>
          </w:p>
        </w:tc>
        <w:tc>
          <w:tcPr>
            <w:tcW w:w="7031" w:type="dxa"/>
            <w:gridSpan w:val="2"/>
            <w:vAlign w:val="center"/>
          </w:tcPr>
          <w:p w14:paraId="13AD3D78">
            <w:pPr>
              <w:pStyle w:val="276"/>
              <w:adjustRightInd w:val="0"/>
              <w:snapToGrid w:val="0"/>
              <w:spacing w:line="400" w:lineRule="exact"/>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w:t>
            </w:r>
            <w:r>
              <w:rPr>
                <w:rFonts w:hint="eastAsia" w:ascii="宋体" w:hAnsi="宋体" w:cs="宋体"/>
                <w:b/>
                <w:bCs/>
                <w:color w:val="auto"/>
                <w:szCs w:val="21"/>
                <w:highlight w:val="none"/>
                <w:lang w:val="en-US" w:eastAsia="zh-CN"/>
              </w:rPr>
              <w:t xml:space="preserve"> 3.协助评标</w:t>
            </w:r>
          </w:p>
          <w:p w14:paraId="1106F13E">
            <w:pPr>
              <w:pStyle w:val="276"/>
              <w:adjustRightInd w:val="0"/>
              <w:snapToGrid w:val="0"/>
              <w:spacing w:line="400" w:lineRule="exact"/>
              <w:ind w:firstLine="210" w:firstLineChars="1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招标人按照</w:t>
            </w:r>
            <w:r>
              <w:rPr>
                <w:rFonts w:hint="eastAsia" w:ascii="宋体" w:hAnsi="宋体" w:cs="宋体"/>
                <w:color w:val="auto"/>
                <w:szCs w:val="21"/>
                <w:highlight w:val="none"/>
                <w:u w:val="single"/>
              </w:rPr>
              <w:t>《公路工程建设项目招标投标管理办法》（交通运输部令</w:t>
            </w:r>
            <w:r>
              <w:rPr>
                <w:rFonts w:ascii="宋体" w:hAnsi="宋体" w:cs="宋体"/>
                <w:color w:val="auto"/>
                <w:szCs w:val="21"/>
                <w:highlight w:val="none"/>
                <w:u w:val="single"/>
              </w:rPr>
              <w:t>2015年第24号）、《公路工程建设项目评标工作细则》（交公路规〔2022〕8号）、《四川省公路工程建设项目招标投标管理实施细则》（川交发</w:t>
            </w:r>
            <w:r>
              <w:rPr>
                <w:rFonts w:hint="eastAsia" w:ascii="宋体" w:hAnsi="宋体" w:cs="宋体"/>
                <w:color w:val="auto"/>
                <w:szCs w:val="21"/>
                <w:highlight w:val="none"/>
                <w:u w:val="single"/>
                <w:lang w:eastAsia="zh-CN"/>
              </w:rPr>
              <w:t>〔</w:t>
            </w:r>
            <w:r>
              <w:rPr>
                <w:rFonts w:ascii="宋体" w:hAnsi="宋体" w:cs="宋体"/>
                <w:color w:val="auto"/>
                <w:szCs w:val="21"/>
                <w:highlight w:val="none"/>
                <w:u w:val="single"/>
              </w:rPr>
              <w:t>2019</w:t>
            </w:r>
            <w:r>
              <w:rPr>
                <w:rFonts w:hint="eastAsia" w:ascii="宋体" w:hAnsi="宋体" w:cs="宋体"/>
                <w:color w:val="auto"/>
                <w:szCs w:val="21"/>
                <w:highlight w:val="none"/>
                <w:u w:val="single"/>
                <w:lang w:eastAsia="zh-CN"/>
              </w:rPr>
              <w:t>〕</w:t>
            </w:r>
            <w:r>
              <w:rPr>
                <w:rFonts w:ascii="宋体" w:hAnsi="宋体" w:cs="宋体"/>
                <w:color w:val="auto"/>
                <w:szCs w:val="21"/>
                <w:highlight w:val="none"/>
                <w:u w:val="single"/>
              </w:rPr>
              <w:t>32号）</w:t>
            </w:r>
            <w:r>
              <w:rPr>
                <w:rFonts w:hint="eastAsia" w:ascii="宋体" w:hAnsi="宋体" w:cs="宋体"/>
                <w:color w:val="auto"/>
                <w:szCs w:val="21"/>
                <w:highlight w:val="none"/>
              </w:rPr>
              <w:t>规定，协助评标委员会工作并提供相关信息：</w:t>
            </w:r>
            <w:r>
              <w:rPr>
                <w:rFonts w:ascii="宋体" w:hAnsi="宋体" w:cs="宋体"/>
                <w:color w:val="auto"/>
                <w:szCs w:val="21"/>
                <w:highlight w:val="none"/>
              </w:rPr>
              <w:t xml:space="preserve"> </w:t>
            </w:r>
          </w:p>
          <w:p w14:paraId="2BB8E3D5">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1）根据招标文件，编制评标使用的相应表格； </w:t>
            </w:r>
          </w:p>
          <w:p w14:paraId="573EE9BC">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对投标人的</w:t>
            </w:r>
            <w:r>
              <w:rPr>
                <w:rFonts w:hint="eastAsia" w:ascii="宋体" w:hAnsi="宋体" w:cs="宋体"/>
                <w:color w:val="auto"/>
                <w:szCs w:val="21"/>
                <w:highlight w:val="none"/>
                <w:u w:val="single"/>
              </w:rPr>
              <w:t>资质、业绩、信誉和从业人员各类注册资格证书</w:t>
            </w:r>
            <w:r>
              <w:rPr>
                <w:rFonts w:hint="eastAsia" w:ascii="宋体" w:hAnsi="宋体" w:cs="宋体"/>
                <w:color w:val="auto"/>
                <w:szCs w:val="21"/>
                <w:highlight w:val="none"/>
              </w:rPr>
              <w:t>等信息按招标文件中约定的网站进行核实；</w:t>
            </w:r>
          </w:p>
          <w:p w14:paraId="535D8481">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3）对投标报价进行算术性校核；</w:t>
            </w:r>
          </w:p>
          <w:p w14:paraId="2BF032B3">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4）以评标标准和方法为依据，列出投标文件相对于招标文件的所有偏差，并进行匿名归类汇总；</w:t>
            </w:r>
          </w:p>
          <w:p w14:paraId="4B29EB23">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5）在评标过程中，对评标委员会各成员的评分表进行复核，统计汇总；对评标过程资料进行整理。</w:t>
            </w:r>
          </w:p>
          <w:p w14:paraId="11EDDC0B">
            <w:pPr>
              <w:pStyle w:val="276"/>
              <w:adjustRightInd w:val="0"/>
              <w:snapToGrid w:val="0"/>
              <w:spacing w:line="400" w:lineRule="exact"/>
              <w:ind w:firstLine="210" w:firstLineChars="100"/>
              <w:rPr>
                <w:color w:val="auto"/>
                <w:szCs w:val="21"/>
                <w:highlight w:val="none"/>
              </w:rPr>
            </w:pPr>
            <w:r>
              <w:rPr>
                <w:rFonts w:hint="eastAsia" w:ascii="宋体" w:hAnsi="宋体" w:cs="宋体"/>
                <w:color w:val="auto"/>
                <w:szCs w:val="21"/>
                <w:highlight w:val="none"/>
              </w:rPr>
              <w:t>招标人不得对投标文件作出任何评价，不得故意遗漏或者片面摘录，不得在评标委员会对所有偏差定性之前透露存有偏差的投标人名称。</w:t>
            </w:r>
          </w:p>
        </w:tc>
      </w:tr>
      <w:tr w14:paraId="46CB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14" w:type="dxa"/>
            <w:vMerge w:val="restart"/>
            <w:vAlign w:val="center"/>
          </w:tcPr>
          <w:p w14:paraId="45B4CC24">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2.1</w:t>
            </w:r>
          </w:p>
          <w:p w14:paraId="14B02618">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初步评审标准</w:t>
            </w:r>
            <w:r>
              <w:rPr>
                <w:rFonts w:ascii="宋体" w:hAnsi="宋体" w:cs="宋体"/>
                <w:color w:val="auto"/>
                <w:szCs w:val="21"/>
                <w:highlight w:val="none"/>
              </w:rPr>
              <w:t xml:space="preserve">      </w:t>
            </w:r>
            <w:r>
              <w:rPr>
                <w:rFonts w:hint="eastAsia" w:ascii="宋体" w:hAnsi="宋体" w:cs="宋体"/>
                <w:color w:val="auto"/>
                <w:szCs w:val="21"/>
                <w:highlight w:val="none"/>
              </w:rPr>
              <w:t>（第一个信封）</w:t>
            </w:r>
          </w:p>
        </w:tc>
        <w:tc>
          <w:tcPr>
            <w:tcW w:w="939" w:type="dxa"/>
            <w:vMerge w:val="restart"/>
            <w:vAlign w:val="center"/>
          </w:tcPr>
          <w:p w14:paraId="50929691">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2.1.1</w:t>
            </w:r>
          </w:p>
          <w:p w14:paraId="39D9D272">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形式评</w:t>
            </w:r>
          </w:p>
          <w:p w14:paraId="3AE66308">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审标准</w:t>
            </w:r>
          </w:p>
        </w:tc>
        <w:tc>
          <w:tcPr>
            <w:tcW w:w="1910" w:type="dxa"/>
            <w:vAlign w:val="center"/>
          </w:tcPr>
          <w:p w14:paraId="727E26BC">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1.投标文件格式按照招标文件规定</w:t>
            </w:r>
            <w:r>
              <w:rPr>
                <w:rFonts w:hint="eastAsia" w:ascii="宋体" w:hAnsi="宋体" w:cs="宋体"/>
                <w:color w:val="auto"/>
                <w:szCs w:val="21"/>
                <w:highlight w:val="none"/>
              </w:rPr>
              <w:t>的格式</w:t>
            </w:r>
            <w:r>
              <w:rPr>
                <w:rFonts w:ascii="宋体" w:hAnsi="宋体" w:cs="宋体"/>
                <w:color w:val="auto"/>
                <w:szCs w:val="21"/>
                <w:highlight w:val="none"/>
              </w:rPr>
              <w:t>、内容填写</w:t>
            </w:r>
          </w:p>
        </w:tc>
        <w:tc>
          <w:tcPr>
            <w:tcW w:w="5121" w:type="dxa"/>
            <w:vAlign w:val="center"/>
          </w:tcPr>
          <w:p w14:paraId="040195FF">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1）投标函按照招标文件的规定</w:t>
            </w:r>
            <w:r>
              <w:rPr>
                <w:rFonts w:hint="eastAsia" w:ascii="宋体" w:hAnsi="宋体" w:cs="宋体"/>
                <w:color w:val="auto"/>
                <w:szCs w:val="21"/>
                <w:highlight w:val="none"/>
              </w:rPr>
              <w:t>填报</w:t>
            </w:r>
            <w:r>
              <w:rPr>
                <w:rFonts w:ascii="宋体" w:hAnsi="宋体" w:cs="宋体"/>
                <w:color w:val="auto"/>
                <w:szCs w:val="21"/>
                <w:highlight w:val="none"/>
              </w:rPr>
              <w:t>了</w:t>
            </w:r>
            <w:r>
              <w:rPr>
                <w:rFonts w:hint="eastAsia" w:ascii="宋体" w:hAnsi="宋体" w:cs="宋体"/>
                <w:color w:val="auto"/>
                <w:szCs w:val="21"/>
                <w:highlight w:val="none"/>
              </w:rPr>
              <w:t>招标</w:t>
            </w:r>
            <w:r>
              <w:rPr>
                <w:rFonts w:ascii="宋体" w:hAnsi="宋体" w:cs="宋体"/>
                <w:color w:val="auto"/>
                <w:szCs w:val="21"/>
                <w:highlight w:val="none"/>
              </w:rPr>
              <w:t>项目名称、标段号、监理</w:t>
            </w:r>
            <w:r>
              <w:rPr>
                <w:rFonts w:hint="eastAsia" w:ascii="宋体" w:hAnsi="宋体" w:cs="宋体"/>
                <w:color w:val="auto"/>
                <w:szCs w:val="21"/>
                <w:highlight w:val="none"/>
              </w:rPr>
              <w:t>试验室</w:t>
            </w:r>
            <w:r>
              <w:rPr>
                <w:rFonts w:ascii="宋体" w:hAnsi="宋体" w:cs="宋体"/>
                <w:color w:val="auto"/>
                <w:szCs w:val="21"/>
                <w:highlight w:val="none"/>
              </w:rPr>
              <w:t>服务期限</w:t>
            </w:r>
            <w:r>
              <w:rPr>
                <w:rFonts w:hint="eastAsia" w:ascii="宋体" w:hAnsi="宋体" w:cs="宋体"/>
                <w:color w:val="auto"/>
                <w:szCs w:val="21"/>
                <w:highlight w:val="none"/>
                <w:lang w:eastAsia="zh-CN"/>
              </w:rPr>
              <w:t>。</w:t>
            </w:r>
          </w:p>
          <w:p w14:paraId="45B72844">
            <w:pPr>
              <w:pStyle w:val="276"/>
              <w:adjustRightInd w:val="0"/>
              <w:snapToGrid w:val="0"/>
              <w:spacing w:line="400" w:lineRule="exact"/>
              <w:rPr>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2）投标文件组成齐全完整、内容均按规定填写。</w:t>
            </w:r>
          </w:p>
        </w:tc>
      </w:tr>
      <w:tr w14:paraId="70DC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14:paraId="5557666F">
            <w:pPr>
              <w:pStyle w:val="276"/>
              <w:adjustRightInd w:val="0"/>
              <w:snapToGrid w:val="0"/>
              <w:spacing w:line="400" w:lineRule="exact"/>
              <w:jc w:val="center"/>
              <w:rPr>
                <w:rFonts w:ascii="宋体" w:hAnsi="宋体" w:cs="宋体"/>
                <w:color w:val="auto"/>
                <w:szCs w:val="21"/>
                <w:highlight w:val="none"/>
              </w:rPr>
            </w:pPr>
          </w:p>
        </w:tc>
        <w:tc>
          <w:tcPr>
            <w:tcW w:w="939" w:type="dxa"/>
            <w:vMerge w:val="continue"/>
            <w:vAlign w:val="center"/>
          </w:tcPr>
          <w:p w14:paraId="675F5346">
            <w:pPr>
              <w:pStyle w:val="276"/>
              <w:adjustRightInd w:val="0"/>
              <w:snapToGrid w:val="0"/>
              <w:spacing w:line="400" w:lineRule="exact"/>
              <w:jc w:val="center"/>
              <w:rPr>
                <w:rFonts w:ascii="宋体" w:hAnsi="宋体" w:cs="宋体"/>
                <w:color w:val="auto"/>
                <w:szCs w:val="21"/>
                <w:highlight w:val="none"/>
              </w:rPr>
            </w:pPr>
          </w:p>
        </w:tc>
        <w:tc>
          <w:tcPr>
            <w:tcW w:w="1910" w:type="dxa"/>
            <w:vAlign w:val="center"/>
          </w:tcPr>
          <w:p w14:paraId="2FECD103">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．投标文件上法定代表人或其委托代理人的</w:t>
            </w:r>
            <w:r>
              <w:rPr>
                <w:rFonts w:hint="eastAsia" w:ascii="宋体" w:hAnsi="宋体" w:cs="宋体"/>
                <w:color w:val="auto"/>
                <w:szCs w:val="21"/>
                <w:highlight w:val="none"/>
                <w:lang w:val="en-US" w:eastAsia="zh-CN"/>
              </w:rPr>
              <w:t>个人</w:t>
            </w:r>
            <w:r>
              <w:rPr>
                <w:rFonts w:hint="eastAsia" w:ascii="宋体" w:hAnsi="宋体" w:cs="宋体"/>
                <w:color w:val="auto"/>
                <w:szCs w:val="21"/>
                <w:highlight w:val="none"/>
              </w:rPr>
              <w:t>电子签名章或个人电子印章、投标人的单位电子印章盖章齐全，符合招标文件规定</w:t>
            </w:r>
          </w:p>
        </w:tc>
        <w:tc>
          <w:tcPr>
            <w:tcW w:w="5121" w:type="dxa"/>
            <w:vAlign w:val="center"/>
          </w:tcPr>
          <w:p w14:paraId="223674C8">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1）投标函</w:t>
            </w:r>
            <w:r>
              <w:rPr>
                <w:rFonts w:hint="eastAsia" w:ascii="宋体" w:hAnsi="宋体"/>
                <w:color w:val="auto"/>
                <w:szCs w:val="21"/>
                <w:highlight w:val="none"/>
              </w:rPr>
              <w:t>及投标文件格式</w:t>
            </w:r>
            <w:r>
              <w:rPr>
                <w:rFonts w:ascii="宋体" w:hAnsi="宋体" w:cs="宋体"/>
                <w:color w:val="auto"/>
                <w:szCs w:val="21"/>
                <w:highlight w:val="none"/>
              </w:rPr>
              <w:t>中要求盖单位电子印章</w:t>
            </w:r>
            <w:r>
              <w:rPr>
                <w:rFonts w:hint="eastAsia" w:ascii="宋体" w:hAnsi="宋体" w:cs="宋体"/>
                <w:color w:val="auto"/>
                <w:szCs w:val="21"/>
                <w:highlight w:val="none"/>
                <w:lang w:eastAsia="zh-CN"/>
              </w:rPr>
              <w:t>之处</w:t>
            </w:r>
            <w:r>
              <w:rPr>
                <w:rFonts w:ascii="宋体" w:hAnsi="宋体" w:cs="宋体"/>
                <w:color w:val="auto"/>
                <w:szCs w:val="21"/>
                <w:highlight w:val="none"/>
              </w:rPr>
              <w:t>，投标人均应使用</w:t>
            </w:r>
            <w:r>
              <w:rPr>
                <w:rFonts w:hint="eastAsia" w:ascii="宋体" w:hAnsi="宋体" w:cs="宋体"/>
                <w:color w:val="auto"/>
                <w:szCs w:val="21"/>
                <w:highlight w:val="none"/>
              </w:rPr>
              <w:t>单位</w:t>
            </w:r>
            <w:r>
              <w:rPr>
                <w:rFonts w:ascii="宋体" w:hAnsi="宋体" w:cs="宋体"/>
                <w:color w:val="auto"/>
                <w:szCs w:val="21"/>
                <w:highlight w:val="none"/>
              </w:rPr>
              <w:t>CA数字证书加盖投标人的单位电子印章；投标函</w:t>
            </w:r>
            <w:r>
              <w:rPr>
                <w:rFonts w:hint="eastAsia" w:ascii="宋体" w:hAnsi="宋体"/>
                <w:color w:val="auto"/>
                <w:szCs w:val="21"/>
                <w:highlight w:val="none"/>
              </w:rPr>
              <w:t>及投标文件格式</w:t>
            </w:r>
            <w:r>
              <w:rPr>
                <w:rFonts w:ascii="宋体" w:hAnsi="宋体" w:cs="宋体"/>
                <w:color w:val="auto"/>
                <w:szCs w:val="21"/>
                <w:highlight w:val="none"/>
              </w:rPr>
              <w:t>中要求签字</w:t>
            </w:r>
            <w:r>
              <w:rPr>
                <w:rFonts w:hint="eastAsia" w:ascii="宋体" w:hAnsi="宋体" w:cs="宋体"/>
                <w:color w:val="auto"/>
                <w:szCs w:val="21"/>
                <w:highlight w:val="none"/>
                <w:lang w:eastAsia="zh-CN"/>
              </w:rPr>
              <w:t>之处</w:t>
            </w:r>
            <w:r>
              <w:rPr>
                <w:rFonts w:ascii="宋体" w:hAnsi="宋体" w:cs="宋体"/>
                <w:color w:val="auto"/>
                <w:szCs w:val="21"/>
                <w:highlight w:val="none"/>
              </w:rPr>
              <w:t>，投标人均应使用</w:t>
            </w:r>
            <w:r>
              <w:rPr>
                <w:rFonts w:hint="eastAsia" w:ascii="宋体" w:hAnsi="宋体" w:cs="宋体"/>
                <w:color w:val="auto"/>
                <w:szCs w:val="21"/>
                <w:highlight w:val="none"/>
              </w:rPr>
              <w:t>个人</w:t>
            </w:r>
            <w:r>
              <w:rPr>
                <w:rFonts w:ascii="宋体" w:hAnsi="宋体" w:cs="宋体"/>
                <w:color w:val="auto"/>
                <w:szCs w:val="21"/>
                <w:highlight w:val="none"/>
              </w:rPr>
              <w:t>CA数字证书加盖法定代表人或其委托代理人的个人电子签名章或个人电子印章。</w:t>
            </w:r>
          </w:p>
          <w:p w14:paraId="2A858386">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以联合体形式投标的</w:t>
            </w:r>
            <w:r>
              <w:rPr>
                <w:rFonts w:ascii="宋体" w:hAnsi="宋体" w:cs="宋体"/>
                <w:color w:val="auto"/>
                <w:szCs w:val="21"/>
                <w:highlight w:val="none"/>
              </w:rPr>
              <w:t>，由联合体牵头人按</w:t>
            </w:r>
            <w:r>
              <w:rPr>
                <w:rFonts w:hint="eastAsia" w:ascii="宋体" w:hAnsi="宋体" w:cs="宋体"/>
                <w:color w:val="auto"/>
                <w:szCs w:val="21"/>
                <w:highlight w:val="none"/>
              </w:rPr>
              <w:t>上述</w:t>
            </w:r>
            <w:r>
              <w:rPr>
                <w:rFonts w:hint="eastAsia" w:ascii="宋体" w:hAnsi="宋体" w:cs="宋体"/>
                <w:color w:val="auto"/>
                <w:szCs w:val="21"/>
                <w:highlight w:val="none"/>
                <w:lang w:val="en-US" w:eastAsia="zh-CN"/>
              </w:rPr>
              <w:t>规定</w:t>
            </w:r>
            <w:r>
              <w:rPr>
                <w:rFonts w:hint="eastAsia" w:ascii="宋体" w:hAnsi="宋体" w:cs="宋体"/>
                <w:color w:val="auto"/>
                <w:szCs w:val="21"/>
                <w:highlight w:val="none"/>
              </w:rPr>
              <w:t>完成签字、盖章。</w:t>
            </w:r>
          </w:p>
        </w:tc>
      </w:tr>
      <w:tr w14:paraId="6CB4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14:paraId="31CA46A0">
            <w:pPr>
              <w:pStyle w:val="276"/>
              <w:adjustRightInd w:val="0"/>
              <w:snapToGrid w:val="0"/>
              <w:spacing w:line="400" w:lineRule="exact"/>
              <w:jc w:val="center"/>
              <w:rPr>
                <w:rFonts w:ascii="宋体" w:hAnsi="宋体" w:cs="宋体"/>
                <w:color w:val="auto"/>
                <w:szCs w:val="21"/>
                <w:highlight w:val="none"/>
              </w:rPr>
            </w:pPr>
          </w:p>
        </w:tc>
        <w:tc>
          <w:tcPr>
            <w:tcW w:w="939" w:type="dxa"/>
            <w:vMerge w:val="continue"/>
            <w:vAlign w:val="center"/>
          </w:tcPr>
          <w:p w14:paraId="7E49E46F">
            <w:pPr>
              <w:pStyle w:val="276"/>
              <w:adjustRightInd w:val="0"/>
              <w:snapToGrid w:val="0"/>
              <w:spacing w:line="400" w:lineRule="exact"/>
              <w:jc w:val="center"/>
              <w:rPr>
                <w:rFonts w:ascii="宋体" w:hAnsi="宋体" w:cs="宋体"/>
                <w:color w:val="auto"/>
                <w:szCs w:val="21"/>
                <w:highlight w:val="none"/>
              </w:rPr>
            </w:pPr>
          </w:p>
        </w:tc>
        <w:tc>
          <w:tcPr>
            <w:tcW w:w="1910" w:type="dxa"/>
            <w:vAlign w:val="center"/>
          </w:tcPr>
          <w:p w14:paraId="258B8667">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．投标人按照招标文件规定的金额、形式、时效、内容提供了投标保证金</w:t>
            </w:r>
          </w:p>
        </w:tc>
        <w:tc>
          <w:tcPr>
            <w:tcW w:w="5121" w:type="dxa"/>
            <w:vAlign w:val="center"/>
          </w:tcPr>
          <w:p w14:paraId="42BDA654">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1）投标保证金金额符合第二章</w:t>
            </w:r>
            <w:r>
              <w:rPr>
                <w:rFonts w:hint="eastAsia" w:ascii="宋体" w:hAnsi="宋体" w:cs="宋体"/>
                <w:color w:val="auto"/>
                <w:szCs w:val="21"/>
                <w:highlight w:val="none"/>
              </w:rPr>
              <w:t>“</w:t>
            </w:r>
            <w:r>
              <w:rPr>
                <w:rFonts w:ascii="宋体" w:hAnsi="宋体" w:cs="宋体"/>
                <w:color w:val="auto"/>
                <w:szCs w:val="21"/>
                <w:highlight w:val="none"/>
              </w:rPr>
              <w:t>投标人须知</w:t>
            </w:r>
            <w:r>
              <w:rPr>
                <w:rFonts w:hint="eastAsia" w:ascii="宋体" w:hAnsi="宋体" w:cs="宋体"/>
                <w:color w:val="auto"/>
                <w:szCs w:val="21"/>
                <w:highlight w:val="none"/>
              </w:rPr>
              <w:t>”前附表</w:t>
            </w:r>
            <w:r>
              <w:rPr>
                <w:rFonts w:ascii="宋体" w:hAnsi="宋体" w:cs="宋体"/>
                <w:color w:val="auto"/>
                <w:szCs w:val="21"/>
                <w:highlight w:val="none"/>
              </w:rPr>
              <w:t>第3.4.1</w:t>
            </w:r>
            <w:r>
              <w:rPr>
                <w:rFonts w:hint="eastAsia" w:ascii="宋体" w:hAnsi="宋体" w:cs="宋体"/>
                <w:color w:val="auto"/>
                <w:szCs w:val="21"/>
                <w:highlight w:val="none"/>
              </w:rPr>
              <w:t>项</w:t>
            </w:r>
            <w:r>
              <w:rPr>
                <w:rFonts w:ascii="宋体" w:hAnsi="宋体" w:cs="宋体"/>
                <w:color w:val="auto"/>
                <w:szCs w:val="21"/>
                <w:highlight w:val="none"/>
              </w:rPr>
              <w:t>要求，且投标保证金有效期不少于投标有效期</w:t>
            </w:r>
            <w:r>
              <w:rPr>
                <w:rFonts w:hint="eastAsia" w:ascii="宋体" w:hAnsi="宋体" w:cs="宋体"/>
                <w:color w:val="auto"/>
                <w:szCs w:val="21"/>
                <w:highlight w:val="none"/>
                <w:lang w:eastAsia="zh-CN"/>
              </w:rPr>
              <w:t>。</w:t>
            </w:r>
            <w:r>
              <w:rPr>
                <w:rFonts w:ascii="宋体" w:hAnsi="宋体" w:cs="宋体"/>
                <w:color w:val="auto"/>
                <w:szCs w:val="21"/>
                <w:highlight w:val="none"/>
              </w:rPr>
              <w:t xml:space="preserve"> </w:t>
            </w:r>
          </w:p>
          <w:p w14:paraId="246249CD">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2）采用现金或支票形式担保，投标保证金由投标人的基本账户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或基本存款账户</w:t>
            </w:r>
            <w:r>
              <w:rPr>
                <w:rFonts w:hint="eastAsia" w:ascii="宋体" w:hAnsi="宋体" w:cs="宋体"/>
                <w:color w:val="auto"/>
                <w:szCs w:val="21"/>
                <w:highlight w:val="none"/>
                <w:lang w:eastAsia="zh-CN"/>
              </w:rPr>
              <w:t>）</w:t>
            </w:r>
            <w:r>
              <w:rPr>
                <w:rFonts w:ascii="宋体" w:hAnsi="宋体" w:cs="宋体"/>
                <w:color w:val="auto"/>
                <w:szCs w:val="21"/>
                <w:highlight w:val="none"/>
              </w:rPr>
              <w:t>汇出，并在规定的时间到达招标人指定账户</w:t>
            </w:r>
            <w:r>
              <w:rPr>
                <w:rFonts w:hint="eastAsia" w:ascii="宋体" w:hAnsi="宋体" w:cs="宋体"/>
                <w:color w:val="auto"/>
                <w:szCs w:val="21"/>
                <w:highlight w:val="none"/>
                <w:lang w:eastAsia="zh-CN"/>
              </w:rPr>
              <w:t>。</w:t>
            </w:r>
          </w:p>
          <w:p w14:paraId="01689F91">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3）采用银行保函，银行保函的格式、开具保函的银行级别、银行保函有效期及银行保函提交均满足第二章</w:t>
            </w:r>
            <w:r>
              <w:rPr>
                <w:rFonts w:hint="eastAsia" w:ascii="宋体" w:hAnsi="宋体" w:cs="宋体"/>
                <w:color w:val="auto"/>
                <w:szCs w:val="21"/>
                <w:highlight w:val="none"/>
              </w:rPr>
              <w:t>“</w:t>
            </w:r>
            <w:r>
              <w:rPr>
                <w:rFonts w:ascii="宋体" w:hAnsi="宋体" w:cs="宋体"/>
                <w:color w:val="auto"/>
                <w:szCs w:val="21"/>
                <w:highlight w:val="none"/>
              </w:rPr>
              <w:t>投标人须知</w:t>
            </w:r>
            <w:r>
              <w:rPr>
                <w:rFonts w:hint="eastAsia" w:ascii="宋体" w:hAnsi="宋体" w:cs="宋体"/>
                <w:color w:val="auto"/>
                <w:szCs w:val="21"/>
                <w:highlight w:val="none"/>
              </w:rPr>
              <w:t>”</w:t>
            </w:r>
            <w:r>
              <w:rPr>
                <w:rFonts w:ascii="宋体" w:hAnsi="宋体" w:cs="宋体"/>
                <w:color w:val="auto"/>
                <w:szCs w:val="21"/>
                <w:highlight w:val="none"/>
              </w:rPr>
              <w:t>前附表第3.4.1</w:t>
            </w:r>
            <w:r>
              <w:rPr>
                <w:rFonts w:hint="eastAsia" w:ascii="宋体" w:hAnsi="宋体" w:cs="宋体"/>
                <w:color w:val="auto"/>
                <w:szCs w:val="21"/>
                <w:highlight w:val="none"/>
              </w:rPr>
              <w:t>项</w:t>
            </w:r>
            <w:r>
              <w:rPr>
                <w:rFonts w:ascii="宋体" w:hAnsi="宋体" w:cs="宋体"/>
                <w:color w:val="auto"/>
                <w:szCs w:val="21"/>
                <w:highlight w:val="none"/>
              </w:rPr>
              <w:t>要求，且其提交的银行保函内容不得作出降低担保效力的实质性修改</w:t>
            </w:r>
            <w:r>
              <w:rPr>
                <w:rFonts w:hint="eastAsia" w:ascii="宋体" w:hAnsi="宋体" w:cs="宋体"/>
                <w:color w:val="auto"/>
                <w:szCs w:val="21"/>
                <w:highlight w:val="none"/>
                <w:lang w:eastAsia="zh-CN"/>
              </w:rPr>
              <w:t>。</w:t>
            </w:r>
          </w:p>
          <w:p w14:paraId="1C8927C5">
            <w:pPr>
              <w:pStyle w:val="276"/>
              <w:adjustRightInd w:val="0"/>
              <w:snapToGrid w:val="0"/>
              <w:spacing w:line="400" w:lineRule="exact"/>
              <w:rPr>
                <w:rFonts w:ascii="宋体" w:hAnsi="宋体" w:cs="宋体"/>
                <w:color w:val="auto"/>
                <w:szCs w:val="21"/>
                <w:highlight w:val="none"/>
                <w:u w:val="singl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4）若采用上述情形以外的形式提交投标保证金的，应符合的要求</w:t>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ascii="宋体" w:hAnsi="宋体" w:cs="宋体"/>
                <w:color w:val="auto"/>
                <w:szCs w:val="21"/>
                <w:highlight w:val="none"/>
              </w:rPr>
              <w:t>。</w:t>
            </w:r>
          </w:p>
          <w:p w14:paraId="1597609C">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lang w:val="en-US" w:eastAsia="zh-CN"/>
              </w:rPr>
              <w:t>以</w:t>
            </w:r>
            <w:r>
              <w:rPr>
                <w:rFonts w:ascii="宋体" w:hAnsi="宋体" w:cs="宋体"/>
                <w:color w:val="auto"/>
                <w:szCs w:val="21"/>
                <w:highlight w:val="none"/>
              </w:rPr>
              <w:t>联合体形式投标的，投标保证金应由联合体牵头人提交。</w:t>
            </w:r>
          </w:p>
        </w:tc>
      </w:tr>
      <w:tr w14:paraId="0F173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restart"/>
            <w:vAlign w:val="center"/>
          </w:tcPr>
          <w:p w14:paraId="081F3B91">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2.1</w:t>
            </w:r>
          </w:p>
          <w:p w14:paraId="2649A57E">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初步评审标准</w:t>
            </w:r>
            <w:r>
              <w:rPr>
                <w:rFonts w:ascii="宋体" w:hAnsi="宋体" w:cs="宋体"/>
                <w:color w:val="auto"/>
                <w:szCs w:val="21"/>
                <w:highlight w:val="none"/>
              </w:rPr>
              <w:t xml:space="preserve">      </w:t>
            </w:r>
            <w:r>
              <w:rPr>
                <w:rFonts w:hint="eastAsia" w:ascii="宋体" w:hAnsi="宋体" w:cs="宋体"/>
                <w:color w:val="auto"/>
                <w:szCs w:val="21"/>
                <w:highlight w:val="none"/>
              </w:rPr>
              <w:t>（第一个信封）</w:t>
            </w:r>
          </w:p>
        </w:tc>
        <w:tc>
          <w:tcPr>
            <w:tcW w:w="939" w:type="dxa"/>
            <w:vMerge w:val="restart"/>
            <w:vAlign w:val="center"/>
          </w:tcPr>
          <w:p w14:paraId="482F5A6D">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2.1.1</w:t>
            </w:r>
          </w:p>
          <w:p w14:paraId="41ABAB43">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形式评</w:t>
            </w:r>
          </w:p>
          <w:p w14:paraId="09DA9BDC">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审标准</w:t>
            </w:r>
          </w:p>
        </w:tc>
        <w:tc>
          <w:tcPr>
            <w:tcW w:w="1910" w:type="dxa"/>
            <w:tcBorders>
              <w:bottom w:val="single" w:color="auto" w:sz="4" w:space="0"/>
            </w:tcBorders>
            <w:vAlign w:val="center"/>
          </w:tcPr>
          <w:p w14:paraId="771FA026">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．如由投标人法定代表人的委托代理人签署投标文件的，提供的相关证明材料符合招标文件要求（</w:t>
            </w:r>
            <w:r>
              <w:rPr>
                <w:rFonts w:hint="eastAsia"/>
                <w:color w:val="auto"/>
                <w:szCs w:val="21"/>
                <w:highlight w:val="none"/>
              </w:rPr>
              <w:t>本</w:t>
            </w:r>
            <w:r>
              <w:rPr>
                <w:rFonts w:hint="eastAsia"/>
                <w:color w:val="auto"/>
                <w:szCs w:val="21"/>
                <w:highlight w:val="none"/>
                <w:lang w:val="en-US" w:eastAsia="zh-CN"/>
              </w:rPr>
              <w:t>目</w:t>
            </w:r>
            <w:r>
              <w:rPr>
                <w:rFonts w:hint="eastAsia"/>
                <w:color w:val="auto"/>
                <w:szCs w:val="21"/>
                <w:highlight w:val="none"/>
              </w:rPr>
              <w:t>适用于如果投标文件由投标人法定代表人的委托代理人签署的情形</w:t>
            </w:r>
            <w:r>
              <w:rPr>
                <w:rFonts w:hint="eastAsia" w:ascii="宋体" w:hAnsi="宋体" w:cs="宋体"/>
                <w:color w:val="auto"/>
                <w:szCs w:val="21"/>
                <w:highlight w:val="none"/>
              </w:rPr>
              <w:t>）</w:t>
            </w:r>
          </w:p>
        </w:tc>
        <w:tc>
          <w:tcPr>
            <w:tcW w:w="5121" w:type="dxa"/>
            <w:tcBorders>
              <w:bottom w:val="single" w:color="auto" w:sz="4" w:space="0"/>
            </w:tcBorders>
            <w:vAlign w:val="center"/>
          </w:tcPr>
          <w:p w14:paraId="507C6D68">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1）提交了授权委托书</w:t>
            </w:r>
            <w:r>
              <w:rPr>
                <w:rFonts w:hint="eastAsia" w:ascii="宋体" w:hAnsi="宋体" w:cs="宋体"/>
                <w:color w:val="auto"/>
                <w:szCs w:val="21"/>
                <w:highlight w:val="none"/>
                <w:lang w:eastAsia="zh-CN"/>
              </w:rPr>
              <w:t>。</w:t>
            </w:r>
          </w:p>
          <w:p w14:paraId="122F2E7D">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2）授权委托书上要求盖单位电子印章</w:t>
            </w:r>
            <w:r>
              <w:rPr>
                <w:rFonts w:hint="eastAsia" w:ascii="宋体" w:hAnsi="宋体" w:cs="宋体"/>
                <w:color w:val="auto"/>
                <w:szCs w:val="21"/>
                <w:highlight w:val="none"/>
                <w:lang w:eastAsia="zh-CN"/>
              </w:rPr>
              <w:t>之处</w:t>
            </w:r>
            <w:r>
              <w:rPr>
                <w:rFonts w:ascii="宋体" w:hAnsi="宋体" w:cs="宋体"/>
                <w:color w:val="auto"/>
                <w:szCs w:val="21"/>
                <w:highlight w:val="none"/>
              </w:rPr>
              <w:t>，投标人均应使用</w:t>
            </w:r>
            <w:r>
              <w:rPr>
                <w:rFonts w:hint="eastAsia" w:ascii="宋体" w:hAnsi="宋体" w:cs="宋体"/>
                <w:color w:val="auto"/>
                <w:szCs w:val="21"/>
                <w:highlight w:val="none"/>
              </w:rPr>
              <w:t>单位</w:t>
            </w:r>
            <w:r>
              <w:rPr>
                <w:rFonts w:ascii="宋体" w:hAnsi="宋体" w:cs="宋体"/>
                <w:color w:val="auto"/>
                <w:szCs w:val="21"/>
                <w:highlight w:val="none"/>
              </w:rPr>
              <w:t>CA数字证书加盖投标人的单位电子印章；要求法定代表人签字</w:t>
            </w:r>
            <w:r>
              <w:rPr>
                <w:rFonts w:hint="eastAsia" w:ascii="宋体" w:hAnsi="宋体" w:cs="宋体"/>
                <w:color w:val="auto"/>
                <w:szCs w:val="21"/>
                <w:highlight w:val="none"/>
                <w:lang w:eastAsia="zh-CN"/>
              </w:rPr>
              <w:t>之处</w:t>
            </w:r>
            <w:r>
              <w:rPr>
                <w:rFonts w:ascii="宋体" w:hAnsi="宋体" w:cs="宋体"/>
                <w:color w:val="auto"/>
                <w:szCs w:val="21"/>
                <w:highlight w:val="none"/>
              </w:rPr>
              <w:t>，投标人均应使用</w:t>
            </w:r>
            <w:r>
              <w:rPr>
                <w:rFonts w:hint="eastAsia" w:ascii="宋体" w:hAnsi="宋体" w:cs="宋体"/>
                <w:color w:val="auto"/>
                <w:szCs w:val="21"/>
                <w:highlight w:val="none"/>
              </w:rPr>
              <w:t>个人</w:t>
            </w:r>
            <w:r>
              <w:rPr>
                <w:rFonts w:ascii="宋体" w:hAnsi="宋体" w:cs="宋体"/>
                <w:color w:val="auto"/>
                <w:szCs w:val="21"/>
                <w:highlight w:val="none"/>
              </w:rPr>
              <w:t>CA数字证书加盖投标人法定代表人的个人电子签名章或个人电子印章；要求委托代理人签字</w:t>
            </w:r>
            <w:r>
              <w:rPr>
                <w:rFonts w:hint="eastAsia" w:ascii="宋体" w:hAnsi="宋体" w:cs="宋体"/>
                <w:color w:val="auto"/>
                <w:szCs w:val="21"/>
                <w:highlight w:val="none"/>
                <w:lang w:val="en-US" w:eastAsia="zh-CN"/>
              </w:rPr>
              <w:t>之处</w:t>
            </w:r>
            <w:r>
              <w:rPr>
                <w:rFonts w:hint="eastAsia" w:ascii="宋体" w:hAnsi="宋体" w:cs="宋体"/>
                <w:color w:val="auto"/>
                <w:szCs w:val="21"/>
                <w:highlight w:val="none"/>
                <w:lang w:eastAsia="zh-CN"/>
              </w:rPr>
              <w:t>，</w:t>
            </w:r>
            <w:r>
              <w:rPr>
                <w:rFonts w:asciiTheme="minorEastAsia" w:hAnsiTheme="minorEastAsia" w:eastAsiaTheme="minorEastAsia"/>
                <w:color w:val="auto"/>
                <w:szCs w:val="21"/>
                <w:highlight w:val="none"/>
              </w:rPr>
              <w:t>投标人均应使用</w:t>
            </w:r>
            <w:r>
              <w:rPr>
                <w:rFonts w:hint="eastAsia" w:asciiTheme="minorEastAsia" w:hAnsiTheme="minorEastAsia" w:eastAsiaTheme="minorEastAsia"/>
                <w:color w:val="auto"/>
                <w:szCs w:val="21"/>
                <w:highlight w:val="none"/>
                <w:lang w:val="en-US" w:eastAsia="zh-CN"/>
              </w:rPr>
              <w:t>个人</w:t>
            </w:r>
            <w:r>
              <w:rPr>
                <w:rFonts w:asciiTheme="minorEastAsia" w:hAnsiTheme="minorEastAsia" w:eastAsiaTheme="minorEastAsia"/>
                <w:color w:val="auto"/>
                <w:szCs w:val="21"/>
                <w:highlight w:val="none"/>
              </w:rPr>
              <w:t>CA</w:t>
            </w:r>
            <w:r>
              <w:rPr>
                <w:rFonts w:hint="eastAsia" w:asciiTheme="minorEastAsia" w:hAnsiTheme="minorEastAsia" w:eastAsiaTheme="minorEastAsia"/>
                <w:color w:val="auto"/>
                <w:szCs w:val="21"/>
                <w:highlight w:val="none"/>
              </w:rPr>
              <w:t>数字证书</w:t>
            </w:r>
            <w:r>
              <w:rPr>
                <w:rFonts w:ascii="宋体" w:hAnsi="宋体" w:cs="宋体"/>
                <w:color w:val="auto"/>
                <w:szCs w:val="21"/>
                <w:highlight w:val="none"/>
              </w:rPr>
              <w:t>加盖委托代理人个人电子签名章或个人电子印章</w:t>
            </w:r>
            <w:r>
              <w:rPr>
                <w:rFonts w:hint="eastAsia" w:ascii="宋体" w:hAnsi="宋体" w:cs="宋体"/>
                <w:color w:val="auto"/>
                <w:szCs w:val="21"/>
                <w:highlight w:val="none"/>
                <w:lang w:eastAsia="zh-CN"/>
              </w:rPr>
              <w:t>。</w:t>
            </w:r>
          </w:p>
          <w:p w14:paraId="6E9DA26B">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3）授权委托书中委托代理人只能是一个人，且不能再授予他人</w:t>
            </w:r>
            <w:r>
              <w:rPr>
                <w:rFonts w:hint="eastAsia" w:ascii="宋体" w:hAnsi="宋体" w:cs="宋体"/>
                <w:color w:val="auto"/>
                <w:szCs w:val="21"/>
                <w:highlight w:val="none"/>
                <w:lang w:eastAsia="zh-CN"/>
              </w:rPr>
              <w:t>。</w:t>
            </w:r>
          </w:p>
          <w:p w14:paraId="25EA44DF">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4）授权委托书后应附法定代表人和委托代理人身份证原件原色扫描件，且身份证原件原色扫描件应清晰、有效</w:t>
            </w:r>
            <w:r>
              <w:rPr>
                <w:rFonts w:hint="eastAsia" w:ascii="宋体" w:hAnsi="宋体" w:cs="宋体"/>
                <w:color w:val="auto"/>
                <w:szCs w:val="21"/>
                <w:highlight w:val="none"/>
                <w:lang w:eastAsia="zh-CN"/>
              </w:rPr>
              <w:t>。</w:t>
            </w:r>
          </w:p>
          <w:p w14:paraId="3CBC1670">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）以联合体形式投标的，其授权委托书应由联合体牵头人按上述规定出具。</w:t>
            </w:r>
          </w:p>
        </w:tc>
      </w:tr>
      <w:tr w14:paraId="14ADD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14:paraId="7C288872">
            <w:pPr>
              <w:pStyle w:val="276"/>
              <w:adjustRightInd w:val="0"/>
              <w:snapToGrid w:val="0"/>
              <w:spacing w:line="400" w:lineRule="exact"/>
              <w:jc w:val="center"/>
              <w:rPr>
                <w:rFonts w:ascii="宋体" w:hAnsi="宋体" w:cs="宋体"/>
                <w:color w:val="auto"/>
                <w:szCs w:val="21"/>
                <w:highlight w:val="none"/>
              </w:rPr>
            </w:pPr>
          </w:p>
        </w:tc>
        <w:tc>
          <w:tcPr>
            <w:tcW w:w="939" w:type="dxa"/>
            <w:vMerge w:val="continue"/>
            <w:vAlign w:val="center"/>
          </w:tcPr>
          <w:p w14:paraId="674FF6FE">
            <w:pPr>
              <w:pStyle w:val="276"/>
              <w:adjustRightInd w:val="0"/>
              <w:snapToGrid w:val="0"/>
              <w:spacing w:line="400" w:lineRule="exact"/>
              <w:jc w:val="center"/>
              <w:rPr>
                <w:rFonts w:ascii="宋体" w:hAnsi="宋体" w:cs="宋体"/>
                <w:color w:val="auto"/>
                <w:szCs w:val="21"/>
                <w:highlight w:val="none"/>
              </w:rPr>
            </w:pPr>
          </w:p>
        </w:tc>
        <w:tc>
          <w:tcPr>
            <w:tcW w:w="1910" w:type="dxa"/>
            <w:tcBorders>
              <w:bottom w:val="single" w:color="auto" w:sz="4" w:space="0"/>
            </w:tcBorders>
            <w:vAlign w:val="center"/>
          </w:tcPr>
          <w:p w14:paraId="1AD10DFB">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．投标人法定代表人若亲自签署投标文件的，提供的相关证明材料符合招标文件要求（</w:t>
            </w:r>
            <w:r>
              <w:rPr>
                <w:rFonts w:hint="eastAsia"/>
                <w:color w:val="auto"/>
                <w:szCs w:val="21"/>
                <w:highlight w:val="none"/>
              </w:rPr>
              <w:t>本</w:t>
            </w:r>
            <w:r>
              <w:rPr>
                <w:rFonts w:hint="eastAsia"/>
                <w:color w:val="auto"/>
                <w:szCs w:val="21"/>
                <w:highlight w:val="none"/>
                <w:lang w:val="en-US" w:eastAsia="zh-CN"/>
              </w:rPr>
              <w:t>目</w:t>
            </w:r>
            <w:r>
              <w:rPr>
                <w:rFonts w:hint="eastAsia"/>
                <w:color w:val="auto"/>
                <w:szCs w:val="21"/>
                <w:highlight w:val="none"/>
              </w:rPr>
              <w:t>适用于如果投标文件由投标人法定代表人签署的情形</w:t>
            </w:r>
            <w:r>
              <w:rPr>
                <w:rFonts w:hint="eastAsia" w:ascii="宋体" w:hAnsi="宋体" w:cs="宋体"/>
                <w:color w:val="auto"/>
                <w:szCs w:val="21"/>
                <w:highlight w:val="none"/>
              </w:rPr>
              <w:t>）</w:t>
            </w:r>
          </w:p>
        </w:tc>
        <w:tc>
          <w:tcPr>
            <w:tcW w:w="5121" w:type="dxa"/>
            <w:tcBorders>
              <w:bottom w:val="single" w:color="auto" w:sz="4" w:space="0"/>
            </w:tcBorders>
            <w:vAlign w:val="center"/>
          </w:tcPr>
          <w:p w14:paraId="4FC587A3">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1）提供</w:t>
            </w:r>
            <w:r>
              <w:rPr>
                <w:rFonts w:hint="eastAsia" w:ascii="宋体" w:hAnsi="宋体" w:cs="宋体"/>
                <w:color w:val="auto"/>
                <w:szCs w:val="21"/>
                <w:highlight w:val="none"/>
                <w:lang w:val="en-US" w:eastAsia="zh-CN"/>
              </w:rPr>
              <w:t>了</w:t>
            </w:r>
            <w:r>
              <w:rPr>
                <w:rFonts w:ascii="宋体" w:hAnsi="宋体" w:cs="宋体"/>
                <w:color w:val="auto"/>
                <w:szCs w:val="21"/>
                <w:highlight w:val="none"/>
              </w:rPr>
              <w:t>法定代表人身份证明</w:t>
            </w:r>
            <w:r>
              <w:rPr>
                <w:rFonts w:hint="eastAsia" w:ascii="宋体" w:hAnsi="宋体" w:cs="宋体"/>
                <w:color w:val="auto"/>
                <w:szCs w:val="21"/>
                <w:highlight w:val="none"/>
                <w:lang w:eastAsia="zh-CN"/>
              </w:rPr>
              <w:t>。</w:t>
            </w:r>
            <w:r>
              <w:rPr>
                <w:rFonts w:ascii="宋体" w:hAnsi="宋体" w:cs="宋体"/>
                <w:color w:val="auto"/>
                <w:szCs w:val="21"/>
                <w:highlight w:val="none"/>
              </w:rPr>
              <w:t xml:space="preserve"> </w:t>
            </w:r>
          </w:p>
          <w:p w14:paraId="4F175184">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2）法定代表人身份证明上要求盖单位电子印章</w:t>
            </w:r>
            <w:r>
              <w:rPr>
                <w:rFonts w:hint="eastAsia" w:ascii="宋体" w:hAnsi="宋体" w:cs="宋体"/>
                <w:color w:val="auto"/>
                <w:szCs w:val="21"/>
                <w:highlight w:val="none"/>
                <w:lang w:eastAsia="zh-CN"/>
              </w:rPr>
              <w:t>之处</w:t>
            </w:r>
            <w:r>
              <w:rPr>
                <w:rFonts w:ascii="宋体" w:hAnsi="宋体" w:cs="宋体"/>
                <w:color w:val="auto"/>
                <w:szCs w:val="21"/>
                <w:highlight w:val="none"/>
              </w:rPr>
              <w:t>，投标人均应使用</w:t>
            </w:r>
            <w:r>
              <w:rPr>
                <w:rFonts w:hint="eastAsia" w:ascii="宋体" w:hAnsi="宋体" w:cs="宋体"/>
                <w:color w:val="auto"/>
                <w:szCs w:val="21"/>
                <w:highlight w:val="none"/>
              </w:rPr>
              <w:t>单位</w:t>
            </w:r>
            <w:r>
              <w:rPr>
                <w:rFonts w:ascii="宋体" w:hAnsi="宋体" w:cs="宋体"/>
                <w:color w:val="auto"/>
                <w:szCs w:val="21"/>
                <w:highlight w:val="none"/>
              </w:rPr>
              <w:t>CA数字证书加盖投标人的单位电子印章；要求法定代表人签字</w:t>
            </w:r>
            <w:r>
              <w:rPr>
                <w:rFonts w:hint="eastAsia" w:ascii="宋体" w:hAnsi="宋体" w:cs="宋体"/>
                <w:color w:val="auto"/>
                <w:szCs w:val="21"/>
                <w:highlight w:val="none"/>
                <w:lang w:eastAsia="zh-CN"/>
              </w:rPr>
              <w:t>之处</w:t>
            </w:r>
            <w:r>
              <w:rPr>
                <w:rFonts w:ascii="宋体" w:hAnsi="宋体" w:cs="宋体"/>
                <w:color w:val="auto"/>
                <w:szCs w:val="21"/>
                <w:highlight w:val="none"/>
              </w:rPr>
              <w:t>，投标人均应使用</w:t>
            </w:r>
            <w:r>
              <w:rPr>
                <w:rFonts w:hint="eastAsia" w:ascii="宋体" w:hAnsi="宋体" w:cs="宋体"/>
                <w:color w:val="auto"/>
                <w:szCs w:val="21"/>
                <w:highlight w:val="none"/>
              </w:rPr>
              <w:t>个人</w:t>
            </w:r>
            <w:r>
              <w:rPr>
                <w:rFonts w:ascii="宋体" w:hAnsi="宋体" w:cs="宋体"/>
                <w:color w:val="auto"/>
                <w:szCs w:val="21"/>
                <w:highlight w:val="none"/>
              </w:rPr>
              <w:t>CA数字证书加盖投标人法定代表人的个人电子签名章或个人电子印章</w:t>
            </w:r>
            <w:r>
              <w:rPr>
                <w:rFonts w:hint="eastAsia" w:ascii="宋体" w:hAnsi="宋体" w:cs="宋体"/>
                <w:color w:val="auto"/>
                <w:szCs w:val="21"/>
                <w:highlight w:val="none"/>
                <w:lang w:eastAsia="zh-CN"/>
              </w:rPr>
              <w:t>。</w:t>
            </w:r>
            <w:r>
              <w:rPr>
                <w:rFonts w:ascii="宋体" w:hAnsi="宋体" w:cs="宋体"/>
                <w:color w:val="auto"/>
                <w:szCs w:val="21"/>
                <w:highlight w:val="none"/>
              </w:rPr>
              <w:t xml:space="preserve"> </w:t>
            </w:r>
          </w:p>
          <w:p w14:paraId="4AD5BCE7">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3）法定代表人身份证明后应附法定代表人身份证原件原色扫描件</w:t>
            </w:r>
            <w:r>
              <w:rPr>
                <w:rFonts w:hint="eastAsia" w:ascii="宋体" w:hAnsi="宋体" w:cs="宋体"/>
                <w:color w:val="auto"/>
                <w:szCs w:val="21"/>
                <w:highlight w:val="none"/>
              </w:rPr>
              <w:t>，且身份证原件原色扫描件应清晰、有效</w:t>
            </w:r>
            <w:r>
              <w:rPr>
                <w:rFonts w:hint="eastAsia" w:ascii="宋体" w:hAnsi="宋体" w:cs="宋体"/>
                <w:color w:val="auto"/>
                <w:szCs w:val="21"/>
                <w:highlight w:val="none"/>
                <w:lang w:eastAsia="zh-CN"/>
              </w:rPr>
              <w:t>。</w:t>
            </w:r>
          </w:p>
          <w:p w14:paraId="7A06633F">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）以联合体形式投标的，应由联合体牵头人按上述规定出具。</w:t>
            </w:r>
          </w:p>
        </w:tc>
      </w:tr>
      <w:tr w14:paraId="78D1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14:paraId="7EA67579">
            <w:pPr>
              <w:pStyle w:val="276"/>
              <w:adjustRightInd w:val="0"/>
              <w:snapToGrid w:val="0"/>
              <w:spacing w:line="400" w:lineRule="exact"/>
              <w:jc w:val="center"/>
              <w:rPr>
                <w:rFonts w:ascii="宋体" w:hAnsi="宋体" w:cs="宋体"/>
                <w:color w:val="auto"/>
                <w:szCs w:val="21"/>
                <w:highlight w:val="none"/>
              </w:rPr>
            </w:pPr>
          </w:p>
        </w:tc>
        <w:tc>
          <w:tcPr>
            <w:tcW w:w="939" w:type="dxa"/>
            <w:vMerge w:val="continue"/>
            <w:vAlign w:val="center"/>
          </w:tcPr>
          <w:p w14:paraId="31635372">
            <w:pPr>
              <w:pStyle w:val="276"/>
              <w:adjustRightInd w:val="0"/>
              <w:snapToGrid w:val="0"/>
              <w:spacing w:line="400" w:lineRule="exact"/>
              <w:jc w:val="center"/>
              <w:rPr>
                <w:rFonts w:ascii="宋体" w:hAnsi="宋体" w:cs="宋体"/>
                <w:color w:val="auto"/>
                <w:szCs w:val="21"/>
                <w:highlight w:val="none"/>
              </w:rPr>
            </w:pPr>
          </w:p>
        </w:tc>
        <w:tc>
          <w:tcPr>
            <w:tcW w:w="1910" w:type="dxa"/>
            <w:tcBorders>
              <w:bottom w:val="single" w:color="auto" w:sz="4" w:space="0"/>
            </w:tcBorders>
            <w:vAlign w:val="center"/>
          </w:tcPr>
          <w:p w14:paraId="1CB13CEA">
            <w:pPr>
              <w:pStyle w:val="276"/>
              <w:adjustRightInd w:val="0"/>
              <w:snapToGrid w:val="0"/>
              <w:spacing w:line="400" w:lineRule="exact"/>
              <w:rPr>
                <w:rFonts w:ascii="宋体" w:hAnsi="宋体" w:cs="宋体"/>
                <w:color w:val="auto"/>
                <w:szCs w:val="21"/>
                <w:highlight w:val="none"/>
              </w:rPr>
            </w:pPr>
            <w:r>
              <w:rPr>
                <w:rFonts w:hint="eastAsia"/>
                <w:b/>
                <w:color w:val="auto"/>
                <w:szCs w:val="21"/>
                <w:highlight w:val="none"/>
              </w:rPr>
              <w:t>□</w:t>
            </w:r>
            <w:r>
              <w:rPr>
                <w:color w:val="auto"/>
                <w:szCs w:val="21"/>
                <w:highlight w:val="none"/>
              </w:rPr>
              <w:t xml:space="preserve"> </w:t>
            </w:r>
            <w:r>
              <w:rPr>
                <w:rFonts w:ascii="宋体" w:hAnsi="宋体"/>
                <w:color w:val="auto"/>
                <w:kern w:val="0"/>
                <w:szCs w:val="21"/>
                <w:highlight w:val="none"/>
              </w:rPr>
              <w:t>6</w:t>
            </w:r>
            <w:r>
              <w:rPr>
                <w:rFonts w:hint="eastAsia" w:ascii="宋体" w:hAnsi="宋体"/>
                <w:color w:val="auto"/>
                <w:kern w:val="0"/>
                <w:szCs w:val="21"/>
                <w:highlight w:val="none"/>
              </w:rPr>
              <w:t>．投标人以联合体形式投标时，联合体协议书满足招标文件的要求</w:t>
            </w:r>
          </w:p>
        </w:tc>
        <w:tc>
          <w:tcPr>
            <w:tcW w:w="5121" w:type="dxa"/>
            <w:tcBorders>
              <w:bottom w:val="single" w:color="auto" w:sz="4" w:space="0"/>
            </w:tcBorders>
            <w:vAlign w:val="center"/>
          </w:tcPr>
          <w:p w14:paraId="7CF4E5B7">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按招标文件提供的格式和要求签订联合体协议书，且联合体协议书中的签字、盖章符合第七章“投标文件格式”要求。</w:t>
            </w:r>
          </w:p>
        </w:tc>
      </w:tr>
      <w:tr w14:paraId="0475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jc w:val="center"/>
        </w:trPr>
        <w:tc>
          <w:tcPr>
            <w:tcW w:w="814" w:type="dxa"/>
            <w:vMerge w:val="continue"/>
            <w:vAlign w:val="center"/>
          </w:tcPr>
          <w:p w14:paraId="6A011F0C">
            <w:pPr>
              <w:pStyle w:val="276"/>
              <w:adjustRightInd w:val="0"/>
              <w:snapToGrid w:val="0"/>
              <w:spacing w:line="400" w:lineRule="exact"/>
              <w:jc w:val="center"/>
              <w:rPr>
                <w:rFonts w:ascii="宋体" w:hAnsi="宋体" w:cs="宋体"/>
                <w:color w:val="auto"/>
                <w:szCs w:val="21"/>
                <w:highlight w:val="none"/>
              </w:rPr>
            </w:pPr>
          </w:p>
        </w:tc>
        <w:tc>
          <w:tcPr>
            <w:tcW w:w="939" w:type="dxa"/>
            <w:vMerge w:val="continue"/>
            <w:vAlign w:val="center"/>
          </w:tcPr>
          <w:p w14:paraId="17A87353">
            <w:pPr>
              <w:pStyle w:val="276"/>
              <w:adjustRightInd w:val="0"/>
              <w:snapToGrid w:val="0"/>
              <w:spacing w:line="400" w:lineRule="exact"/>
              <w:jc w:val="center"/>
              <w:rPr>
                <w:rFonts w:ascii="宋体" w:hAnsi="宋体" w:cs="宋体"/>
                <w:color w:val="auto"/>
                <w:szCs w:val="21"/>
                <w:highlight w:val="none"/>
              </w:rPr>
            </w:pPr>
          </w:p>
        </w:tc>
        <w:tc>
          <w:tcPr>
            <w:tcW w:w="1910" w:type="dxa"/>
            <w:tcBorders>
              <w:bottom w:val="single" w:color="auto" w:sz="4" w:space="0"/>
            </w:tcBorders>
            <w:vAlign w:val="center"/>
          </w:tcPr>
          <w:p w14:paraId="4D366EAD">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．投标文件应符合的其他规定</w:t>
            </w:r>
          </w:p>
        </w:tc>
        <w:tc>
          <w:tcPr>
            <w:tcW w:w="5121" w:type="dxa"/>
            <w:tcBorders>
              <w:bottom w:val="single" w:color="auto" w:sz="4" w:space="0"/>
            </w:tcBorders>
            <w:vAlign w:val="center"/>
          </w:tcPr>
          <w:p w14:paraId="16A7DB5D">
            <w:pPr>
              <w:adjustRightInd w:val="0"/>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1）</w:t>
            </w:r>
            <w:r>
              <w:rPr>
                <w:rFonts w:hint="eastAsia" w:ascii="宋体" w:hAnsi="宋体"/>
                <w:color w:val="auto"/>
                <w:kern w:val="0"/>
                <w:szCs w:val="21"/>
                <w:highlight w:val="none"/>
              </w:rPr>
              <w:t>第一个信封</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商务及技术文件</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投标文件中未出现有关投标报价的内容。</w:t>
            </w:r>
          </w:p>
          <w:p w14:paraId="21EB3149">
            <w:pPr>
              <w:adjustRightInd w:val="0"/>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2</w:t>
            </w:r>
            <w:r>
              <w:rPr>
                <w:rFonts w:hint="eastAsia" w:ascii="宋体" w:hAnsi="宋体"/>
                <w:color w:val="auto"/>
                <w:kern w:val="0"/>
                <w:szCs w:val="21"/>
                <w:highlight w:val="none"/>
              </w:rPr>
              <w:t>）同一投标人对同一标段未提交两个以上不同的投标文件</w:t>
            </w:r>
            <w:r>
              <w:rPr>
                <w:rFonts w:hint="eastAsia"/>
              </w:rPr>
              <w:t>，但招标文件要求提交备选投标</w:t>
            </w:r>
            <w:r>
              <w:rPr>
                <w:rFonts w:hint="eastAsia"/>
                <w:lang w:val="en-US" w:eastAsia="zh-CN"/>
              </w:rPr>
              <w:t>方案</w:t>
            </w:r>
            <w:r>
              <w:rPr>
                <w:rFonts w:hint="eastAsia"/>
              </w:rPr>
              <w:t>的除外</w:t>
            </w:r>
            <w:r>
              <w:rPr>
                <w:rFonts w:hint="eastAsia" w:ascii="宋体" w:hAnsi="宋体"/>
                <w:color w:val="auto"/>
                <w:kern w:val="0"/>
                <w:szCs w:val="21"/>
                <w:highlight w:val="none"/>
              </w:rPr>
              <w:t>。</w:t>
            </w:r>
          </w:p>
          <w:p w14:paraId="546416E1">
            <w:pPr>
              <w:pStyle w:val="276"/>
              <w:adjustRightInd w:val="0"/>
              <w:snapToGrid w:val="0"/>
              <w:spacing w:line="400" w:lineRule="exact"/>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3</w:t>
            </w:r>
            <w:r>
              <w:rPr>
                <w:rFonts w:hint="eastAsia" w:ascii="宋体" w:hAnsi="宋体"/>
                <w:color w:val="auto"/>
                <w:kern w:val="0"/>
                <w:szCs w:val="21"/>
                <w:highlight w:val="none"/>
              </w:rPr>
              <w:t>）投标人投标标段数量超过允许投标人投标标段数量时，相关投标均无效。</w:t>
            </w:r>
          </w:p>
          <w:p w14:paraId="1D1A404A">
            <w:pPr>
              <w:pStyle w:val="276"/>
              <w:adjustRightInd w:val="0"/>
              <w:snapToGrid w:val="0"/>
              <w:spacing w:line="400" w:lineRule="exact"/>
              <w:ind w:firstLine="0" w:firstLineChars="0"/>
              <w:rPr>
                <w:rFonts w:ascii="宋体" w:hAnsi="宋体" w:cs="宋体"/>
                <w:color w:val="auto"/>
                <w:szCs w:val="21"/>
                <w:highlight w:val="none"/>
              </w:rPr>
            </w:pPr>
            <w:r>
              <w:rPr>
                <w:rFonts w:hint="eastAsia" w:ascii="宋体" w:hAnsi="宋体"/>
                <w:color w:val="auto"/>
                <w:kern w:val="0"/>
                <w:szCs w:val="21"/>
                <w:highlight w:val="none"/>
                <w:u w:val="none"/>
              </w:rPr>
              <w:t>……</w:t>
            </w:r>
            <w:r>
              <w:rPr>
                <w:rFonts w:ascii="宋体" w:hAnsi="宋体"/>
                <w:color w:val="auto"/>
                <w:kern w:val="0"/>
                <w:szCs w:val="21"/>
                <w:highlight w:val="none"/>
                <w:u w:val="none"/>
              </w:rPr>
              <w:t xml:space="preserve">  </w:t>
            </w:r>
          </w:p>
        </w:tc>
      </w:tr>
      <w:tr w14:paraId="72C0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restart"/>
            <w:vAlign w:val="center"/>
          </w:tcPr>
          <w:p w14:paraId="272DE63E">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2.1</w:t>
            </w:r>
          </w:p>
          <w:p w14:paraId="7EA44FEF">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初步评审标准</w:t>
            </w:r>
            <w:r>
              <w:rPr>
                <w:rFonts w:ascii="宋体" w:hAnsi="宋体" w:cs="宋体"/>
                <w:color w:val="auto"/>
                <w:szCs w:val="21"/>
                <w:highlight w:val="none"/>
              </w:rPr>
              <w:t xml:space="preserve">      </w:t>
            </w:r>
            <w:r>
              <w:rPr>
                <w:rFonts w:hint="eastAsia" w:ascii="宋体" w:hAnsi="宋体" w:cs="宋体"/>
                <w:color w:val="auto"/>
                <w:szCs w:val="21"/>
                <w:highlight w:val="none"/>
              </w:rPr>
              <w:t>（第一个信封）</w:t>
            </w:r>
          </w:p>
        </w:tc>
        <w:tc>
          <w:tcPr>
            <w:tcW w:w="939" w:type="dxa"/>
            <w:vMerge w:val="restart"/>
            <w:vAlign w:val="center"/>
          </w:tcPr>
          <w:p w14:paraId="3CA63FA9">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2.1.2</w:t>
            </w:r>
          </w:p>
          <w:p w14:paraId="53D187A2">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资格评</w:t>
            </w:r>
          </w:p>
          <w:p w14:paraId="0C0D98E9">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审标准</w:t>
            </w:r>
          </w:p>
        </w:tc>
        <w:tc>
          <w:tcPr>
            <w:tcW w:w="1910" w:type="dxa"/>
            <w:tcBorders>
              <w:bottom w:val="single" w:color="auto" w:sz="4" w:space="0"/>
            </w:tcBorders>
            <w:vAlign w:val="center"/>
          </w:tcPr>
          <w:p w14:paraId="2595ADC6">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1．投标人具备有效的营业执照、资质证书、开户许可证</w:t>
            </w:r>
            <w:r>
              <w:rPr>
                <w:rFonts w:hint="eastAsia" w:ascii="宋体" w:hAnsi="宋体" w:cs="宋体"/>
                <w:color w:val="auto"/>
                <w:szCs w:val="21"/>
                <w:highlight w:val="none"/>
                <w:lang w:eastAsia="zh-CN"/>
              </w:rPr>
              <w:t>（</w:t>
            </w:r>
            <w:r>
              <w:rPr>
                <w:rFonts w:ascii="宋体" w:hAnsi="宋体" w:cs="宋体"/>
                <w:color w:val="auto"/>
                <w:szCs w:val="21"/>
                <w:highlight w:val="none"/>
              </w:rPr>
              <w:t>基本账户</w:t>
            </w:r>
            <w:r>
              <w:rPr>
                <w:rFonts w:hint="eastAsia" w:ascii="宋体" w:hAnsi="宋体" w:cs="宋体"/>
                <w:color w:val="auto"/>
                <w:szCs w:val="21"/>
                <w:highlight w:val="none"/>
                <w:lang w:val="en-US" w:eastAsia="zh-CN"/>
              </w:rPr>
              <w:t>或基本存款账户</w:t>
            </w:r>
            <w:r>
              <w:rPr>
                <w:rFonts w:hint="eastAsia" w:ascii="宋体" w:hAnsi="宋体" w:cs="宋体"/>
                <w:color w:val="auto"/>
                <w:szCs w:val="21"/>
                <w:highlight w:val="none"/>
                <w:lang w:eastAsia="zh-CN"/>
              </w:rPr>
              <w:t>）</w:t>
            </w:r>
            <w:r>
              <w:rPr>
                <w:rFonts w:ascii="宋体" w:hAnsi="宋体" w:cs="宋体"/>
                <w:color w:val="auto"/>
                <w:szCs w:val="21"/>
                <w:highlight w:val="none"/>
              </w:rPr>
              <w:t>或基本存款账户信息表</w:t>
            </w:r>
          </w:p>
        </w:tc>
        <w:tc>
          <w:tcPr>
            <w:tcW w:w="5121" w:type="dxa"/>
            <w:tcBorders>
              <w:bottom w:val="single" w:color="auto" w:sz="4" w:space="0"/>
            </w:tcBorders>
            <w:vAlign w:val="center"/>
          </w:tcPr>
          <w:p w14:paraId="764E8C1C">
            <w:pPr>
              <w:pStyle w:val="276"/>
              <w:adjustRightInd w:val="0"/>
              <w:snapToGrid w:val="0"/>
              <w:spacing w:line="400" w:lineRule="exact"/>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w:t>
            </w:r>
            <w:r>
              <w:rPr>
                <w:rFonts w:ascii="宋体" w:hAnsi="宋体"/>
                <w:color w:val="auto"/>
                <w:kern w:val="0"/>
                <w:szCs w:val="21"/>
                <w:highlight w:val="none"/>
              </w:rPr>
              <w:t>1）</w:t>
            </w:r>
            <w:r>
              <w:rPr>
                <w:rFonts w:ascii="宋体" w:hAnsi="宋体" w:cs="宋体"/>
                <w:color w:val="auto"/>
                <w:szCs w:val="21"/>
                <w:highlight w:val="none"/>
              </w:rPr>
              <w:t>投标人的营业执照、资质证书、开户许可证</w:t>
            </w:r>
            <w:r>
              <w:rPr>
                <w:rFonts w:hint="eastAsia" w:ascii="宋体" w:hAnsi="宋体" w:cs="宋体"/>
                <w:color w:val="auto"/>
                <w:szCs w:val="21"/>
                <w:highlight w:val="none"/>
                <w:lang w:eastAsia="zh-CN"/>
              </w:rPr>
              <w:t>（</w:t>
            </w:r>
            <w:r>
              <w:rPr>
                <w:rFonts w:ascii="宋体" w:hAnsi="宋体" w:cs="宋体"/>
                <w:color w:val="auto"/>
                <w:szCs w:val="21"/>
                <w:highlight w:val="none"/>
              </w:rPr>
              <w:t>基本账户</w:t>
            </w:r>
            <w:r>
              <w:rPr>
                <w:rFonts w:hint="eastAsia" w:ascii="宋体" w:hAnsi="宋体" w:cs="宋体"/>
                <w:color w:val="auto"/>
                <w:szCs w:val="21"/>
                <w:highlight w:val="none"/>
                <w:lang w:val="en-US" w:eastAsia="zh-CN"/>
              </w:rPr>
              <w:t>或基本存款账户</w:t>
            </w:r>
            <w:r>
              <w:rPr>
                <w:rFonts w:hint="eastAsia" w:ascii="宋体" w:hAnsi="宋体" w:cs="宋体"/>
                <w:color w:val="auto"/>
                <w:szCs w:val="21"/>
                <w:highlight w:val="none"/>
                <w:lang w:eastAsia="zh-CN"/>
              </w:rPr>
              <w:t>）</w:t>
            </w:r>
            <w:r>
              <w:rPr>
                <w:rFonts w:ascii="宋体" w:hAnsi="宋体" w:cs="宋体"/>
                <w:color w:val="auto"/>
                <w:szCs w:val="21"/>
                <w:highlight w:val="none"/>
              </w:rPr>
              <w:t>或基本</w:t>
            </w:r>
            <w:r>
              <w:rPr>
                <w:rFonts w:hint="eastAsia" w:ascii="宋体" w:hAnsi="宋体" w:cs="宋体"/>
                <w:color w:val="auto"/>
                <w:szCs w:val="21"/>
                <w:highlight w:val="none"/>
              </w:rPr>
              <w:t>存款</w:t>
            </w:r>
            <w:r>
              <w:rPr>
                <w:rFonts w:ascii="宋体" w:hAnsi="宋体" w:cs="宋体"/>
                <w:color w:val="auto"/>
                <w:szCs w:val="21"/>
                <w:highlight w:val="none"/>
              </w:rPr>
              <w:t>账户信息表有效</w:t>
            </w:r>
            <w:r>
              <w:rPr>
                <w:rFonts w:hint="eastAsia" w:ascii="宋体" w:hAnsi="宋体" w:cs="宋体"/>
                <w:color w:val="auto"/>
                <w:szCs w:val="21"/>
                <w:highlight w:val="none"/>
                <w:lang w:eastAsia="zh-CN"/>
              </w:rPr>
              <w:t>。</w:t>
            </w:r>
          </w:p>
          <w:p w14:paraId="5227AE79">
            <w:pPr>
              <w:pStyle w:val="276"/>
              <w:adjustRightInd w:val="0"/>
              <w:snapToGrid w:val="0"/>
              <w:spacing w:line="400" w:lineRule="exact"/>
              <w:rPr>
                <w:rFonts w:ascii="宋体" w:hAnsi="宋体" w:cs="宋体"/>
                <w:color w:val="auto"/>
                <w:szCs w:val="21"/>
                <w:highlight w:val="none"/>
              </w:rPr>
            </w:pP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lang w:eastAsia="zh-CN"/>
              </w:rPr>
              <w:t>）</w:t>
            </w:r>
            <w:r>
              <w:rPr>
                <w:rFonts w:hint="eastAsia" w:ascii="宋体" w:hAnsi="宋体"/>
                <w:color w:val="auto"/>
                <w:kern w:val="0"/>
                <w:szCs w:val="21"/>
                <w:highlight w:val="none"/>
              </w:rPr>
              <w:t>提供</w:t>
            </w:r>
            <w:r>
              <w:rPr>
                <w:rFonts w:hint="eastAsia" w:ascii="宋体" w:hAnsi="宋体"/>
                <w:color w:val="auto"/>
                <w:kern w:val="0"/>
                <w:szCs w:val="21"/>
                <w:highlight w:val="none"/>
                <w:lang w:val="en-US" w:eastAsia="zh-CN"/>
              </w:rPr>
              <w:t>的</w:t>
            </w:r>
            <w:r>
              <w:rPr>
                <w:rFonts w:hint="eastAsia" w:ascii="宋体" w:hAnsi="宋体"/>
                <w:color w:val="auto"/>
                <w:kern w:val="0"/>
                <w:szCs w:val="21"/>
                <w:highlight w:val="none"/>
              </w:rPr>
              <w:t>证明材料</w:t>
            </w:r>
            <w:r>
              <w:rPr>
                <w:rFonts w:hint="eastAsia" w:ascii="宋体" w:hAnsi="宋体"/>
                <w:color w:val="auto"/>
                <w:kern w:val="0"/>
                <w:szCs w:val="21"/>
                <w:highlight w:val="none"/>
                <w:lang w:val="en-US" w:eastAsia="zh-CN"/>
              </w:rPr>
              <w:t>符合</w:t>
            </w:r>
            <w:r>
              <w:rPr>
                <w:rFonts w:hint="eastAsia" w:ascii="宋体" w:hAnsi="宋体"/>
                <w:color w:val="auto"/>
                <w:kern w:val="0"/>
                <w:szCs w:val="21"/>
                <w:highlight w:val="none"/>
              </w:rPr>
              <w:t>第</w:t>
            </w:r>
            <w:r>
              <w:rPr>
                <w:rFonts w:hint="eastAsia" w:ascii="宋体" w:hAnsi="宋体"/>
                <w:color w:val="auto"/>
                <w:kern w:val="0"/>
                <w:szCs w:val="21"/>
                <w:highlight w:val="none"/>
                <w:lang w:val="en-US" w:eastAsia="zh-CN"/>
              </w:rPr>
              <w:t>七</w:t>
            </w:r>
            <w:r>
              <w:rPr>
                <w:rFonts w:hint="eastAsia" w:ascii="宋体" w:hAnsi="宋体"/>
                <w:color w:val="auto"/>
                <w:kern w:val="0"/>
                <w:szCs w:val="21"/>
                <w:highlight w:val="none"/>
              </w:rPr>
              <w:t>章“</w:t>
            </w:r>
            <w:r>
              <w:rPr>
                <w:rFonts w:ascii="宋体" w:hAnsi="宋体"/>
                <w:color w:val="auto"/>
                <w:kern w:val="0"/>
                <w:szCs w:val="21"/>
                <w:highlight w:val="none"/>
              </w:rPr>
              <w:t>投标文件格式</w:t>
            </w:r>
            <w:r>
              <w:rPr>
                <w:rFonts w:hint="eastAsia" w:ascii="宋体" w:hAnsi="宋体"/>
                <w:color w:val="auto"/>
                <w:kern w:val="0"/>
                <w:szCs w:val="21"/>
                <w:highlight w:val="none"/>
              </w:rPr>
              <w:t>”资格审查资料“（一）投标人</w:t>
            </w:r>
            <w:r>
              <w:rPr>
                <w:rFonts w:ascii="宋体" w:hAnsi="宋体"/>
                <w:color w:val="auto"/>
                <w:kern w:val="0"/>
                <w:szCs w:val="21"/>
                <w:highlight w:val="none"/>
              </w:rPr>
              <w:t>基本情况表</w:t>
            </w:r>
            <w:r>
              <w:rPr>
                <w:rFonts w:hint="eastAsia" w:ascii="宋体" w:hAnsi="宋体"/>
                <w:color w:val="auto"/>
                <w:kern w:val="0"/>
                <w:szCs w:val="21"/>
                <w:highlight w:val="none"/>
              </w:rPr>
              <w:t>”的附件要求</w:t>
            </w:r>
            <w:r>
              <w:rPr>
                <w:rFonts w:hint="eastAsia" w:ascii="宋体" w:hAnsi="宋体" w:cs="宋体"/>
                <w:color w:val="auto"/>
                <w:szCs w:val="21"/>
                <w:highlight w:val="none"/>
              </w:rPr>
              <w:t>。</w:t>
            </w:r>
          </w:p>
        </w:tc>
      </w:tr>
      <w:tr w14:paraId="7C4D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814" w:type="dxa"/>
            <w:vMerge w:val="continue"/>
            <w:vAlign w:val="center"/>
          </w:tcPr>
          <w:p w14:paraId="65D0BE53">
            <w:pPr>
              <w:pStyle w:val="276"/>
              <w:adjustRightInd w:val="0"/>
              <w:snapToGrid w:val="0"/>
              <w:spacing w:line="400" w:lineRule="exact"/>
              <w:jc w:val="center"/>
              <w:rPr>
                <w:rFonts w:ascii="宋体" w:hAnsi="宋体" w:cs="宋体"/>
                <w:color w:val="auto"/>
                <w:szCs w:val="21"/>
                <w:highlight w:val="none"/>
              </w:rPr>
            </w:pPr>
          </w:p>
        </w:tc>
        <w:tc>
          <w:tcPr>
            <w:tcW w:w="939" w:type="dxa"/>
            <w:vMerge w:val="continue"/>
            <w:vAlign w:val="center"/>
          </w:tcPr>
          <w:p w14:paraId="3FABDF90">
            <w:pPr>
              <w:pStyle w:val="276"/>
              <w:adjustRightInd w:val="0"/>
              <w:snapToGrid w:val="0"/>
              <w:spacing w:line="400" w:lineRule="exact"/>
              <w:jc w:val="center"/>
              <w:rPr>
                <w:rFonts w:ascii="宋体" w:hAnsi="宋体" w:cs="宋体"/>
                <w:color w:val="auto"/>
                <w:szCs w:val="21"/>
                <w:highlight w:val="none"/>
              </w:rPr>
            </w:pPr>
          </w:p>
        </w:tc>
        <w:tc>
          <w:tcPr>
            <w:tcW w:w="1910" w:type="dxa"/>
            <w:tcBorders>
              <w:bottom w:val="single" w:color="auto" w:sz="4" w:space="0"/>
            </w:tcBorders>
            <w:vAlign w:val="center"/>
          </w:tcPr>
          <w:p w14:paraId="68D17EB7">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2．投标人的资质等级符合第二章“投标人须知前附表”第1.4.1项规定</w:t>
            </w:r>
          </w:p>
        </w:tc>
        <w:tc>
          <w:tcPr>
            <w:tcW w:w="5121" w:type="dxa"/>
            <w:tcBorders>
              <w:bottom w:val="single" w:color="auto" w:sz="4" w:space="0"/>
            </w:tcBorders>
            <w:vAlign w:val="center"/>
          </w:tcPr>
          <w:p w14:paraId="70269A34">
            <w:pPr>
              <w:pStyle w:val="276"/>
              <w:adjustRightInd w:val="0"/>
              <w:snapToGrid w:val="0"/>
              <w:spacing w:line="400" w:lineRule="exact"/>
              <w:rPr>
                <w:rFonts w:ascii="宋体" w:hAnsi="宋体" w:cs="宋体"/>
                <w:color w:val="auto"/>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1）</w:t>
            </w:r>
            <w:r>
              <w:rPr>
                <w:rFonts w:hint="eastAsia" w:ascii="宋体" w:hAnsi="宋体" w:cs="宋体"/>
                <w:color w:val="auto"/>
                <w:szCs w:val="21"/>
                <w:highlight w:val="none"/>
              </w:rPr>
              <w:t>投标人的资质等级符合第二章“投标人须知”前附表第</w:t>
            </w:r>
            <w:r>
              <w:rPr>
                <w:rFonts w:ascii="宋体" w:hAnsi="宋体" w:cs="宋体"/>
                <w:color w:val="auto"/>
                <w:szCs w:val="21"/>
                <w:highlight w:val="none"/>
              </w:rPr>
              <w:t>1.4.1项规定。</w:t>
            </w:r>
          </w:p>
          <w:p w14:paraId="45F08AF7">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2）提供的证明材料符合第七章“投标文件格式”要求。</w:t>
            </w:r>
          </w:p>
        </w:tc>
      </w:tr>
      <w:tr w14:paraId="1D3D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14:paraId="3D9C5E36">
            <w:pPr>
              <w:pStyle w:val="276"/>
              <w:adjustRightInd w:val="0"/>
              <w:snapToGrid w:val="0"/>
              <w:spacing w:line="400" w:lineRule="exact"/>
              <w:jc w:val="center"/>
              <w:rPr>
                <w:rFonts w:ascii="宋体" w:hAnsi="宋体" w:cs="宋体"/>
                <w:color w:val="auto"/>
                <w:szCs w:val="21"/>
                <w:highlight w:val="none"/>
              </w:rPr>
            </w:pPr>
          </w:p>
        </w:tc>
        <w:tc>
          <w:tcPr>
            <w:tcW w:w="939" w:type="dxa"/>
            <w:vMerge w:val="continue"/>
            <w:vAlign w:val="center"/>
          </w:tcPr>
          <w:p w14:paraId="1F0C717D">
            <w:pPr>
              <w:pStyle w:val="276"/>
              <w:adjustRightInd w:val="0"/>
              <w:snapToGrid w:val="0"/>
              <w:spacing w:line="400" w:lineRule="exact"/>
              <w:jc w:val="center"/>
              <w:rPr>
                <w:rFonts w:ascii="宋体" w:hAnsi="宋体" w:cs="宋体"/>
                <w:color w:val="auto"/>
                <w:szCs w:val="21"/>
                <w:highlight w:val="none"/>
              </w:rPr>
            </w:pPr>
          </w:p>
        </w:tc>
        <w:tc>
          <w:tcPr>
            <w:tcW w:w="1910" w:type="dxa"/>
            <w:tcBorders>
              <w:bottom w:val="single" w:color="auto" w:sz="4" w:space="0"/>
            </w:tcBorders>
            <w:vAlign w:val="center"/>
          </w:tcPr>
          <w:p w14:paraId="24B941CF">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3．投标人的类似项目业绩符合第二章“投标人须知前附表”第1.4.1项规定</w:t>
            </w:r>
          </w:p>
        </w:tc>
        <w:tc>
          <w:tcPr>
            <w:tcW w:w="5121" w:type="dxa"/>
            <w:tcBorders>
              <w:bottom w:val="single" w:color="auto" w:sz="4" w:space="0"/>
            </w:tcBorders>
            <w:vAlign w:val="center"/>
          </w:tcPr>
          <w:p w14:paraId="22C593E3">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1）投标人的类似项目业绩符合第二章“投标人须知”前附表第1.4.1项规定。</w:t>
            </w:r>
          </w:p>
          <w:p w14:paraId="1FFB75EA">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2）提供的证明材料符合</w:t>
            </w:r>
            <w:r>
              <w:rPr>
                <w:rFonts w:hint="eastAsia" w:ascii="宋体" w:hAnsi="宋体" w:cs="宋体"/>
                <w:color w:val="auto"/>
                <w:szCs w:val="21"/>
                <w:highlight w:val="none"/>
              </w:rPr>
              <w:t>第七章“投标文件格式”要求。</w:t>
            </w:r>
          </w:p>
        </w:tc>
      </w:tr>
      <w:tr w14:paraId="32A78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4" w:type="dxa"/>
            <w:vMerge w:val="continue"/>
            <w:vAlign w:val="center"/>
          </w:tcPr>
          <w:p w14:paraId="1FD77A1A">
            <w:pPr>
              <w:pStyle w:val="276"/>
              <w:adjustRightInd w:val="0"/>
              <w:snapToGrid w:val="0"/>
              <w:spacing w:line="400" w:lineRule="exact"/>
              <w:jc w:val="center"/>
              <w:rPr>
                <w:rFonts w:ascii="宋体" w:hAnsi="宋体" w:cs="宋体"/>
                <w:color w:val="auto"/>
                <w:szCs w:val="21"/>
                <w:highlight w:val="none"/>
              </w:rPr>
            </w:pPr>
          </w:p>
        </w:tc>
        <w:tc>
          <w:tcPr>
            <w:tcW w:w="939" w:type="dxa"/>
            <w:vMerge w:val="continue"/>
            <w:vAlign w:val="center"/>
          </w:tcPr>
          <w:p w14:paraId="7B5C7A18">
            <w:pPr>
              <w:pStyle w:val="276"/>
              <w:adjustRightInd w:val="0"/>
              <w:snapToGrid w:val="0"/>
              <w:spacing w:line="400" w:lineRule="exact"/>
              <w:jc w:val="center"/>
              <w:rPr>
                <w:rFonts w:ascii="宋体" w:hAnsi="宋体" w:cs="宋体"/>
                <w:color w:val="auto"/>
                <w:szCs w:val="21"/>
                <w:highlight w:val="none"/>
              </w:rPr>
            </w:pPr>
          </w:p>
        </w:tc>
        <w:tc>
          <w:tcPr>
            <w:tcW w:w="1910" w:type="dxa"/>
            <w:tcBorders>
              <w:bottom w:val="single" w:color="auto" w:sz="4" w:space="0"/>
            </w:tcBorders>
            <w:vAlign w:val="center"/>
          </w:tcPr>
          <w:p w14:paraId="478F28BE">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4．投标人的信誉符合第二章“投标人须知前附表”第1.4.1项规定</w:t>
            </w:r>
          </w:p>
        </w:tc>
        <w:tc>
          <w:tcPr>
            <w:tcW w:w="5121" w:type="dxa"/>
            <w:tcBorders>
              <w:bottom w:val="single" w:color="auto" w:sz="4" w:space="0"/>
            </w:tcBorders>
            <w:vAlign w:val="center"/>
          </w:tcPr>
          <w:p w14:paraId="146AE46F">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1）投标人的信誉符合第二章“投标人须知”前附表第1.4.1项规定</w:t>
            </w:r>
            <w:r>
              <w:rPr>
                <w:rFonts w:hint="eastAsia" w:ascii="宋体" w:hAnsi="宋体" w:cs="宋体"/>
                <w:color w:val="auto"/>
                <w:szCs w:val="21"/>
                <w:highlight w:val="none"/>
                <w:lang w:eastAsia="zh-CN"/>
              </w:rPr>
              <w:t>。</w:t>
            </w:r>
          </w:p>
          <w:p w14:paraId="23452102">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2）提供的证明材料符合</w:t>
            </w:r>
            <w:r>
              <w:rPr>
                <w:rFonts w:hint="eastAsia" w:ascii="宋体" w:hAnsi="宋体" w:cs="宋体"/>
                <w:color w:val="auto"/>
                <w:szCs w:val="21"/>
                <w:highlight w:val="none"/>
              </w:rPr>
              <w:t>第七章“投标文件格式”要求。</w:t>
            </w:r>
          </w:p>
        </w:tc>
      </w:tr>
      <w:tr w14:paraId="104F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14" w:type="dxa"/>
            <w:vMerge w:val="continue"/>
            <w:vAlign w:val="center"/>
          </w:tcPr>
          <w:p w14:paraId="5DB1EDE9">
            <w:pPr>
              <w:pStyle w:val="276"/>
              <w:adjustRightInd w:val="0"/>
              <w:snapToGrid w:val="0"/>
              <w:spacing w:line="400" w:lineRule="exact"/>
              <w:jc w:val="center"/>
              <w:rPr>
                <w:rFonts w:ascii="宋体" w:hAnsi="宋体" w:cs="宋体"/>
                <w:color w:val="auto"/>
                <w:szCs w:val="21"/>
                <w:highlight w:val="none"/>
              </w:rPr>
            </w:pPr>
          </w:p>
        </w:tc>
        <w:tc>
          <w:tcPr>
            <w:tcW w:w="939" w:type="dxa"/>
            <w:vMerge w:val="continue"/>
            <w:vAlign w:val="center"/>
          </w:tcPr>
          <w:p w14:paraId="52610FCF">
            <w:pPr>
              <w:pStyle w:val="276"/>
              <w:adjustRightInd w:val="0"/>
              <w:snapToGrid w:val="0"/>
              <w:spacing w:line="400" w:lineRule="exact"/>
              <w:jc w:val="center"/>
              <w:rPr>
                <w:rFonts w:ascii="宋体" w:hAnsi="宋体" w:cs="宋体"/>
                <w:color w:val="auto"/>
                <w:szCs w:val="21"/>
                <w:highlight w:val="none"/>
              </w:rPr>
            </w:pPr>
          </w:p>
        </w:tc>
        <w:tc>
          <w:tcPr>
            <w:tcW w:w="1910" w:type="dxa"/>
            <w:tcBorders>
              <w:bottom w:val="single" w:color="auto" w:sz="4" w:space="0"/>
            </w:tcBorders>
            <w:vAlign w:val="center"/>
          </w:tcPr>
          <w:p w14:paraId="1FF4AA67">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5．投标人的主要人员符合第二章“投标人须知前附表”第1.4.1项规定</w:t>
            </w:r>
          </w:p>
        </w:tc>
        <w:tc>
          <w:tcPr>
            <w:tcW w:w="5121" w:type="dxa"/>
            <w:tcBorders>
              <w:bottom w:val="single" w:color="auto" w:sz="4" w:space="0"/>
            </w:tcBorders>
            <w:vAlign w:val="center"/>
          </w:tcPr>
          <w:p w14:paraId="17E8DE9A">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1）投标人的主要人员符合第二章“投标人须知”前附表第1.4.1项规定</w:t>
            </w:r>
            <w:r>
              <w:rPr>
                <w:rFonts w:hint="eastAsia" w:ascii="宋体" w:hAnsi="宋体" w:cs="宋体"/>
                <w:color w:val="auto"/>
                <w:szCs w:val="21"/>
                <w:highlight w:val="none"/>
                <w:lang w:eastAsia="zh-CN"/>
              </w:rPr>
              <w:t>。</w:t>
            </w:r>
          </w:p>
          <w:p w14:paraId="1A31FB7E">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2）提供的证明材料符合</w:t>
            </w:r>
            <w:r>
              <w:rPr>
                <w:rFonts w:hint="eastAsia" w:ascii="宋体" w:hAnsi="宋体" w:cs="宋体"/>
                <w:color w:val="auto"/>
                <w:szCs w:val="21"/>
                <w:highlight w:val="none"/>
              </w:rPr>
              <w:t>第七章“投标文件格式”要求。</w:t>
            </w:r>
          </w:p>
        </w:tc>
      </w:tr>
      <w:tr w14:paraId="449E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814" w:type="dxa"/>
            <w:vMerge w:val="restart"/>
            <w:vAlign w:val="center"/>
          </w:tcPr>
          <w:p w14:paraId="43CF6E61">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r>
              <w:rPr>
                <w:rFonts w:ascii="宋体" w:hAnsi="宋体" w:cs="宋体"/>
                <w:color w:val="auto"/>
                <w:szCs w:val="21"/>
                <w:highlight w:val="none"/>
              </w:rPr>
              <w:t>2.1</w:t>
            </w:r>
          </w:p>
          <w:p w14:paraId="44EB7EA1">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初步评审标准</w:t>
            </w:r>
            <w:r>
              <w:rPr>
                <w:rFonts w:ascii="宋体" w:hAnsi="宋体" w:cs="宋体"/>
                <w:color w:val="auto"/>
                <w:szCs w:val="21"/>
                <w:highlight w:val="none"/>
              </w:rPr>
              <w:t xml:space="preserve">      </w:t>
            </w:r>
            <w:r>
              <w:rPr>
                <w:rFonts w:hint="eastAsia" w:ascii="宋体" w:hAnsi="宋体" w:cs="宋体"/>
                <w:color w:val="auto"/>
                <w:szCs w:val="21"/>
                <w:highlight w:val="none"/>
              </w:rPr>
              <w:t>（第一个信封）</w:t>
            </w:r>
          </w:p>
        </w:tc>
        <w:tc>
          <w:tcPr>
            <w:tcW w:w="939" w:type="dxa"/>
            <w:vMerge w:val="restart"/>
            <w:vAlign w:val="center"/>
          </w:tcPr>
          <w:p w14:paraId="09A6DB09">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r>
              <w:rPr>
                <w:rFonts w:ascii="宋体" w:hAnsi="宋体" w:cs="宋体"/>
                <w:color w:val="auto"/>
                <w:szCs w:val="21"/>
                <w:highlight w:val="none"/>
              </w:rPr>
              <w:t>2.1.2</w:t>
            </w:r>
          </w:p>
          <w:p w14:paraId="0EB911A0">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资格评</w:t>
            </w:r>
          </w:p>
          <w:p w14:paraId="6335BEBD">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审标准</w:t>
            </w:r>
          </w:p>
        </w:tc>
        <w:tc>
          <w:tcPr>
            <w:tcW w:w="1910" w:type="dxa"/>
            <w:tcBorders>
              <w:bottom w:val="single" w:color="auto" w:sz="4" w:space="0"/>
            </w:tcBorders>
            <w:vAlign w:val="center"/>
          </w:tcPr>
          <w:p w14:paraId="43C4D9CD">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ascii="宋体" w:hAnsi="宋体" w:cs="宋体"/>
                <w:color w:val="auto"/>
                <w:szCs w:val="21"/>
                <w:highlight w:val="none"/>
              </w:rPr>
              <w:t>6．投标人的其他要求</w:t>
            </w:r>
            <w:r>
              <w:rPr>
                <w:rStyle w:val="58"/>
                <w:rFonts w:ascii="宋体" w:hAnsi="宋体" w:cs="宋体"/>
                <w:color w:val="auto"/>
                <w:kern w:val="0"/>
                <w:szCs w:val="21"/>
                <w:highlight w:val="none"/>
              </w:rPr>
              <w:footnoteReference w:id="84"/>
            </w:r>
            <w:r>
              <w:rPr>
                <w:rFonts w:hint="eastAsia" w:ascii="宋体" w:hAnsi="宋体" w:cs="宋体"/>
                <w:color w:val="auto"/>
                <w:szCs w:val="21"/>
                <w:highlight w:val="none"/>
              </w:rPr>
              <w:t>符合第二章“投标人须知前附表”第</w:t>
            </w:r>
            <w:r>
              <w:rPr>
                <w:rFonts w:ascii="宋体" w:hAnsi="宋体" w:cs="宋体"/>
                <w:color w:val="auto"/>
                <w:szCs w:val="21"/>
                <w:highlight w:val="none"/>
              </w:rPr>
              <w:t>1.4.1项规定</w:t>
            </w:r>
          </w:p>
        </w:tc>
        <w:tc>
          <w:tcPr>
            <w:tcW w:w="5121" w:type="dxa"/>
            <w:tcBorders>
              <w:bottom w:val="single" w:color="auto" w:sz="4" w:space="0"/>
            </w:tcBorders>
            <w:vAlign w:val="center"/>
          </w:tcPr>
          <w:p w14:paraId="59F00181">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1）投标人的其他要求符合第二章“投标人须知”前附表第1.4.1项规定</w:t>
            </w:r>
            <w:r>
              <w:rPr>
                <w:rFonts w:hint="eastAsia" w:ascii="宋体" w:hAnsi="宋体" w:cs="宋体"/>
                <w:color w:val="auto"/>
                <w:szCs w:val="21"/>
                <w:highlight w:val="none"/>
                <w:lang w:eastAsia="zh-CN"/>
              </w:rPr>
              <w:t>。</w:t>
            </w:r>
          </w:p>
          <w:p w14:paraId="1278ABD3">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2）提供的证明材料符合</w:t>
            </w:r>
            <w:r>
              <w:rPr>
                <w:rFonts w:hint="eastAsia" w:ascii="宋体" w:hAnsi="宋体" w:cs="宋体"/>
                <w:color w:val="auto"/>
                <w:szCs w:val="21"/>
                <w:highlight w:val="none"/>
              </w:rPr>
              <w:t>第七章“投标文件格式”要求。</w:t>
            </w:r>
          </w:p>
        </w:tc>
      </w:tr>
      <w:tr w14:paraId="0AF6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9" w:hRule="atLeast"/>
          <w:jc w:val="center"/>
        </w:trPr>
        <w:tc>
          <w:tcPr>
            <w:tcW w:w="814" w:type="dxa"/>
            <w:vMerge w:val="continue"/>
            <w:vAlign w:val="center"/>
          </w:tcPr>
          <w:p w14:paraId="497F0155">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p>
        </w:tc>
        <w:tc>
          <w:tcPr>
            <w:tcW w:w="939" w:type="dxa"/>
            <w:vMerge w:val="continue"/>
            <w:vAlign w:val="center"/>
          </w:tcPr>
          <w:p w14:paraId="4F2EBB0C">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p>
        </w:tc>
        <w:tc>
          <w:tcPr>
            <w:tcW w:w="1910" w:type="dxa"/>
            <w:tcBorders>
              <w:bottom w:val="single" w:color="auto" w:sz="4" w:space="0"/>
            </w:tcBorders>
            <w:vAlign w:val="center"/>
          </w:tcPr>
          <w:p w14:paraId="39552367">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ascii="宋体" w:hAnsi="宋体" w:cs="宋体"/>
                <w:color w:val="auto"/>
                <w:szCs w:val="21"/>
                <w:highlight w:val="none"/>
              </w:rPr>
              <w:t>7．投标人还应符合</w:t>
            </w:r>
            <w:r>
              <w:rPr>
                <w:rFonts w:hint="eastAsia" w:ascii="宋体" w:hAnsi="宋体" w:cs="宋体"/>
                <w:color w:val="auto"/>
                <w:szCs w:val="21"/>
                <w:highlight w:val="none"/>
                <w:lang w:val="en-US" w:eastAsia="zh-CN"/>
              </w:rPr>
              <w:t>的其他</w:t>
            </w:r>
            <w:r>
              <w:rPr>
                <w:rFonts w:ascii="宋体" w:hAnsi="宋体" w:cs="宋体"/>
                <w:color w:val="auto"/>
                <w:szCs w:val="21"/>
                <w:highlight w:val="none"/>
              </w:rPr>
              <w:t>规定</w:t>
            </w:r>
          </w:p>
        </w:tc>
        <w:tc>
          <w:tcPr>
            <w:tcW w:w="5121" w:type="dxa"/>
            <w:tcBorders>
              <w:bottom w:val="single" w:color="auto" w:sz="4" w:space="0"/>
            </w:tcBorders>
            <w:vAlign w:val="center"/>
          </w:tcPr>
          <w:p w14:paraId="605568AB">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1）投标人不存在第二章“投标人须知”第1.4.3项或</w:t>
            </w:r>
            <w:r>
              <w:rPr>
                <w:rFonts w:hint="eastAsia" w:ascii="宋体" w:hAnsi="宋体" w:cs="宋体"/>
                <w:color w:val="auto"/>
                <w:szCs w:val="21"/>
                <w:highlight w:val="none"/>
              </w:rPr>
              <w:t>第</w:t>
            </w:r>
            <w:r>
              <w:rPr>
                <w:rFonts w:ascii="宋体" w:hAnsi="宋体" w:cs="宋体"/>
                <w:color w:val="auto"/>
                <w:szCs w:val="21"/>
                <w:highlight w:val="none"/>
              </w:rPr>
              <w:t>1.4.4项规定的任何一种情形（按</w:t>
            </w:r>
            <w:r>
              <w:rPr>
                <w:rFonts w:hint="eastAsia" w:ascii="宋体" w:hAnsi="宋体" w:cs="宋体"/>
                <w:color w:val="auto"/>
                <w:szCs w:val="21"/>
                <w:highlight w:val="none"/>
              </w:rPr>
              <w:t>本</w:t>
            </w:r>
            <w:r>
              <w:rPr>
                <w:rFonts w:ascii="宋体" w:hAnsi="宋体" w:cs="宋体"/>
                <w:color w:val="auto"/>
                <w:szCs w:val="21"/>
                <w:highlight w:val="none"/>
              </w:rPr>
              <w:t>项资格评审标准第4</w:t>
            </w:r>
            <w:r>
              <w:rPr>
                <w:rFonts w:hint="eastAsia" w:ascii="宋体" w:hAnsi="宋体" w:cs="宋体"/>
                <w:color w:val="auto"/>
                <w:szCs w:val="21"/>
                <w:highlight w:val="none"/>
              </w:rPr>
              <w:t>目</w:t>
            </w:r>
            <w:r>
              <w:rPr>
                <w:rFonts w:ascii="宋体" w:hAnsi="宋体" w:cs="宋体"/>
                <w:color w:val="auto"/>
                <w:szCs w:val="21"/>
                <w:highlight w:val="none"/>
              </w:rPr>
              <w:t>信誉要求已评审的，此处不再评审）。</w:t>
            </w:r>
          </w:p>
          <w:p w14:paraId="1B2A624D">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2）以联合体形式</w:t>
            </w:r>
            <w:r>
              <w:rPr>
                <w:rFonts w:hint="eastAsia" w:ascii="宋体" w:hAnsi="宋体" w:cs="宋体"/>
                <w:color w:val="auto"/>
                <w:szCs w:val="21"/>
                <w:highlight w:val="none"/>
              </w:rPr>
              <w:t>投标的，联合体各方均未再以自己名义单独或参加其他联合体在同一标段中投标；独立投标的，投标人未同时参加联合体在同一标段中投标。</w:t>
            </w:r>
          </w:p>
          <w:p w14:paraId="6B69AA76">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ascii="宋体" w:hAnsi="宋体" w:cs="宋体"/>
                <w:color w:val="auto"/>
                <w:szCs w:val="21"/>
                <w:highlight w:val="none"/>
                <w:u w:val="none"/>
              </w:rPr>
              <w:t xml:space="preserve"> </w:t>
            </w:r>
            <w:r>
              <w:rPr>
                <w:rFonts w:hint="eastAsia" w:ascii="宋体" w:hAnsi="宋体"/>
                <w:color w:val="auto"/>
                <w:kern w:val="0"/>
                <w:szCs w:val="21"/>
                <w:highlight w:val="none"/>
                <w:u w:val="none"/>
              </w:rPr>
              <w:t>……</w:t>
            </w:r>
            <w:r>
              <w:rPr>
                <w:rFonts w:ascii="宋体" w:hAnsi="宋体"/>
                <w:color w:val="auto"/>
                <w:kern w:val="0"/>
                <w:szCs w:val="21"/>
                <w:highlight w:val="none"/>
                <w:u w:val="none"/>
              </w:rPr>
              <w:t xml:space="preserve">  </w:t>
            </w:r>
          </w:p>
        </w:tc>
      </w:tr>
      <w:tr w14:paraId="43497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14" w:type="dxa"/>
            <w:vMerge w:val="continue"/>
            <w:vAlign w:val="center"/>
          </w:tcPr>
          <w:p w14:paraId="51543BF7">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p>
        </w:tc>
        <w:tc>
          <w:tcPr>
            <w:tcW w:w="939" w:type="dxa"/>
            <w:vMerge w:val="restart"/>
            <w:vAlign w:val="center"/>
          </w:tcPr>
          <w:p w14:paraId="296DD41A">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r>
              <w:rPr>
                <w:rFonts w:ascii="宋体" w:hAnsi="宋体" w:cs="宋体"/>
                <w:color w:val="auto"/>
                <w:szCs w:val="21"/>
                <w:highlight w:val="none"/>
              </w:rPr>
              <w:t>2.1.3</w:t>
            </w:r>
          </w:p>
          <w:p w14:paraId="6EFE5278">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响应性评审标准</w:t>
            </w:r>
          </w:p>
        </w:tc>
        <w:tc>
          <w:tcPr>
            <w:tcW w:w="7031" w:type="dxa"/>
            <w:gridSpan w:val="2"/>
            <w:vAlign w:val="center"/>
          </w:tcPr>
          <w:p w14:paraId="58469B30">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ascii="宋体" w:hAnsi="宋体" w:cs="宋体"/>
                <w:color w:val="auto"/>
                <w:szCs w:val="21"/>
                <w:highlight w:val="none"/>
              </w:rPr>
              <w:t>1. 投标文件载明的招标项目完成期限符合招标文件规定。</w:t>
            </w:r>
          </w:p>
        </w:tc>
      </w:tr>
      <w:tr w14:paraId="667F8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14" w:type="dxa"/>
            <w:vMerge w:val="continue"/>
            <w:vAlign w:val="center"/>
          </w:tcPr>
          <w:p w14:paraId="5CC09ED1">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p>
        </w:tc>
        <w:tc>
          <w:tcPr>
            <w:tcW w:w="939" w:type="dxa"/>
            <w:vMerge w:val="continue"/>
            <w:vAlign w:val="center"/>
          </w:tcPr>
          <w:p w14:paraId="1003B41F">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p>
        </w:tc>
        <w:tc>
          <w:tcPr>
            <w:tcW w:w="7031" w:type="dxa"/>
            <w:gridSpan w:val="2"/>
            <w:vAlign w:val="center"/>
          </w:tcPr>
          <w:p w14:paraId="6FB5662E">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ascii="宋体" w:hAnsi="宋体" w:cs="宋体"/>
                <w:color w:val="auto"/>
                <w:szCs w:val="21"/>
                <w:highlight w:val="none"/>
              </w:rPr>
              <w:t>2.</w:t>
            </w:r>
            <w:r>
              <w:rPr>
                <w:color w:val="auto"/>
                <w:highlight w:val="none"/>
              </w:rPr>
              <w:t xml:space="preserve"> </w:t>
            </w:r>
            <w:r>
              <w:rPr>
                <w:rFonts w:hint="eastAsia"/>
                <w:color w:val="auto"/>
                <w:highlight w:val="none"/>
              </w:rPr>
              <w:t>投标文件对招标文件的实质性要求和条件在投标函作出响应</w:t>
            </w:r>
            <w:r>
              <w:rPr>
                <w:rFonts w:hint="eastAsia" w:ascii="宋体" w:hAnsi="宋体" w:cs="宋体"/>
                <w:color w:val="auto"/>
                <w:szCs w:val="21"/>
                <w:highlight w:val="none"/>
              </w:rPr>
              <w:t>。</w:t>
            </w:r>
          </w:p>
        </w:tc>
      </w:tr>
      <w:tr w14:paraId="3804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14" w:type="dxa"/>
            <w:vMerge w:val="continue"/>
            <w:vAlign w:val="center"/>
          </w:tcPr>
          <w:p w14:paraId="77D57575">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p>
        </w:tc>
        <w:tc>
          <w:tcPr>
            <w:tcW w:w="939" w:type="dxa"/>
            <w:vMerge w:val="continue"/>
            <w:vAlign w:val="center"/>
          </w:tcPr>
          <w:p w14:paraId="25EF6E00">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p>
        </w:tc>
        <w:tc>
          <w:tcPr>
            <w:tcW w:w="7031" w:type="dxa"/>
            <w:gridSpan w:val="2"/>
            <w:vAlign w:val="center"/>
          </w:tcPr>
          <w:p w14:paraId="7ADC32AC">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ascii="宋体" w:hAnsi="宋体" w:cs="宋体"/>
                <w:color w:val="auto"/>
                <w:szCs w:val="21"/>
                <w:highlight w:val="none"/>
              </w:rPr>
              <w:t>3.</w:t>
            </w:r>
            <w:r>
              <w:rPr>
                <w:color w:val="auto"/>
                <w:highlight w:val="none"/>
              </w:rPr>
              <w:t xml:space="preserve"> </w:t>
            </w:r>
            <w:r>
              <w:rPr>
                <w:rFonts w:hint="eastAsia"/>
                <w:color w:val="auto"/>
                <w:highlight w:val="none"/>
                <w:lang w:val="en-US" w:eastAsia="zh-CN"/>
              </w:rPr>
              <w:t>合同</w:t>
            </w:r>
            <w:r>
              <w:rPr>
                <w:rFonts w:hint="eastAsia"/>
                <w:color w:val="auto"/>
                <w:highlight w:val="none"/>
              </w:rPr>
              <w:t>权利义务按招标文件规定在投标函作出承诺</w:t>
            </w:r>
            <w:r>
              <w:rPr>
                <w:rFonts w:hint="eastAsia" w:ascii="宋体" w:hAnsi="宋体" w:cs="宋体"/>
                <w:color w:val="auto"/>
                <w:szCs w:val="21"/>
                <w:highlight w:val="none"/>
              </w:rPr>
              <w:t>。</w:t>
            </w:r>
          </w:p>
        </w:tc>
      </w:tr>
      <w:tr w14:paraId="0DB7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restart"/>
            <w:vAlign w:val="center"/>
          </w:tcPr>
          <w:p w14:paraId="56683E0B">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r>
              <w:rPr>
                <w:rFonts w:ascii="宋体" w:hAnsi="宋体" w:cs="宋体"/>
                <w:color w:val="auto"/>
                <w:szCs w:val="21"/>
                <w:highlight w:val="none"/>
              </w:rPr>
              <w:t>2.1</w:t>
            </w:r>
          </w:p>
          <w:p w14:paraId="5EBCEBDA">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初步评审标准</w:t>
            </w:r>
          </w:p>
          <w:p w14:paraId="13D9E93D">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（第二个信封）</w:t>
            </w:r>
          </w:p>
        </w:tc>
        <w:tc>
          <w:tcPr>
            <w:tcW w:w="939" w:type="dxa"/>
            <w:vMerge w:val="restart"/>
            <w:vAlign w:val="center"/>
          </w:tcPr>
          <w:p w14:paraId="127973B1">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r>
              <w:rPr>
                <w:rFonts w:ascii="宋体" w:hAnsi="宋体" w:cs="宋体"/>
                <w:color w:val="auto"/>
                <w:szCs w:val="21"/>
                <w:highlight w:val="none"/>
              </w:rPr>
              <w:t>2.1.1</w:t>
            </w:r>
          </w:p>
          <w:p w14:paraId="2ABA4F13">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形式评审标准</w:t>
            </w:r>
          </w:p>
        </w:tc>
        <w:tc>
          <w:tcPr>
            <w:tcW w:w="1910" w:type="dxa"/>
            <w:tcBorders>
              <w:bottom w:val="single" w:color="auto" w:sz="4" w:space="0"/>
            </w:tcBorders>
            <w:vAlign w:val="center"/>
          </w:tcPr>
          <w:p w14:paraId="09D9E729">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ascii="宋体" w:hAnsi="宋体" w:cs="宋体"/>
                <w:color w:val="auto"/>
                <w:szCs w:val="21"/>
                <w:highlight w:val="none"/>
              </w:rPr>
              <w:t>1．投标文件中的重要内容按照招标文件规定的格式、内容填写，字迹、印章清晰可辨</w:t>
            </w:r>
          </w:p>
        </w:tc>
        <w:tc>
          <w:tcPr>
            <w:tcW w:w="5121" w:type="dxa"/>
            <w:tcBorders>
              <w:bottom w:val="single" w:color="auto" w:sz="4" w:space="0"/>
            </w:tcBorders>
            <w:vAlign w:val="center"/>
          </w:tcPr>
          <w:p w14:paraId="6972A60D">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1）投标</w:t>
            </w:r>
            <w:r>
              <w:rPr>
                <w:rFonts w:hint="eastAsia" w:ascii="宋体" w:hAnsi="宋体" w:cs="宋体"/>
                <w:color w:val="auto"/>
                <w:szCs w:val="21"/>
                <w:highlight w:val="none"/>
              </w:rPr>
              <w:t>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第二个信封</w:t>
            </w:r>
            <w:r>
              <w:rPr>
                <w:rFonts w:hint="eastAsia" w:ascii="宋体" w:hAnsi="宋体" w:cs="宋体"/>
                <w:color w:val="auto"/>
                <w:szCs w:val="21"/>
                <w:highlight w:val="none"/>
                <w:lang w:eastAsia="zh-CN"/>
              </w:rPr>
              <w:t>）</w:t>
            </w:r>
            <w:r>
              <w:rPr>
                <w:rFonts w:ascii="宋体" w:hAnsi="宋体" w:cs="宋体"/>
                <w:color w:val="auto"/>
                <w:szCs w:val="21"/>
                <w:highlight w:val="none"/>
              </w:rPr>
              <w:t>符合第七章“投标文件格式”要求</w:t>
            </w:r>
            <w:r>
              <w:rPr>
                <w:rFonts w:hint="eastAsia"/>
                <w:color w:val="auto"/>
                <w:szCs w:val="21"/>
                <w:highlight w:val="none"/>
                <w:lang w:eastAsia="zh-CN"/>
              </w:rPr>
              <w:t>。</w:t>
            </w:r>
          </w:p>
          <w:p w14:paraId="068A8D87">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2）已标价监理</w:t>
            </w:r>
            <w:r>
              <w:rPr>
                <w:rFonts w:hint="eastAsia" w:ascii="宋体" w:hAnsi="宋体" w:cs="宋体"/>
                <w:color w:val="auto"/>
                <w:szCs w:val="21"/>
                <w:highlight w:val="none"/>
              </w:rPr>
              <w:t>试验室服务费用清单说明与招标文件规定一致，未进行实质性修改和删减</w:t>
            </w:r>
            <w:r>
              <w:rPr>
                <w:rFonts w:hint="eastAsia" w:ascii="宋体" w:hAnsi="宋体" w:cs="宋体"/>
                <w:color w:val="auto"/>
                <w:szCs w:val="21"/>
                <w:highlight w:val="none"/>
                <w:lang w:eastAsia="zh-CN"/>
              </w:rPr>
              <w:t>。</w:t>
            </w:r>
          </w:p>
          <w:p w14:paraId="5B52E84B">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3）投标文件组成齐全完整，内容均按规定填写。</w:t>
            </w:r>
          </w:p>
        </w:tc>
      </w:tr>
      <w:tr w14:paraId="3E5F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14:paraId="382DC043">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p>
        </w:tc>
        <w:tc>
          <w:tcPr>
            <w:tcW w:w="939" w:type="dxa"/>
            <w:vMerge w:val="continue"/>
            <w:vAlign w:val="center"/>
          </w:tcPr>
          <w:p w14:paraId="79291D37">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p>
        </w:tc>
        <w:tc>
          <w:tcPr>
            <w:tcW w:w="1910" w:type="dxa"/>
            <w:tcBorders>
              <w:top w:val="single" w:color="000000" w:sz="4" w:space="0"/>
              <w:left w:val="single" w:color="auto" w:sz="4" w:space="0"/>
              <w:bottom w:val="single" w:color="000000" w:sz="4" w:space="0"/>
              <w:right w:val="single" w:color="000000" w:sz="4" w:space="0"/>
            </w:tcBorders>
            <w:vAlign w:val="center"/>
          </w:tcPr>
          <w:p w14:paraId="47E0E661">
            <w:pPr>
              <w:keepNext w:val="0"/>
              <w:keepLines w:val="0"/>
              <w:pageBreakBefore w:val="0"/>
              <w:widowControl/>
              <w:kinsoku/>
              <w:wordWrap/>
              <w:overflowPunct/>
              <w:topLinePunct w:val="0"/>
              <w:autoSpaceDE/>
              <w:autoSpaceDN/>
              <w:bidi w:val="0"/>
              <w:adjustRightInd w:val="0"/>
              <w:snapToGrid w:val="0"/>
              <w:spacing w:line="380" w:lineRule="exact"/>
              <w:textAlignment w:val="auto"/>
              <w:rPr>
                <w:rFonts w:ascii="宋体" w:hAnsi="宋体"/>
                <w:color w:val="auto"/>
                <w:kern w:val="0"/>
                <w:szCs w:val="21"/>
                <w:highlight w:val="none"/>
              </w:rPr>
            </w:pPr>
            <w:r>
              <w:rPr>
                <w:color w:val="auto"/>
                <w:szCs w:val="21"/>
                <w:highlight w:val="none"/>
              </w:rPr>
              <w:t>2</w:t>
            </w:r>
            <w:r>
              <w:rPr>
                <w:rFonts w:hint="eastAsia"/>
                <w:color w:val="auto"/>
                <w:szCs w:val="21"/>
                <w:highlight w:val="none"/>
              </w:rPr>
              <w:t>．</w:t>
            </w:r>
            <w:r>
              <w:rPr>
                <w:rFonts w:hint="eastAsia" w:ascii="宋体" w:hAnsi="宋体" w:cs="宋体"/>
                <w:color w:val="auto"/>
                <w:szCs w:val="21"/>
                <w:highlight w:val="none"/>
              </w:rPr>
              <w:t>投标文件上法定代表人或其委托代理人的</w:t>
            </w:r>
            <w:r>
              <w:rPr>
                <w:rFonts w:hint="eastAsia" w:ascii="宋体" w:hAnsi="宋体" w:cs="宋体"/>
                <w:color w:val="auto"/>
                <w:szCs w:val="21"/>
                <w:highlight w:val="none"/>
                <w:lang w:val="en-US" w:eastAsia="zh-CN"/>
              </w:rPr>
              <w:t>个人</w:t>
            </w:r>
            <w:r>
              <w:rPr>
                <w:rFonts w:hint="eastAsia" w:ascii="宋体" w:hAnsi="宋体" w:cs="宋体"/>
                <w:color w:val="auto"/>
                <w:szCs w:val="21"/>
                <w:highlight w:val="none"/>
              </w:rPr>
              <w:t>电子签名章或个人电子印章、投标人的单位电子印章盖章齐全，符合招标文件规定</w:t>
            </w:r>
          </w:p>
        </w:tc>
        <w:tc>
          <w:tcPr>
            <w:tcW w:w="5121" w:type="dxa"/>
            <w:tcBorders>
              <w:bottom w:val="single" w:color="auto" w:sz="4" w:space="0"/>
            </w:tcBorders>
            <w:vAlign w:val="center"/>
          </w:tcPr>
          <w:p w14:paraId="014C1E61">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1）投标函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第二个信封</w:t>
            </w:r>
            <w:r>
              <w:rPr>
                <w:rFonts w:hint="eastAsia" w:ascii="宋体" w:hAnsi="宋体" w:cs="宋体"/>
                <w:color w:val="auto"/>
                <w:szCs w:val="21"/>
                <w:highlight w:val="none"/>
                <w:lang w:eastAsia="zh-CN"/>
              </w:rPr>
              <w:t>）</w:t>
            </w:r>
            <w:r>
              <w:rPr>
                <w:rFonts w:ascii="宋体" w:hAnsi="宋体" w:cs="宋体"/>
                <w:color w:val="auto"/>
                <w:szCs w:val="21"/>
                <w:highlight w:val="none"/>
              </w:rPr>
              <w:t>中要求盖单位电子印章</w:t>
            </w:r>
            <w:r>
              <w:rPr>
                <w:rFonts w:hint="eastAsia" w:ascii="宋体" w:hAnsi="宋体" w:cs="宋体"/>
                <w:color w:val="auto"/>
                <w:szCs w:val="21"/>
                <w:highlight w:val="none"/>
                <w:lang w:eastAsia="zh-CN"/>
              </w:rPr>
              <w:t>之处</w:t>
            </w:r>
            <w:r>
              <w:rPr>
                <w:rFonts w:ascii="宋体" w:hAnsi="宋体" w:cs="宋体"/>
                <w:color w:val="auto"/>
                <w:szCs w:val="21"/>
                <w:highlight w:val="none"/>
              </w:rPr>
              <w:t>，投标人均应使用</w:t>
            </w:r>
            <w:r>
              <w:rPr>
                <w:rFonts w:hint="eastAsia" w:ascii="宋体" w:hAnsi="宋体" w:cs="宋体"/>
                <w:color w:val="auto"/>
                <w:szCs w:val="21"/>
                <w:highlight w:val="none"/>
              </w:rPr>
              <w:t>单位</w:t>
            </w:r>
            <w:r>
              <w:rPr>
                <w:rFonts w:ascii="宋体" w:hAnsi="宋体" w:cs="宋体"/>
                <w:color w:val="auto"/>
                <w:szCs w:val="21"/>
                <w:highlight w:val="none"/>
              </w:rPr>
              <w:t>CA数字证书加盖投标人的单位电子印章；投标函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第二个信封</w:t>
            </w:r>
            <w:r>
              <w:rPr>
                <w:rFonts w:hint="eastAsia" w:ascii="宋体" w:hAnsi="宋体" w:cs="宋体"/>
                <w:color w:val="auto"/>
                <w:szCs w:val="21"/>
                <w:highlight w:val="none"/>
                <w:lang w:eastAsia="zh-CN"/>
              </w:rPr>
              <w:t>）</w:t>
            </w:r>
            <w:r>
              <w:rPr>
                <w:rFonts w:ascii="宋体" w:hAnsi="宋体" w:cs="宋体"/>
                <w:color w:val="auto"/>
                <w:szCs w:val="21"/>
                <w:highlight w:val="none"/>
              </w:rPr>
              <w:t>中要求签字</w:t>
            </w:r>
            <w:r>
              <w:rPr>
                <w:rFonts w:hint="eastAsia" w:ascii="宋体" w:hAnsi="宋体" w:cs="宋体"/>
                <w:color w:val="auto"/>
                <w:szCs w:val="21"/>
                <w:highlight w:val="none"/>
                <w:lang w:eastAsia="zh-CN"/>
              </w:rPr>
              <w:t>之处</w:t>
            </w:r>
            <w:r>
              <w:rPr>
                <w:rFonts w:ascii="宋体" w:hAnsi="宋体" w:cs="宋体"/>
                <w:color w:val="auto"/>
                <w:szCs w:val="21"/>
                <w:highlight w:val="none"/>
              </w:rPr>
              <w:t>，投标人均应使用</w:t>
            </w:r>
            <w:r>
              <w:rPr>
                <w:rFonts w:hint="eastAsia" w:ascii="宋体" w:hAnsi="宋体" w:cs="宋体"/>
                <w:color w:val="auto"/>
                <w:szCs w:val="21"/>
                <w:highlight w:val="none"/>
              </w:rPr>
              <w:t>个人</w:t>
            </w:r>
            <w:r>
              <w:rPr>
                <w:rFonts w:ascii="宋体" w:hAnsi="宋体" w:cs="宋体"/>
                <w:color w:val="auto"/>
                <w:szCs w:val="21"/>
                <w:highlight w:val="none"/>
              </w:rPr>
              <w:t>CA数字证书加盖法定代表人或其委托代理人的</w:t>
            </w:r>
            <w:r>
              <w:rPr>
                <w:rFonts w:hint="eastAsia" w:ascii="宋体" w:hAnsi="宋体" w:cs="宋体"/>
                <w:color w:val="auto"/>
                <w:szCs w:val="21"/>
                <w:highlight w:val="none"/>
              </w:rPr>
              <w:t>个人电子签名章或个人电子印章。</w:t>
            </w:r>
          </w:p>
          <w:p w14:paraId="7F1D0B36">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lang w:val="en-US" w:eastAsia="zh-CN"/>
              </w:rPr>
              <w:t>以</w:t>
            </w:r>
            <w:r>
              <w:rPr>
                <w:rFonts w:hint="eastAsia"/>
                <w:color w:val="auto"/>
                <w:szCs w:val="21"/>
                <w:highlight w:val="none"/>
              </w:rPr>
              <w:t>联合体</w:t>
            </w:r>
            <w:r>
              <w:rPr>
                <w:rFonts w:hint="eastAsia"/>
                <w:color w:val="auto"/>
                <w:szCs w:val="21"/>
                <w:highlight w:val="none"/>
                <w:lang w:val="en-US" w:eastAsia="zh-CN"/>
              </w:rPr>
              <w:t>形式</w:t>
            </w:r>
            <w:r>
              <w:rPr>
                <w:rFonts w:hint="eastAsia"/>
                <w:color w:val="auto"/>
                <w:szCs w:val="21"/>
                <w:highlight w:val="none"/>
              </w:rPr>
              <w:t>投标的，投标函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第二个信封</w:t>
            </w:r>
            <w:r>
              <w:rPr>
                <w:rFonts w:hint="eastAsia" w:ascii="宋体" w:hAnsi="宋体" w:cs="宋体"/>
                <w:color w:val="auto"/>
                <w:szCs w:val="21"/>
                <w:highlight w:val="none"/>
                <w:lang w:eastAsia="zh-CN"/>
              </w:rPr>
              <w:t>）</w:t>
            </w:r>
            <w:r>
              <w:rPr>
                <w:rFonts w:hint="eastAsia"/>
                <w:color w:val="auto"/>
                <w:szCs w:val="21"/>
                <w:highlight w:val="none"/>
              </w:rPr>
              <w:t>由联合体牵头人按</w:t>
            </w:r>
            <w:r>
              <w:rPr>
                <w:rFonts w:hint="eastAsia" w:ascii="宋体" w:hAnsi="宋体" w:cs="宋体"/>
                <w:color w:val="auto"/>
                <w:szCs w:val="21"/>
                <w:highlight w:val="none"/>
              </w:rPr>
              <w:t>上述</w:t>
            </w:r>
            <w:r>
              <w:rPr>
                <w:rFonts w:hint="eastAsia" w:ascii="宋体" w:hAnsi="宋体" w:cs="宋体"/>
                <w:color w:val="auto"/>
                <w:szCs w:val="21"/>
                <w:highlight w:val="none"/>
                <w:lang w:val="en-US" w:eastAsia="zh-CN"/>
              </w:rPr>
              <w:t>规定</w:t>
            </w:r>
            <w:r>
              <w:rPr>
                <w:rFonts w:hint="eastAsia" w:ascii="宋体" w:hAnsi="宋体" w:cs="宋体"/>
                <w:color w:val="auto"/>
                <w:szCs w:val="21"/>
                <w:highlight w:val="none"/>
              </w:rPr>
              <w:t>完成签字、盖章</w:t>
            </w:r>
            <w:r>
              <w:rPr>
                <w:rFonts w:hint="eastAsia"/>
                <w:color w:val="auto"/>
                <w:szCs w:val="21"/>
                <w:highlight w:val="none"/>
              </w:rPr>
              <w:t>。</w:t>
            </w:r>
          </w:p>
        </w:tc>
      </w:tr>
      <w:tr w14:paraId="29BD3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14:paraId="4A1653AA">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p>
        </w:tc>
        <w:tc>
          <w:tcPr>
            <w:tcW w:w="939" w:type="dxa"/>
            <w:vAlign w:val="center"/>
          </w:tcPr>
          <w:p w14:paraId="73010E0E">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r>
              <w:rPr>
                <w:rFonts w:ascii="宋体" w:hAnsi="宋体" w:cs="宋体"/>
                <w:color w:val="auto"/>
                <w:szCs w:val="21"/>
                <w:highlight w:val="none"/>
              </w:rPr>
              <w:t>2.1.3</w:t>
            </w:r>
          </w:p>
          <w:p w14:paraId="1113E3C5">
            <w:pPr>
              <w:pStyle w:val="276"/>
              <w:keepNext w:val="0"/>
              <w:keepLines w:val="0"/>
              <w:pageBreakBefore w:val="0"/>
              <w:kinsoku/>
              <w:wordWrap/>
              <w:overflowPunct/>
              <w:topLinePunct w:val="0"/>
              <w:autoSpaceDE/>
              <w:autoSpaceDN/>
              <w:bidi w:val="0"/>
              <w:adjustRightInd w:val="0"/>
              <w:snapToGrid w:val="0"/>
              <w:spacing w:line="38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响应性评审标准</w:t>
            </w:r>
          </w:p>
        </w:tc>
        <w:tc>
          <w:tcPr>
            <w:tcW w:w="1910" w:type="dxa"/>
            <w:vAlign w:val="center"/>
          </w:tcPr>
          <w:p w14:paraId="7FCBB42B">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ascii="宋体" w:hAnsi="宋体" w:cs="宋体"/>
                <w:color w:val="auto"/>
                <w:szCs w:val="21"/>
                <w:highlight w:val="none"/>
              </w:rPr>
              <w:t>1.投标文件应符合的其他规定</w:t>
            </w:r>
          </w:p>
        </w:tc>
        <w:tc>
          <w:tcPr>
            <w:tcW w:w="5121" w:type="dxa"/>
            <w:vAlign w:val="center"/>
          </w:tcPr>
          <w:p w14:paraId="75C0A535">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1）投标报价未超过招标文件设定的最高投标限价（如有）。</w:t>
            </w:r>
          </w:p>
          <w:p w14:paraId="6552B59F">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2）投标报价的大写金额能够确定具体数值。</w:t>
            </w:r>
            <w:r>
              <w:rPr>
                <w:rStyle w:val="58"/>
                <w:rFonts w:ascii="宋体" w:hAnsi="宋体"/>
                <w:szCs w:val="21"/>
              </w:rPr>
              <w:footnoteReference w:id="85"/>
            </w:r>
          </w:p>
          <w:p w14:paraId="480113D6">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szCs w:val="21"/>
              </w:rPr>
              <w:t>同一投标人未提交两个</w:t>
            </w:r>
            <w:r>
              <w:rPr>
                <w:rFonts w:hint="eastAsia" w:ascii="宋体" w:hAnsi="宋体" w:cs="宋体"/>
                <w:szCs w:val="21"/>
                <w:lang w:val="en-US" w:eastAsia="zh-CN"/>
              </w:rPr>
              <w:t>及</w:t>
            </w:r>
            <w:r>
              <w:rPr>
                <w:rFonts w:hint="eastAsia" w:ascii="宋体" w:hAnsi="宋体" w:cs="宋体"/>
                <w:szCs w:val="21"/>
              </w:rPr>
              <w:t>以上</w:t>
            </w:r>
            <w:r>
              <w:rPr>
                <w:rFonts w:ascii="宋体" w:hAnsi="宋体" w:cs="宋体"/>
                <w:szCs w:val="21"/>
              </w:rPr>
              <w:t>投标报价，</w:t>
            </w:r>
            <w:r>
              <w:rPr>
                <w:rFonts w:hint="eastAsia" w:ascii="宋体" w:hAnsi="宋体" w:cs="宋体"/>
                <w:szCs w:val="21"/>
              </w:rPr>
              <w:t>但招标文件要求提交备选</w:t>
            </w:r>
            <w:r>
              <w:rPr>
                <w:rFonts w:hint="eastAsia" w:ascii="宋体" w:hAnsi="宋体" w:cs="宋体"/>
                <w:szCs w:val="21"/>
                <w:lang w:val="en-US" w:eastAsia="zh-CN"/>
              </w:rPr>
              <w:t>投标</w:t>
            </w:r>
            <w:r>
              <w:rPr>
                <w:rFonts w:hint="eastAsia" w:ascii="宋体" w:hAnsi="宋体" w:cs="宋体"/>
                <w:szCs w:val="21"/>
              </w:rPr>
              <w:t>方案的除外</w:t>
            </w:r>
            <w:r>
              <w:rPr>
                <w:rFonts w:ascii="宋体" w:hAnsi="宋体" w:cs="宋体"/>
                <w:color w:val="auto"/>
                <w:szCs w:val="21"/>
                <w:highlight w:val="none"/>
              </w:rPr>
              <w:t>。</w:t>
            </w:r>
          </w:p>
          <w:p w14:paraId="53AC21DB">
            <w:pPr>
              <w:pStyle w:val="276"/>
              <w:keepNext w:val="0"/>
              <w:keepLines w:val="0"/>
              <w:pageBreakBefore w:val="0"/>
              <w:kinsoku/>
              <w:wordWrap/>
              <w:overflowPunct/>
              <w:topLinePunct w:val="0"/>
              <w:autoSpaceDE/>
              <w:autoSpaceDN/>
              <w:bidi w:val="0"/>
              <w:adjustRightInd w:val="0"/>
              <w:snapToGrid w:val="0"/>
              <w:spacing w:line="380" w:lineRule="exact"/>
              <w:textAlignment w:val="auto"/>
              <w:rPr>
                <w:rFonts w:ascii="宋体" w:hAnsi="宋体" w:cs="宋体"/>
                <w:color w:val="auto"/>
                <w:szCs w:val="21"/>
                <w:highlight w:val="none"/>
              </w:rPr>
            </w:pPr>
            <w:r>
              <w:rPr>
                <w:rFonts w:hint="eastAsia" w:ascii="宋体" w:hAnsi="宋体" w:eastAsia="宋体" w:cs="宋体"/>
                <w:color w:val="auto"/>
                <w:szCs w:val="21"/>
                <w:highlight w:val="none"/>
              </w:rPr>
              <w:t>……</w:t>
            </w:r>
          </w:p>
        </w:tc>
      </w:tr>
    </w:tbl>
    <w:p w14:paraId="2B882131">
      <w:pPr>
        <w:rPr>
          <w:color w:val="auto"/>
          <w:highlight w:val="none"/>
        </w:rPr>
      </w:pPr>
    </w:p>
    <w:p w14:paraId="7A213ADE">
      <w:pPr>
        <w:rPr>
          <w:rFonts w:hint="eastAsia"/>
          <w:color w:val="auto"/>
          <w:highlight w:val="none"/>
          <w:lang w:val="en-US" w:eastAsia="zh-CN"/>
        </w:rPr>
      </w:pPr>
      <w:r>
        <w:rPr>
          <w:rFonts w:hint="eastAsia"/>
          <w:color w:val="auto"/>
          <w:highlight w:val="none"/>
          <w:lang w:val="en-US" w:eastAsia="zh-CN"/>
        </w:rPr>
        <w:br w:type="page"/>
      </w:r>
    </w:p>
    <w:p w14:paraId="47EC818B">
      <w:pPr>
        <w:jc w:val="right"/>
        <w:rPr>
          <w:rFonts w:hint="eastAsia" w:eastAsia="宋体"/>
          <w:color w:val="auto"/>
          <w:highlight w:val="none"/>
          <w:lang w:val="en-US" w:eastAsia="zh-CN"/>
        </w:rPr>
      </w:pPr>
      <w:r>
        <w:rPr>
          <w:rFonts w:hint="eastAsia"/>
          <w:color w:val="auto"/>
          <w:highlight w:val="none"/>
          <w:lang w:val="en-US" w:eastAsia="zh-CN"/>
        </w:rPr>
        <w:t>续上表</w:t>
      </w:r>
    </w:p>
    <w:tbl>
      <w:tblPr>
        <w:tblStyle w:val="48"/>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137"/>
        <w:gridCol w:w="6842"/>
      </w:tblGrid>
      <w:tr w14:paraId="3C4B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925" w:type="dxa"/>
            <w:vAlign w:val="center"/>
          </w:tcPr>
          <w:p w14:paraId="50169CAA">
            <w:pPr>
              <w:pStyle w:val="276"/>
              <w:adjustRightInd w:val="0"/>
              <w:snapToGrid w:val="0"/>
              <w:spacing w:line="400" w:lineRule="exact"/>
              <w:jc w:val="center"/>
              <w:rPr>
                <w:rFonts w:ascii="宋体" w:hAnsi="宋体" w:eastAsia="宋体" w:cs="宋体"/>
                <w:b/>
                <w:bCs/>
                <w:color w:val="auto"/>
                <w:kern w:val="2"/>
                <w:sz w:val="21"/>
                <w:szCs w:val="21"/>
                <w:highlight w:val="none"/>
                <w:lang w:val="en-US" w:eastAsia="zh-CN" w:bidi="ar-SA"/>
              </w:rPr>
            </w:pPr>
            <w:r>
              <w:rPr>
                <w:rFonts w:hint="eastAsia" w:ascii="宋体" w:hAnsi="宋体" w:cs="宋体"/>
                <w:b/>
                <w:bCs/>
                <w:color w:val="auto"/>
                <w:szCs w:val="21"/>
                <w:highlight w:val="none"/>
              </w:rPr>
              <w:t>条款号</w:t>
            </w:r>
          </w:p>
        </w:tc>
        <w:tc>
          <w:tcPr>
            <w:tcW w:w="1137" w:type="dxa"/>
            <w:vAlign w:val="center"/>
          </w:tcPr>
          <w:p w14:paraId="68BD57C9">
            <w:pPr>
              <w:pStyle w:val="276"/>
              <w:adjustRightInd w:val="0"/>
              <w:snapToGrid w:val="0"/>
              <w:spacing w:line="400" w:lineRule="exact"/>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Cs w:val="21"/>
                <w:highlight w:val="none"/>
              </w:rPr>
              <w:t>条款内容</w:t>
            </w:r>
          </w:p>
        </w:tc>
        <w:tc>
          <w:tcPr>
            <w:tcW w:w="6842" w:type="dxa"/>
            <w:vAlign w:val="center"/>
          </w:tcPr>
          <w:p w14:paraId="3129B4DF">
            <w:pPr>
              <w:pStyle w:val="276"/>
              <w:adjustRightInd w:val="0"/>
              <w:snapToGrid w:val="0"/>
              <w:spacing w:line="40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szCs w:val="21"/>
                <w:highlight w:val="none"/>
              </w:rPr>
              <w:t>编列内容</w:t>
            </w:r>
          </w:p>
        </w:tc>
      </w:tr>
      <w:tr w14:paraId="459C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925" w:type="dxa"/>
            <w:vAlign w:val="center"/>
          </w:tcPr>
          <w:p w14:paraId="5C1A7D22">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2.2.1</w:t>
            </w:r>
          </w:p>
        </w:tc>
        <w:tc>
          <w:tcPr>
            <w:tcW w:w="1137" w:type="dxa"/>
            <w:vAlign w:val="center"/>
          </w:tcPr>
          <w:p w14:paraId="42E0B65B">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分值</w:t>
            </w:r>
          </w:p>
          <w:p w14:paraId="0A963E5A">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构成</w:t>
            </w:r>
          </w:p>
          <w:p w14:paraId="16B34F15">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（总分</w:t>
            </w:r>
            <w:r>
              <w:rPr>
                <w:rFonts w:ascii="宋体" w:hAnsi="宋体" w:cs="宋体"/>
                <w:color w:val="auto"/>
                <w:szCs w:val="21"/>
                <w:highlight w:val="none"/>
              </w:rPr>
              <w:t>100分）</w:t>
            </w:r>
          </w:p>
        </w:tc>
        <w:tc>
          <w:tcPr>
            <w:tcW w:w="6842" w:type="dxa"/>
            <w:vAlign w:val="center"/>
          </w:tcPr>
          <w:p w14:paraId="3443FD6A">
            <w:pPr>
              <w:pStyle w:val="276"/>
              <w:adjustRightInd w:val="0"/>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u w:val="single"/>
              </w:rPr>
              <w:t xml:space="preserve">     </w:t>
            </w:r>
            <w:r>
              <w:rPr>
                <w:rFonts w:hint="eastAsia" w:ascii="宋体" w:hAnsi="宋体" w:cs="宋体"/>
                <w:b/>
                <w:color w:val="auto"/>
                <w:szCs w:val="21"/>
                <w:highlight w:val="none"/>
              </w:rPr>
              <w:t>标段</w:t>
            </w:r>
          </w:p>
          <w:p w14:paraId="1A0C8A1F">
            <w:pPr>
              <w:pStyle w:val="276"/>
              <w:adjustRightInd w:val="0"/>
              <w:snapToGrid w:val="0"/>
              <w:spacing w:line="400" w:lineRule="exact"/>
              <w:ind w:firstLine="315" w:firstLineChars="150"/>
              <w:rPr>
                <w:rFonts w:ascii="宋体" w:hAnsi="宋体" w:cs="宋体"/>
                <w:color w:val="auto"/>
                <w:szCs w:val="21"/>
                <w:highlight w:val="none"/>
              </w:rPr>
            </w:pPr>
            <w:r>
              <w:rPr>
                <w:rFonts w:hint="eastAsia" w:ascii="黑体" w:hAnsi="黑体" w:eastAsia="黑体" w:cs="黑体"/>
                <w:color w:val="auto"/>
                <w:szCs w:val="21"/>
                <w:highlight w:val="none"/>
              </w:rPr>
              <w:t>第一个信封（商务及技术文件）评分分值构成</w:t>
            </w:r>
            <w:r>
              <w:rPr>
                <w:rStyle w:val="58"/>
                <w:rFonts w:ascii="宋体" w:hAnsi="宋体" w:cs="宋体"/>
                <w:color w:val="auto"/>
                <w:szCs w:val="21"/>
                <w:highlight w:val="none"/>
              </w:rPr>
              <w:footnoteReference w:id="86"/>
            </w:r>
            <w:r>
              <w:rPr>
                <w:rFonts w:hint="eastAsia" w:ascii="宋体" w:hAnsi="宋体" w:cs="宋体"/>
                <w:color w:val="auto"/>
                <w:szCs w:val="21"/>
                <w:highlight w:val="none"/>
              </w:rPr>
              <w:t>：</w:t>
            </w:r>
          </w:p>
          <w:p w14:paraId="29059818">
            <w:pPr>
              <w:pStyle w:val="276"/>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技术建议书：</w:t>
            </w:r>
            <w:r>
              <w:rPr>
                <w:rFonts w:ascii="宋体" w:hAnsi="宋体" w:cs="宋体"/>
                <w:color w:val="auto"/>
                <w:szCs w:val="21"/>
                <w:highlight w:val="none"/>
                <w:u w:val="single"/>
              </w:rPr>
              <w:t xml:space="preserve">    </w:t>
            </w:r>
            <w:r>
              <w:rPr>
                <w:rFonts w:ascii="宋体" w:hAnsi="宋体" w:cs="宋体"/>
                <w:color w:val="auto"/>
                <w:szCs w:val="21"/>
                <w:highlight w:val="none"/>
              </w:rPr>
              <w:t>分</w:t>
            </w:r>
          </w:p>
          <w:p w14:paraId="31962DAA">
            <w:pPr>
              <w:pStyle w:val="276"/>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主要人员：</w:t>
            </w:r>
            <w:r>
              <w:rPr>
                <w:rFonts w:ascii="宋体" w:hAnsi="宋体" w:cs="宋体"/>
                <w:color w:val="auto"/>
                <w:szCs w:val="21"/>
                <w:highlight w:val="none"/>
                <w:u w:val="single"/>
              </w:rPr>
              <w:t xml:space="preserve">      </w:t>
            </w:r>
            <w:r>
              <w:rPr>
                <w:rFonts w:ascii="宋体" w:hAnsi="宋体" w:cs="宋体"/>
                <w:color w:val="auto"/>
                <w:szCs w:val="21"/>
                <w:highlight w:val="none"/>
              </w:rPr>
              <w:t>分</w:t>
            </w:r>
          </w:p>
          <w:p w14:paraId="59D9B375">
            <w:pPr>
              <w:pStyle w:val="276"/>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其他因素：</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分，其中：</w:t>
            </w:r>
          </w:p>
          <w:p w14:paraId="1A2DD0E1">
            <w:pPr>
              <w:pStyle w:val="276"/>
              <w:adjustRightInd w:val="0"/>
              <w:snapToGrid w:val="0"/>
              <w:spacing w:line="400" w:lineRule="exact"/>
              <w:ind w:firstLine="1050" w:firstLineChars="500"/>
              <w:rPr>
                <w:rFonts w:ascii="宋体" w:hAnsi="宋体" w:cs="宋体"/>
                <w:color w:val="auto"/>
                <w:szCs w:val="21"/>
                <w:highlight w:val="none"/>
              </w:rPr>
            </w:pPr>
            <w:r>
              <w:rPr>
                <w:rFonts w:hint="eastAsia" w:ascii="宋体" w:hAnsi="宋体" w:cs="宋体"/>
                <w:color w:val="auto"/>
                <w:szCs w:val="21"/>
                <w:highlight w:val="none"/>
              </w:rPr>
              <w:t>业</w:t>
            </w:r>
            <w:r>
              <w:rPr>
                <w:rFonts w:ascii="宋体" w:hAnsi="宋体" w:cs="宋体"/>
                <w:color w:val="auto"/>
                <w:szCs w:val="21"/>
                <w:highlight w:val="none"/>
              </w:rPr>
              <w:t xml:space="preserve">    绩：</w:t>
            </w:r>
            <w:r>
              <w:rPr>
                <w:rFonts w:ascii="宋体" w:hAnsi="宋体" w:cs="宋体"/>
                <w:color w:val="auto"/>
                <w:szCs w:val="21"/>
                <w:highlight w:val="none"/>
                <w:u w:val="single"/>
              </w:rPr>
              <w:t xml:space="preserve">       </w:t>
            </w:r>
            <w:r>
              <w:rPr>
                <w:rFonts w:ascii="宋体" w:hAnsi="宋体" w:cs="宋体"/>
                <w:color w:val="auto"/>
                <w:szCs w:val="21"/>
                <w:highlight w:val="none"/>
              </w:rPr>
              <w:t>分</w:t>
            </w:r>
          </w:p>
          <w:p w14:paraId="39423DDE">
            <w:pPr>
              <w:pStyle w:val="276"/>
              <w:adjustRightInd w:val="0"/>
              <w:snapToGrid w:val="0"/>
              <w:spacing w:line="400" w:lineRule="exact"/>
              <w:ind w:firstLine="1050" w:firstLineChars="500"/>
              <w:rPr>
                <w:rFonts w:ascii="宋体" w:hAnsi="宋体" w:cs="宋体"/>
                <w:color w:val="auto"/>
                <w:szCs w:val="21"/>
                <w:highlight w:val="none"/>
              </w:rPr>
            </w:pPr>
            <w:r>
              <w:rPr>
                <w:rFonts w:hint="eastAsia" w:ascii="宋体" w:hAnsi="宋体" w:cs="宋体"/>
                <w:color w:val="auto"/>
                <w:szCs w:val="21"/>
                <w:highlight w:val="none"/>
              </w:rPr>
              <w:t>技术能力</w:t>
            </w:r>
            <w:r>
              <w:rPr>
                <w:rStyle w:val="58"/>
                <w:rFonts w:ascii="宋体" w:hAnsi="宋体" w:cs="宋体"/>
                <w:color w:val="auto"/>
                <w:szCs w:val="21"/>
                <w:highlight w:val="none"/>
              </w:rPr>
              <w:footnoteReference w:id="87"/>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Fonts w:ascii="宋体" w:hAnsi="宋体" w:cs="宋体"/>
                <w:color w:val="auto"/>
                <w:szCs w:val="21"/>
                <w:highlight w:val="none"/>
              </w:rPr>
              <w:t>分</w:t>
            </w:r>
          </w:p>
          <w:p w14:paraId="240811FE">
            <w:pPr>
              <w:pStyle w:val="276"/>
              <w:adjustRightInd w:val="0"/>
              <w:snapToGrid w:val="0"/>
              <w:spacing w:line="400" w:lineRule="exact"/>
              <w:ind w:firstLine="1050" w:firstLineChars="500"/>
              <w:rPr>
                <w:rFonts w:ascii="宋体" w:hAnsi="宋体" w:cs="宋体"/>
                <w:color w:val="auto"/>
                <w:szCs w:val="21"/>
                <w:highlight w:val="none"/>
              </w:rPr>
            </w:pPr>
            <w:r>
              <w:rPr>
                <w:rFonts w:hint="eastAsia" w:ascii="宋体" w:hAnsi="宋体" w:cs="宋体"/>
                <w:color w:val="auto"/>
                <w:szCs w:val="21"/>
                <w:highlight w:val="none"/>
              </w:rPr>
              <w:t>履约信誉：</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分</w:t>
            </w:r>
          </w:p>
          <w:p w14:paraId="7221A330">
            <w:pPr>
              <w:pStyle w:val="276"/>
              <w:adjustRightInd w:val="0"/>
              <w:snapToGrid w:val="0"/>
              <w:spacing w:line="400" w:lineRule="exact"/>
              <w:ind w:firstLine="1155" w:firstLineChars="550"/>
              <w:rPr>
                <w:rFonts w:ascii="宋体" w:hAnsi="宋体" w:cs="宋体"/>
                <w:color w:val="auto"/>
                <w:szCs w:val="21"/>
                <w:highlight w:val="none"/>
              </w:rPr>
            </w:pPr>
            <w:r>
              <w:rPr>
                <w:rFonts w:hint="eastAsia" w:ascii="宋体" w:hAnsi="宋体" w:cs="宋体"/>
                <w:color w:val="auto"/>
                <w:szCs w:val="21"/>
                <w:highlight w:val="none"/>
              </w:rPr>
              <w:t>……</w:t>
            </w:r>
          </w:p>
          <w:p w14:paraId="386CCDB8">
            <w:pPr>
              <w:pStyle w:val="276"/>
              <w:adjustRightInd w:val="0"/>
              <w:snapToGrid w:val="0"/>
              <w:spacing w:line="400" w:lineRule="exact"/>
              <w:ind w:firstLine="315" w:firstLineChars="150"/>
              <w:rPr>
                <w:rFonts w:ascii="宋体" w:hAnsi="宋体" w:cs="宋体"/>
                <w:color w:val="auto"/>
                <w:szCs w:val="21"/>
                <w:highlight w:val="none"/>
              </w:rPr>
            </w:pPr>
            <w:r>
              <w:rPr>
                <w:rFonts w:hint="eastAsia" w:ascii="黑体" w:hAnsi="黑体" w:eastAsia="黑体" w:cs="黑体"/>
                <w:color w:val="auto"/>
                <w:szCs w:val="21"/>
                <w:highlight w:val="none"/>
              </w:rPr>
              <w:t>第二个信封（报价文件）评分分值构成</w:t>
            </w:r>
            <w:r>
              <w:rPr>
                <w:rStyle w:val="58"/>
                <w:rFonts w:ascii="宋体" w:hAnsi="宋体" w:cs="宋体"/>
                <w:color w:val="auto"/>
                <w:szCs w:val="21"/>
                <w:highlight w:val="none"/>
              </w:rPr>
              <w:footnoteReference w:id="88"/>
            </w:r>
            <w:r>
              <w:rPr>
                <w:rFonts w:hint="eastAsia" w:ascii="宋体" w:hAnsi="宋体" w:cs="宋体"/>
                <w:color w:val="auto"/>
                <w:szCs w:val="21"/>
                <w:highlight w:val="none"/>
              </w:rPr>
              <w:t>：</w:t>
            </w:r>
          </w:p>
          <w:p w14:paraId="4538C668">
            <w:pPr>
              <w:pStyle w:val="276"/>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评标价：</w:t>
            </w: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p w14:paraId="6527AB01">
            <w:pPr>
              <w:pStyle w:val="276"/>
              <w:adjustRightInd w:val="0"/>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u w:val="single"/>
              </w:rPr>
              <w:t xml:space="preserve">     </w:t>
            </w:r>
            <w:r>
              <w:rPr>
                <w:rFonts w:hint="eastAsia" w:ascii="宋体" w:hAnsi="宋体" w:cs="宋体"/>
                <w:b/>
                <w:color w:val="auto"/>
                <w:szCs w:val="21"/>
                <w:highlight w:val="none"/>
              </w:rPr>
              <w:t>标段</w:t>
            </w:r>
          </w:p>
          <w:p w14:paraId="76D81CC2">
            <w:pPr>
              <w:pStyle w:val="276"/>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w:t>
            </w:r>
          </w:p>
        </w:tc>
      </w:tr>
      <w:tr w14:paraId="5438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27B046EA">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2.2.2</w:t>
            </w:r>
          </w:p>
        </w:tc>
        <w:tc>
          <w:tcPr>
            <w:tcW w:w="1137" w:type="dxa"/>
            <w:vAlign w:val="center"/>
          </w:tcPr>
          <w:p w14:paraId="256224FF">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评标基准价计算方法</w:t>
            </w:r>
          </w:p>
        </w:tc>
        <w:tc>
          <w:tcPr>
            <w:tcW w:w="6842" w:type="dxa"/>
            <w:vAlign w:val="center"/>
          </w:tcPr>
          <w:p w14:paraId="12B2575B">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评标基准价的计算</w:t>
            </w:r>
            <w:r>
              <w:rPr>
                <w:rStyle w:val="58"/>
                <w:rFonts w:hint="eastAsia" w:ascii="宋体" w:hAnsi="宋体" w:cs="宋体"/>
                <w:color w:val="auto"/>
                <w:szCs w:val="21"/>
                <w:highlight w:val="none"/>
              </w:rPr>
              <w:footnoteReference w:id="89"/>
            </w:r>
            <w:r>
              <w:rPr>
                <w:rFonts w:hint="eastAsia" w:ascii="宋体" w:hAnsi="宋体" w:cs="宋体"/>
                <w:color w:val="auto"/>
                <w:szCs w:val="21"/>
                <w:highlight w:val="none"/>
              </w:rPr>
              <w:t>：</w:t>
            </w:r>
          </w:p>
          <w:p w14:paraId="5DD4B872">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在开标现场，招标人将当场计算并宣布评标基准价。</w:t>
            </w:r>
          </w:p>
          <w:p w14:paraId="3F107A35">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1）评标价的确定：</w:t>
            </w:r>
          </w:p>
          <w:p w14:paraId="2FC5F051">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评标价＝</w:t>
            </w:r>
            <w:r>
              <w:rPr>
                <w:rFonts w:hint="eastAsia" w:ascii="宋体" w:hAnsi="宋体" w:cs="宋体"/>
                <w:color w:val="auto"/>
                <w:szCs w:val="21"/>
                <w:highlight w:val="none"/>
                <w:u w:val="single"/>
              </w:rPr>
              <w:t>通过第一个信封</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商务及技术文件</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评审的投标人投标函</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第二个信封</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中投标总报价大写金额</w:t>
            </w:r>
            <w:r>
              <w:rPr>
                <w:rStyle w:val="58"/>
                <w:rFonts w:hint="eastAsia" w:ascii="宋体" w:hAnsi="宋体" w:cs="宋体"/>
                <w:szCs w:val="21"/>
              </w:rPr>
              <w:footnoteReference w:id="90"/>
            </w:r>
          </w:p>
          <w:p w14:paraId="1B6F2A12">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）评标价不参加评标基准价计算的情形：</w:t>
            </w:r>
          </w:p>
          <w:p w14:paraId="70BB97F3">
            <w:pPr>
              <w:pStyle w:val="276"/>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①未在投标函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第二个信封</w:t>
            </w:r>
            <w:r>
              <w:rPr>
                <w:rFonts w:hint="eastAsia" w:ascii="宋体" w:hAnsi="宋体" w:cs="宋体"/>
                <w:color w:val="auto"/>
                <w:szCs w:val="21"/>
                <w:highlight w:val="none"/>
                <w:lang w:eastAsia="zh-CN"/>
              </w:rPr>
              <w:t>）</w:t>
            </w:r>
            <w:r>
              <w:rPr>
                <w:rFonts w:hint="eastAsia" w:ascii="宋体" w:hAnsi="宋体" w:cs="宋体"/>
                <w:color w:val="auto"/>
                <w:szCs w:val="21"/>
                <w:highlight w:val="none"/>
              </w:rPr>
              <w:t>上填写投标总价；</w:t>
            </w:r>
          </w:p>
          <w:p w14:paraId="4A42B973">
            <w:pPr>
              <w:pStyle w:val="276"/>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②投标报价超出招标人公布的最高投标限价；</w:t>
            </w:r>
          </w:p>
          <w:p w14:paraId="02DCF115">
            <w:pPr>
              <w:pStyle w:val="276"/>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③投标报价的大写金额无法确定具体数值；</w:t>
            </w:r>
            <w:r>
              <w:rPr>
                <w:rStyle w:val="58"/>
                <w:rFonts w:ascii="宋体" w:hAnsi="宋体"/>
                <w:szCs w:val="21"/>
              </w:rPr>
              <w:footnoteReference w:id="91"/>
            </w:r>
          </w:p>
          <w:p w14:paraId="5B2359D5">
            <w:pPr>
              <w:pStyle w:val="276"/>
              <w:adjustRightInd w:val="0"/>
              <w:snapToGrid w:val="0"/>
              <w:spacing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color w:val="auto"/>
                <w:szCs w:val="21"/>
                <w:highlight w:val="none"/>
              </w:rPr>
              <w:fldChar w:fldCharType="begin"/>
            </w:r>
            <w:r>
              <w:rPr>
                <w:rFonts w:ascii="宋体" w:hAnsi="宋体" w:cs="宋体"/>
                <w:color w:val="auto"/>
                <w:szCs w:val="21"/>
                <w:highlight w:val="none"/>
              </w:rPr>
              <w:instrText xml:space="preserve"> = 4 \* GB3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④</w:t>
            </w:r>
            <w:r>
              <w:rPr>
                <w:rFonts w:hint="eastAsia" w:ascii="宋体" w:hAnsi="宋体" w:cs="宋体"/>
                <w:color w:val="auto"/>
                <w:szCs w:val="21"/>
                <w:highlight w:val="none"/>
              </w:rPr>
              <w:fldChar w:fldCharType="end"/>
            </w:r>
            <w:r>
              <w:rPr>
                <w:rFonts w:hint="eastAsia" w:ascii="宋体" w:hAnsi="宋体" w:cs="宋体"/>
                <w:color w:val="auto"/>
                <w:szCs w:val="21"/>
                <w:highlight w:val="none"/>
              </w:rPr>
              <w:t>投标报价低于招标人公布的最高投标限价的</w:t>
            </w:r>
            <w:r>
              <w:rPr>
                <w:rFonts w:ascii="宋体" w:hAnsi="宋体" w:cs="宋体"/>
                <w:color w:val="auto"/>
                <w:szCs w:val="21"/>
                <w:highlight w:val="none"/>
                <w:u w:val="single"/>
              </w:rPr>
              <w:t xml:space="preserve">    </w:t>
            </w:r>
            <w:r>
              <w:rPr>
                <w:rFonts w:ascii="宋体" w:hAnsi="宋体" w:cs="宋体"/>
                <w:color w:val="auto"/>
                <w:szCs w:val="21"/>
                <w:highlight w:val="none"/>
              </w:rPr>
              <w:t>%</w:t>
            </w:r>
            <w:r>
              <w:rPr>
                <w:rStyle w:val="58"/>
                <w:rFonts w:ascii="宋体" w:hAnsi="宋体" w:cs="宋体"/>
                <w:color w:val="auto"/>
                <w:szCs w:val="21"/>
                <w:highlight w:val="none"/>
              </w:rPr>
              <w:footnoteReference w:id="92"/>
            </w:r>
            <w:r>
              <w:rPr>
                <w:rFonts w:hint="eastAsia" w:ascii="宋体" w:hAnsi="宋体" w:cs="宋体"/>
                <w:color w:val="auto"/>
                <w:szCs w:val="21"/>
                <w:highlight w:val="none"/>
              </w:rPr>
              <w:t>。</w:t>
            </w:r>
          </w:p>
          <w:p w14:paraId="581BA3DF">
            <w:pPr>
              <w:pStyle w:val="276"/>
              <w:adjustRightInd w:val="0"/>
              <w:snapToGrid w:val="0"/>
              <w:spacing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color w:val="auto"/>
                <w:szCs w:val="21"/>
                <w:highlight w:val="none"/>
              </w:rPr>
              <w:fldChar w:fldCharType="begin"/>
            </w:r>
            <w:r>
              <w:rPr>
                <w:rFonts w:ascii="宋体" w:hAnsi="宋体" w:cs="宋体"/>
                <w:color w:val="auto"/>
                <w:szCs w:val="21"/>
                <w:highlight w:val="none"/>
              </w:rPr>
              <w:instrText xml:space="preserve"> = 5 \* GB3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⑤</w:t>
            </w:r>
            <w:r>
              <w:rPr>
                <w:rFonts w:hint="eastAsia" w:ascii="宋体" w:hAnsi="宋体" w:cs="宋体"/>
                <w:color w:val="auto"/>
                <w:szCs w:val="21"/>
                <w:highlight w:val="none"/>
              </w:rPr>
              <w:fldChar w:fldCharType="end"/>
            </w:r>
            <w:r>
              <w:rPr>
                <w:rFonts w:hint="eastAsia" w:ascii="宋体" w:hAnsi="宋体" w:cs="宋体"/>
                <w:color w:val="auto"/>
                <w:szCs w:val="21"/>
                <w:highlight w:val="none"/>
              </w:rPr>
              <w:t>其他情形</w:t>
            </w:r>
            <w:r>
              <w:rPr>
                <w:rFonts w:ascii="宋体" w:hAnsi="宋体" w:cs="宋体"/>
                <w:color w:val="auto"/>
                <w:szCs w:val="21"/>
                <w:highlight w:val="none"/>
              </w:rPr>
              <w:t>：</w:t>
            </w:r>
            <w:r>
              <w:rPr>
                <w:rFonts w:ascii="宋体" w:hAnsi="宋体" w:cs="宋体"/>
                <w:color w:val="auto"/>
                <w:szCs w:val="21"/>
                <w:highlight w:val="none"/>
                <w:u w:val="single"/>
              </w:rPr>
              <w:t xml:space="preserve">             </w:t>
            </w:r>
            <w:r>
              <w:rPr>
                <w:rFonts w:ascii="宋体" w:hAnsi="宋体" w:cs="宋体"/>
                <w:color w:val="auto"/>
                <w:szCs w:val="21"/>
                <w:highlight w:val="none"/>
              </w:rPr>
              <w:t>。</w:t>
            </w:r>
          </w:p>
          <w:p w14:paraId="045FEEAB">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olor w:val="auto"/>
                <w:szCs w:val="21"/>
                <w:highlight w:val="none"/>
              </w:rPr>
              <w:t>解密成功的投标文件，若在投标截止期后撤销</w:t>
            </w:r>
            <w:r>
              <w:rPr>
                <w:rFonts w:hint="eastAsia" w:ascii="宋体" w:hAnsi="宋体"/>
                <w:color w:val="auto"/>
                <w:szCs w:val="21"/>
                <w:highlight w:val="none"/>
                <w:lang w:val="en-US" w:eastAsia="zh-CN"/>
              </w:rPr>
              <w:t>的</w:t>
            </w:r>
            <w:r>
              <w:rPr>
                <w:rFonts w:hint="eastAsia" w:ascii="宋体" w:hAnsi="宋体"/>
                <w:color w:val="auto"/>
                <w:szCs w:val="21"/>
                <w:highlight w:val="none"/>
              </w:rPr>
              <w:t>，应按程序对投</w:t>
            </w:r>
          </w:p>
        </w:tc>
      </w:tr>
      <w:tr w14:paraId="13BD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770CA281">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2.2.2</w:t>
            </w:r>
          </w:p>
        </w:tc>
        <w:tc>
          <w:tcPr>
            <w:tcW w:w="1137" w:type="dxa"/>
            <w:vAlign w:val="center"/>
          </w:tcPr>
          <w:p w14:paraId="7E69C83F">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评标基准价计算方法</w:t>
            </w:r>
          </w:p>
        </w:tc>
        <w:tc>
          <w:tcPr>
            <w:tcW w:w="6842" w:type="dxa"/>
            <w:vAlign w:val="center"/>
          </w:tcPr>
          <w:p w14:paraId="6978AE58">
            <w:pPr>
              <w:pStyle w:val="276"/>
              <w:adjustRightInd w:val="0"/>
              <w:snapToGrid w:val="0"/>
              <w:spacing w:line="400" w:lineRule="exact"/>
              <w:rPr>
                <w:rFonts w:ascii="宋体" w:hAnsi="宋体" w:cs="宋体"/>
                <w:color w:val="auto"/>
                <w:szCs w:val="21"/>
                <w:highlight w:val="none"/>
              </w:rPr>
            </w:pPr>
            <w:r>
              <w:rPr>
                <w:rFonts w:hint="eastAsia" w:ascii="宋体" w:hAnsi="宋体"/>
                <w:color w:val="auto"/>
                <w:szCs w:val="21"/>
                <w:highlight w:val="none"/>
              </w:rPr>
              <w:t>标文件第一个信封</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商务及技术文件</w:t>
            </w:r>
            <w:r>
              <w:rPr>
                <w:rFonts w:hint="eastAsia" w:ascii="宋体" w:hAnsi="宋体"/>
                <w:color w:val="auto"/>
                <w:kern w:val="0"/>
                <w:szCs w:val="21"/>
                <w:highlight w:val="none"/>
                <w:lang w:eastAsia="zh-CN"/>
              </w:rPr>
              <w:t>）</w:t>
            </w:r>
            <w:r>
              <w:rPr>
                <w:rFonts w:hint="eastAsia" w:ascii="宋体" w:hAnsi="宋体"/>
                <w:color w:val="auto"/>
                <w:szCs w:val="21"/>
                <w:highlight w:val="none"/>
              </w:rPr>
              <w:t>进行评审，若</w:t>
            </w:r>
            <w:r>
              <w:rPr>
                <w:rFonts w:hint="eastAsia" w:ascii="宋体" w:hAnsi="宋体"/>
                <w:color w:val="auto"/>
                <w:szCs w:val="21"/>
                <w:highlight w:val="none"/>
                <w:lang w:val="en-US" w:eastAsia="zh-CN"/>
              </w:rPr>
              <w:t>该投标文件</w:t>
            </w:r>
            <w:r>
              <w:rPr>
                <w:rFonts w:hint="eastAsia" w:ascii="宋体" w:hAnsi="宋体"/>
                <w:color w:val="auto"/>
                <w:szCs w:val="21"/>
                <w:highlight w:val="none"/>
              </w:rPr>
              <w:t>通过第一个信封</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商务及技术文件</w:t>
            </w:r>
            <w:r>
              <w:rPr>
                <w:rFonts w:hint="eastAsia" w:ascii="宋体" w:hAnsi="宋体"/>
                <w:color w:val="auto"/>
                <w:kern w:val="0"/>
                <w:szCs w:val="21"/>
                <w:highlight w:val="none"/>
                <w:lang w:eastAsia="zh-CN"/>
              </w:rPr>
              <w:t>）</w:t>
            </w:r>
            <w:r>
              <w:rPr>
                <w:rFonts w:hint="eastAsia" w:ascii="宋体" w:hAnsi="宋体"/>
                <w:color w:val="auto"/>
                <w:szCs w:val="21"/>
                <w:highlight w:val="none"/>
              </w:rPr>
              <w:t>评审，则其第二个信封</w:t>
            </w:r>
            <w:r>
              <w:rPr>
                <w:rFonts w:hint="eastAsia" w:ascii="宋体" w:hAnsi="宋体"/>
                <w:color w:val="auto"/>
                <w:szCs w:val="21"/>
                <w:highlight w:val="none"/>
                <w:lang w:eastAsia="zh-CN"/>
              </w:rPr>
              <w:t>（</w:t>
            </w:r>
            <w:r>
              <w:rPr>
                <w:rFonts w:hint="eastAsia" w:ascii="宋体" w:hAnsi="宋体"/>
                <w:color w:val="auto"/>
                <w:szCs w:val="21"/>
                <w:highlight w:val="none"/>
              </w:rPr>
              <w:t>报价文件</w:t>
            </w:r>
            <w:r>
              <w:rPr>
                <w:rFonts w:hint="eastAsia" w:ascii="宋体" w:hAnsi="宋体"/>
                <w:color w:val="auto"/>
                <w:szCs w:val="21"/>
                <w:highlight w:val="none"/>
                <w:lang w:eastAsia="zh-CN"/>
              </w:rPr>
              <w:t>）</w:t>
            </w:r>
            <w:r>
              <w:rPr>
                <w:rFonts w:hint="eastAsia" w:ascii="宋体" w:hAnsi="宋体"/>
                <w:color w:val="auto"/>
                <w:szCs w:val="21"/>
                <w:highlight w:val="none"/>
              </w:rPr>
              <w:t>也应开启；若</w:t>
            </w:r>
            <w:r>
              <w:rPr>
                <w:rFonts w:hint="eastAsia" w:ascii="宋体" w:hAnsi="宋体"/>
                <w:color w:val="auto"/>
                <w:szCs w:val="21"/>
                <w:highlight w:val="none"/>
                <w:lang w:val="en-US" w:eastAsia="zh-CN"/>
              </w:rPr>
              <w:t>该投标文件</w:t>
            </w:r>
            <w:r>
              <w:rPr>
                <w:rFonts w:hint="eastAsia" w:ascii="宋体" w:hAnsi="宋体"/>
                <w:color w:val="auto"/>
                <w:szCs w:val="21"/>
                <w:highlight w:val="none"/>
              </w:rPr>
              <w:t>投标报价不属于本项第（</w:t>
            </w:r>
            <w:r>
              <w:rPr>
                <w:rFonts w:ascii="宋体" w:hAnsi="宋体"/>
                <w:color w:val="auto"/>
                <w:szCs w:val="21"/>
                <w:highlight w:val="none"/>
              </w:rPr>
              <w:t>2</w:t>
            </w:r>
            <w:r>
              <w:rPr>
                <w:rFonts w:hint="eastAsia" w:ascii="宋体" w:hAnsi="宋体"/>
                <w:color w:val="auto"/>
                <w:szCs w:val="21"/>
                <w:highlight w:val="none"/>
              </w:rPr>
              <w:t>）目情形</w:t>
            </w:r>
            <w:r>
              <w:rPr>
                <w:rFonts w:hint="eastAsia" w:ascii="宋体" w:hAnsi="宋体"/>
                <w:color w:val="auto"/>
                <w:szCs w:val="21"/>
                <w:highlight w:val="none"/>
                <w:lang w:val="en-US" w:eastAsia="zh-CN"/>
              </w:rPr>
              <w:t>的</w:t>
            </w:r>
            <w:r>
              <w:rPr>
                <w:rFonts w:hint="eastAsia" w:ascii="宋体" w:hAnsi="宋体"/>
                <w:color w:val="auto"/>
                <w:szCs w:val="21"/>
                <w:highlight w:val="none"/>
              </w:rPr>
              <w:t>，将参与评标基准价计算，但</w:t>
            </w:r>
            <w:r>
              <w:rPr>
                <w:rFonts w:hint="eastAsia" w:ascii="宋体" w:hAnsi="宋体"/>
                <w:color w:val="auto"/>
                <w:szCs w:val="21"/>
                <w:highlight w:val="none"/>
                <w:lang w:val="en-US" w:eastAsia="zh-CN"/>
              </w:rPr>
              <w:t>其</w:t>
            </w:r>
            <w:r>
              <w:rPr>
                <w:rFonts w:hint="eastAsia" w:ascii="宋体" w:hAnsi="宋体"/>
                <w:color w:val="auto"/>
                <w:szCs w:val="21"/>
                <w:highlight w:val="none"/>
              </w:rPr>
              <w:t>第二个信封（报价文件）</w:t>
            </w:r>
            <w:r>
              <w:rPr>
                <w:rFonts w:hint="eastAsia" w:ascii="宋体" w:hAnsi="宋体"/>
                <w:color w:val="auto"/>
                <w:szCs w:val="21"/>
                <w:highlight w:val="none"/>
                <w:lang w:val="en-US" w:eastAsia="zh-CN"/>
              </w:rPr>
              <w:t>不再进行</w:t>
            </w:r>
            <w:r>
              <w:rPr>
                <w:rFonts w:hint="eastAsia" w:ascii="宋体" w:hAnsi="宋体"/>
                <w:color w:val="auto"/>
                <w:szCs w:val="21"/>
                <w:highlight w:val="none"/>
              </w:rPr>
              <w:t>评审。</w:t>
            </w:r>
          </w:p>
          <w:p w14:paraId="0DD8B3F6">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评标基准价的确定</w:t>
            </w:r>
            <w:r>
              <w:rPr>
                <w:rStyle w:val="58"/>
                <w:rFonts w:ascii="宋体" w:hAnsi="宋体" w:cs="宋体"/>
                <w:color w:val="auto"/>
                <w:szCs w:val="21"/>
                <w:highlight w:val="none"/>
              </w:rPr>
              <w:footnoteReference w:id="93"/>
            </w:r>
            <w:r>
              <w:rPr>
                <w:rFonts w:hint="eastAsia" w:ascii="宋体" w:hAnsi="宋体" w:cs="宋体"/>
                <w:color w:val="auto"/>
                <w:szCs w:val="21"/>
                <w:highlight w:val="none"/>
              </w:rPr>
              <w:t>：</w:t>
            </w:r>
          </w:p>
          <w:p w14:paraId="78A9083C">
            <w:pPr>
              <w:pStyle w:val="276"/>
              <w:adjustRightInd w:val="0"/>
              <w:snapToGrid w:val="0"/>
              <w:spacing w:line="400" w:lineRule="exact"/>
              <w:ind w:firstLine="210" w:firstLineChars="100"/>
              <w:rPr>
                <w:rFonts w:hint="eastAsia" w:ascii="宋体" w:hAnsi="宋体" w:cs="宋体"/>
                <w:color w:val="auto"/>
                <w:szCs w:val="21"/>
                <w:highlight w:val="none"/>
              </w:rPr>
            </w:pPr>
            <w:r>
              <w:rPr>
                <w:rFonts w:hint="eastAsia" w:cs="宋体" w:asciiTheme="minorEastAsia" w:hAnsiTheme="minorEastAsia" w:eastAsiaTheme="minorEastAsia"/>
                <w:color w:val="auto"/>
                <w:szCs w:val="21"/>
                <w:highlight w:val="none"/>
              </w:rPr>
              <w:t>当评标基准价计算涉及随机抽取参数</w:t>
            </w:r>
            <w:r>
              <w:rPr>
                <w:rFonts w:hint="eastAsia" w:cs="宋体" w:asciiTheme="minorEastAsia" w:hAnsiTheme="minorEastAsia" w:eastAsiaTheme="minorEastAsia"/>
                <w:color w:val="auto"/>
                <w:szCs w:val="21"/>
                <w:highlight w:val="none"/>
                <w:lang w:val="en-US" w:eastAsia="zh-CN"/>
              </w:rPr>
              <w:t>时</w:t>
            </w:r>
            <w:r>
              <w:rPr>
                <w:rFonts w:hint="eastAsia" w:cs="宋体" w:asciiTheme="minorEastAsia" w:hAnsiTheme="minorEastAsia" w:eastAsiaTheme="minorEastAsia"/>
                <w:color w:val="auto"/>
                <w:szCs w:val="21"/>
                <w:highlight w:val="none"/>
              </w:rPr>
              <w:t>，均应由招标人或监督人或随机选定的投标人代表（现场开标时）随机抽取，</w:t>
            </w:r>
            <w:r>
              <w:rPr>
                <w:rFonts w:hint="eastAsia" w:ascii="宋体" w:hAnsi="宋体" w:cs="宋体"/>
                <w:color w:val="auto"/>
                <w:szCs w:val="21"/>
                <w:highlight w:val="none"/>
              </w:rPr>
              <w:t>且抽取过程</w:t>
            </w:r>
            <w:r>
              <w:rPr>
                <w:rFonts w:hint="eastAsia" w:cs="宋体" w:asciiTheme="minorEastAsia" w:hAnsiTheme="minorEastAsia" w:eastAsiaTheme="minorEastAsia"/>
                <w:color w:val="auto"/>
                <w:szCs w:val="21"/>
                <w:highlight w:val="none"/>
              </w:rPr>
              <w:t>须</w:t>
            </w:r>
            <w:r>
              <w:rPr>
                <w:rFonts w:hint="eastAsia" w:ascii="宋体" w:hAnsi="宋体" w:cs="宋体"/>
                <w:color w:val="auto"/>
                <w:szCs w:val="21"/>
                <w:highlight w:val="none"/>
              </w:rPr>
              <w:t>经公证机构现场公证。</w:t>
            </w:r>
          </w:p>
          <w:p w14:paraId="43B92210">
            <w:pPr>
              <w:pStyle w:val="276"/>
              <w:adjustRightInd w:val="0"/>
              <w:snapToGrid w:val="0"/>
              <w:spacing w:line="400" w:lineRule="exact"/>
              <w:ind w:firstLine="210" w:firstLineChars="100"/>
              <w:rPr>
                <w:rFonts w:hint="eastAsia" w:ascii="宋体" w:hAnsi="宋体" w:cs="宋体"/>
                <w:color w:val="auto"/>
                <w:szCs w:val="21"/>
                <w:highlight w:val="none"/>
              </w:rPr>
            </w:pPr>
            <w:r>
              <w:rPr>
                <w:color w:val="000000"/>
                <w:szCs w:val="21"/>
              </w:rPr>
              <w:t>当所有投标报价低于招标人公布的最高投标限价值</w:t>
            </w:r>
            <w:r>
              <w:rPr>
                <w:rFonts w:ascii="宋体" w:hAnsi="宋体" w:cs="宋体"/>
                <w:color w:val="auto"/>
                <w:szCs w:val="21"/>
                <w:highlight w:val="none"/>
                <w:u w:val="single"/>
              </w:rPr>
              <w:t xml:space="preserve">     </w:t>
            </w:r>
            <w:r>
              <w:rPr>
                <w:rFonts w:hint="eastAsia"/>
                <w:color w:val="000000"/>
                <w:szCs w:val="21"/>
              </w:rPr>
              <w:t>%</w:t>
            </w:r>
            <w:r>
              <w:rPr>
                <w:color w:val="000000"/>
                <w:szCs w:val="21"/>
              </w:rPr>
              <w:t>时，以</w:t>
            </w:r>
            <w:r>
              <w:rPr>
                <w:rFonts w:hint="eastAsia"/>
                <w:color w:val="000000"/>
                <w:szCs w:val="21"/>
              </w:rPr>
              <w:t>招标人</w:t>
            </w:r>
            <w:r>
              <w:rPr>
                <w:color w:val="000000"/>
                <w:szCs w:val="21"/>
              </w:rPr>
              <w:t>公布的</w:t>
            </w:r>
            <w:r>
              <w:rPr>
                <w:rFonts w:hint="eastAsia"/>
                <w:color w:val="000000"/>
                <w:szCs w:val="21"/>
              </w:rPr>
              <w:t>最高投标限价值的</w:t>
            </w:r>
            <w:r>
              <w:rPr>
                <w:rFonts w:ascii="宋体" w:hAnsi="宋体" w:cs="宋体"/>
                <w:color w:val="auto"/>
                <w:szCs w:val="21"/>
                <w:highlight w:val="none"/>
                <w:u w:val="single"/>
              </w:rPr>
              <w:t xml:space="preserve">     </w:t>
            </w:r>
            <w:r>
              <w:rPr>
                <w:rFonts w:hint="eastAsia"/>
                <w:color w:val="000000"/>
                <w:szCs w:val="21"/>
              </w:rPr>
              <w:t>%</w:t>
            </w:r>
            <w:r>
              <w:rPr>
                <w:color w:val="000000"/>
                <w:szCs w:val="21"/>
              </w:rPr>
              <w:t>作为评标基准价。</w:t>
            </w:r>
          </w:p>
          <w:p w14:paraId="62F383E8">
            <w:pPr>
              <w:pStyle w:val="276"/>
              <w:adjustRightInd w:val="0"/>
              <w:snapToGrid w:val="0"/>
              <w:spacing w:line="400" w:lineRule="exact"/>
              <w:ind w:firstLine="0" w:firstLineChars="0"/>
              <w:rPr>
                <w:rFonts w:ascii="宋体" w:hAnsi="宋体" w:cs="宋体"/>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 xml:space="preserve"> </w:t>
            </w:r>
            <w:r>
              <w:rPr>
                <w:rFonts w:hint="eastAsia" w:ascii="宋体" w:hAnsi="宋体" w:cs="宋体"/>
                <w:b/>
                <w:bCs/>
                <w:color w:val="auto"/>
                <w:szCs w:val="21"/>
                <w:highlight w:val="none"/>
              </w:rPr>
              <w:t>方法一（二次平均法）</w:t>
            </w:r>
            <w:r>
              <w:rPr>
                <w:rFonts w:hint="eastAsia" w:ascii="宋体" w:hAnsi="宋体" w:cs="宋体"/>
                <w:color w:val="auto"/>
                <w:szCs w:val="21"/>
                <w:highlight w:val="none"/>
              </w:rPr>
              <w:t>：</w:t>
            </w:r>
          </w:p>
          <w:p w14:paraId="08F30D72">
            <w:pPr>
              <w:pStyle w:val="276"/>
              <w:adjustRightInd w:val="0"/>
              <w:snapToGrid w:val="0"/>
              <w:spacing w:line="400" w:lineRule="exact"/>
              <w:ind w:firstLine="210" w:firstLineChars="100"/>
              <w:rPr>
                <w:rFonts w:ascii="宋体" w:hAnsi="宋体" w:cs="宋体"/>
                <w:color w:val="auto"/>
                <w:szCs w:val="21"/>
                <w:highlight w:val="none"/>
              </w:rPr>
            </w:pPr>
            <w:r>
              <w:rPr>
                <w:rFonts w:ascii="宋体" w:hAnsi="宋体" w:cs="宋体"/>
                <w:color w:val="auto"/>
                <w:szCs w:val="21"/>
                <w:highlight w:val="none"/>
              </w:rPr>
              <w:t>第一次平均：</w:t>
            </w:r>
            <w:r>
              <w:rPr>
                <w:rFonts w:hint="eastAsia" w:ascii="宋体" w:hAnsi="宋体" w:cs="宋体"/>
                <w:color w:val="auto"/>
                <w:szCs w:val="21"/>
                <w:highlight w:val="none"/>
              </w:rPr>
              <w:t>按本项规定应进入</w:t>
            </w:r>
            <w:r>
              <w:rPr>
                <w:rFonts w:hint="eastAsia" w:ascii="宋体" w:hAnsi="宋体"/>
                <w:color w:val="auto"/>
                <w:szCs w:val="21"/>
                <w:highlight w:val="none"/>
              </w:rPr>
              <w:t>评标基准价计算的评标价的</w:t>
            </w:r>
            <w:r>
              <w:rPr>
                <w:rFonts w:hint="eastAsia" w:ascii="宋体" w:hAnsi="宋体" w:cs="宋体"/>
                <w:color w:val="auto"/>
                <w:szCs w:val="21"/>
                <w:highlight w:val="none"/>
              </w:rPr>
              <w:t>算术</w:t>
            </w:r>
            <w:r>
              <w:rPr>
                <w:rFonts w:hint="eastAsia" w:ascii="宋体" w:hAnsi="宋体"/>
                <w:color w:val="auto"/>
                <w:szCs w:val="21"/>
                <w:highlight w:val="none"/>
              </w:rPr>
              <w:t>平均值</w:t>
            </w:r>
            <w:r>
              <w:rPr>
                <w:rFonts w:hint="eastAsia" w:ascii="宋体" w:hAnsi="宋体" w:cs="宋体"/>
                <w:color w:val="auto"/>
                <w:szCs w:val="21"/>
                <w:highlight w:val="none"/>
              </w:rPr>
              <w:t>（若参与计算的评标价个数≤</w:t>
            </w:r>
            <w:r>
              <w:rPr>
                <w:rFonts w:ascii="宋体" w:hAnsi="宋体" w:cs="宋体"/>
                <w:color w:val="auto"/>
                <w:szCs w:val="21"/>
                <w:highlight w:val="none"/>
              </w:rPr>
              <w:t>10家时，直接取</w:t>
            </w:r>
            <w:r>
              <w:rPr>
                <w:rFonts w:hint="eastAsia" w:ascii="宋体" w:hAnsi="宋体" w:cs="宋体"/>
                <w:color w:val="auto"/>
                <w:szCs w:val="21"/>
                <w:highlight w:val="none"/>
                <w:lang w:eastAsia="zh-CN"/>
              </w:rPr>
              <w:t>算术</w:t>
            </w:r>
            <w:r>
              <w:rPr>
                <w:rFonts w:ascii="宋体" w:hAnsi="宋体" w:cs="宋体"/>
                <w:color w:val="auto"/>
                <w:szCs w:val="21"/>
                <w:highlight w:val="none"/>
              </w:rPr>
              <w:t>平均值；若</w:t>
            </w:r>
            <w:r>
              <w:rPr>
                <w:rFonts w:hint="eastAsia" w:ascii="宋体" w:hAnsi="宋体" w:cs="宋体"/>
                <w:color w:val="auto"/>
                <w:szCs w:val="21"/>
                <w:highlight w:val="none"/>
              </w:rPr>
              <w:t>参与计算的评标价个数</w:t>
            </w:r>
            <w:r>
              <w:rPr>
                <w:rFonts w:ascii="宋体" w:hAnsi="宋体" w:cs="宋体"/>
                <w:color w:val="auto"/>
                <w:szCs w:val="21"/>
                <w:highlight w:val="none"/>
              </w:rPr>
              <w:t>＞n×10家时，去掉其中的n个最高评标价和n个最低评标价后取算术平均值，n为</w:t>
            </w:r>
            <w:r>
              <w:rPr>
                <w:rFonts w:hint="eastAsia" w:ascii="微软雅黑" w:hAnsi="微软雅黑" w:eastAsia="微软雅黑" w:cs="微软雅黑"/>
                <w:color w:val="auto"/>
                <w:szCs w:val="21"/>
                <w:highlight w:val="none"/>
                <w:lang w:val="en-US" w:eastAsia="zh-CN"/>
              </w:rPr>
              <w:t>≥</w:t>
            </w:r>
            <w:r>
              <w:rPr>
                <w:rFonts w:hint="eastAsia" w:ascii="宋体" w:hAnsi="宋体" w:cs="宋体"/>
                <w:color w:val="auto"/>
                <w:szCs w:val="21"/>
                <w:highlight w:val="none"/>
                <w:lang w:val="en-US" w:eastAsia="zh-CN"/>
              </w:rPr>
              <w:t>1的</w:t>
            </w:r>
            <w:r>
              <w:rPr>
                <w:rFonts w:ascii="宋体" w:hAnsi="宋体" w:cs="宋体"/>
                <w:color w:val="auto"/>
                <w:szCs w:val="21"/>
                <w:highlight w:val="none"/>
              </w:rPr>
              <w:t>自然数）。</w:t>
            </w:r>
          </w:p>
          <w:p w14:paraId="796E65B1">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第二次平均：对所有小于或等于第一次评标价</w:t>
            </w:r>
            <w:r>
              <w:rPr>
                <w:rFonts w:hint="eastAsia" w:ascii="宋体" w:hAnsi="宋体" w:cs="宋体"/>
                <w:color w:val="auto"/>
                <w:szCs w:val="21"/>
                <w:highlight w:val="none"/>
                <w:lang w:eastAsia="zh-CN"/>
              </w:rPr>
              <w:t>算术</w:t>
            </w:r>
            <w:r>
              <w:rPr>
                <w:rFonts w:hint="eastAsia" w:ascii="宋体" w:hAnsi="宋体" w:cs="宋体"/>
                <w:color w:val="auto"/>
                <w:szCs w:val="21"/>
                <w:highlight w:val="none"/>
              </w:rPr>
              <w:t>平均值的评标价（不含第一次平均已去掉的最低价）的二次算术平均值后即为评标基准价。</w:t>
            </w:r>
          </w:p>
          <w:p w14:paraId="7D5D788E">
            <w:pPr>
              <w:pStyle w:val="276"/>
              <w:adjustRightInd w:val="0"/>
              <w:snapToGrid w:val="0"/>
              <w:spacing w:line="400" w:lineRule="exact"/>
              <w:ind w:firstLine="0" w:firstLineChars="0"/>
              <w:rPr>
                <w:rFonts w:ascii="宋体" w:hAnsi="宋体" w:cs="宋体"/>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 xml:space="preserve"> </w:t>
            </w:r>
            <w:r>
              <w:rPr>
                <w:rFonts w:hint="eastAsia" w:ascii="宋体" w:hAnsi="宋体" w:cs="宋体"/>
                <w:b/>
                <w:bCs/>
                <w:color w:val="auto"/>
                <w:szCs w:val="21"/>
                <w:highlight w:val="none"/>
              </w:rPr>
              <w:t>方法二（随机低价法）</w:t>
            </w:r>
            <w:r>
              <w:rPr>
                <w:rFonts w:hint="eastAsia" w:ascii="宋体" w:hAnsi="宋体" w:cs="宋体"/>
                <w:color w:val="auto"/>
                <w:szCs w:val="21"/>
                <w:highlight w:val="none"/>
              </w:rPr>
              <w:t>：</w:t>
            </w:r>
          </w:p>
          <w:p w14:paraId="55AC9953">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评标基准价＝去掉</w:t>
            </w:r>
            <w:r>
              <w:rPr>
                <w:rFonts w:ascii="宋体" w:hAnsi="宋体" w:cs="宋体"/>
                <w:color w:val="auto"/>
                <w:szCs w:val="21"/>
                <w:highlight w:val="none"/>
              </w:rPr>
              <w:t>n个最低</w:t>
            </w:r>
            <w:r>
              <w:rPr>
                <w:rFonts w:hint="eastAsia" w:ascii="宋体" w:hAnsi="宋体" w:cs="宋体"/>
                <w:color w:val="auto"/>
                <w:szCs w:val="21"/>
                <w:highlight w:val="none"/>
              </w:rPr>
              <w:t>评标</w:t>
            </w:r>
            <w:r>
              <w:rPr>
                <w:rFonts w:ascii="宋体" w:hAnsi="宋体" w:cs="宋体"/>
                <w:color w:val="auto"/>
                <w:szCs w:val="21"/>
                <w:highlight w:val="none"/>
              </w:rPr>
              <w:t>价后的最低</w:t>
            </w:r>
            <w:r>
              <w:rPr>
                <w:rFonts w:hint="eastAsia" w:ascii="宋体" w:hAnsi="宋体" w:cs="宋体"/>
                <w:color w:val="auto"/>
                <w:szCs w:val="21"/>
                <w:highlight w:val="none"/>
              </w:rPr>
              <w:t>评标</w:t>
            </w:r>
            <w:r>
              <w:rPr>
                <w:rFonts w:ascii="宋体" w:hAnsi="宋体" w:cs="宋体"/>
                <w:color w:val="auto"/>
                <w:szCs w:val="21"/>
                <w:highlight w:val="none"/>
              </w:rPr>
              <w:t>价。</w:t>
            </w:r>
          </w:p>
          <w:p w14:paraId="371EE3B3">
            <w:pPr>
              <w:pStyle w:val="276"/>
              <w:adjustRightInd w:val="0"/>
              <w:snapToGrid w:val="0"/>
              <w:spacing w:line="400" w:lineRule="exact"/>
              <w:ind w:firstLine="210" w:firstLineChars="100"/>
              <w:rPr>
                <w:rFonts w:ascii="宋体" w:hAnsi="宋体" w:cs="宋体"/>
                <w:color w:val="auto"/>
                <w:szCs w:val="21"/>
                <w:highlight w:val="none"/>
              </w:rPr>
            </w:pPr>
            <w:r>
              <w:rPr>
                <w:rFonts w:ascii="宋体" w:hAnsi="宋体" w:cs="宋体"/>
                <w:color w:val="auto"/>
                <w:szCs w:val="21"/>
                <w:highlight w:val="none"/>
              </w:rPr>
              <w:t>n在第二个信封</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报价文件</w:t>
            </w:r>
            <w:r>
              <w:rPr>
                <w:rFonts w:hint="eastAsia" w:ascii="宋体" w:hAnsi="宋体"/>
                <w:color w:val="auto"/>
                <w:kern w:val="0"/>
                <w:szCs w:val="21"/>
                <w:highlight w:val="none"/>
                <w:lang w:eastAsia="zh-CN"/>
              </w:rPr>
              <w:t>）</w:t>
            </w:r>
            <w:r>
              <w:rPr>
                <w:rFonts w:ascii="宋体" w:hAnsi="宋体" w:cs="宋体"/>
                <w:color w:val="auto"/>
                <w:szCs w:val="21"/>
                <w:highlight w:val="none"/>
              </w:rPr>
              <w:t>开标现场随机抽取，n的取值范围为</w:t>
            </w:r>
            <w:r>
              <w:rPr>
                <w:rFonts w:hint="eastAsia" w:ascii="宋体" w:hAnsi="宋体" w:cs="宋体"/>
                <w:color w:val="auto"/>
                <w:szCs w:val="21"/>
                <w:highlight w:val="none"/>
              </w:rPr>
              <w:t>按本项规定参与</w:t>
            </w:r>
            <w:r>
              <w:rPr>
                <w:rFonts w:hint="eastAsia" w:ascii="宋体" w:hAnsi="宋体"/>
                <w:color w:val="auto"/>
                <w:szCs w:val="21"/>
                <w:highlight w:val="none"/>
              </w:rPr>
              <w:t>评标基准价计算的评标价</w:t>
            </w:r>
            <w:r>
              <w:rPr>
                <w:rFonts w:ascii="宋体" w:hAnsi="宋体" w:cs="宋体"/>
                <w:color w:val="auto"/>
                <w:szCs w:val="21"/>
                <w:highlight w:val="none"/>
              </w:rPr>
              <w:t>数量的</w:t>
            </w:r>
            <w:r>
              <w:rPr>
                <w:rFonts w:ascii="宋体" w:hAnsi="宋体" w:cs="宋体"/>
                <w:color w:val="auto"/>
                <w:szCs w:val="21"/>
                <w:highlight w:val="none"/>
                <w:u w:val="single"/>
              </w:rPr>
              <w:t xml:space="preserve">     </w:t>
            </w:r>
            <w:r>
              <w:rPr>
                <w:rFonts w:ascii="宋体" w:hAnsi="宋体" w:cs="宋体"/>
                <w:color w:val="auto"/>
                <w:szCs w:val="21"/>
                <w:highlight w:val="none"/>
              </w:rPr>
              <w:t>（0.2～0.7倍）</w:t>
            </w:r>
            <w:r>
              <w:rPr>
                <w:rStyle w:val="58"/>
                <w:rFonts w:ascii="宋体" w:hAnsi="宋体" w:cs="宋体"/>
                <w:color w:val="auto"/>
                <w:szCs w:val="21"/>
                <w:highlight w:val="none"/>
              </w:rPr>
              <w:footnoteReference w:id="94"/>
            </w:r>
            <w:r>
              <w:rPr>
                <w:rFonts w:hint="eastAsia" w:ascii="宋体" w:hAnsi="宋体" w:cs="宋体"/>
                <w:color w:val="auto"/>
                <w:szCs w:val="21"/>
                <w:highlight w:val="none"/>
              </w:rPr>
              <w:t>向下取整后的所有整数。</w:t>
            </w:r>
          </w:p>
          <w:p w14:paraId="73B50455">
            <w:pPr>
              <w:pStyle w:val="276"/>
              <w:adjustRightInd w:val="0"/>
              <w:snapToGrid w:val="0"/>
              <w:spacing w:line="400" w:lineRule="exact"/>
              <w:ind w:firstLine="0" w:firstLineChars="0"/>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b/>
                <w:color w:val="auto"/>
                <w:szCs w:val="21"/>
                <w:highlight w:val="none"/>
              </w:rPr>
              <w:t>方法三（最低价法）</w:t>
            </w:r>
            <w:r>
              <w:rPr>
                <w:rFonts w:hint="eastAsia" w:ascii="宋体" w:hAnsi="宋体" w:cs="宋体"/>
                <w:color w:val="auto"/>
                <w:szCs w:val="21"/>
                <w:highlight w:val="none"/>
              </w:rPr>
              <w:t>：</w:t>
            </w:r>
          </w:p>
          <w:p w14:paraId="46BEDF49">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按本项规定参与</w:t>
            </w:r>
            <w:r>
              <w:rPr>
                <w:rFonts w:hint="eastAsia" w:ascii="宋体" w:hAnsi="宋体"/>
                <w:color w:val="auto"/>
                <w:szCs w:val="21"/>
                <w:highlight w:val="none"/>
              </w:rPr>
              <w:t>评标基准价计算的评标价</w:t>
            </w:r>
            <w:r>
              <w:rPr>
                <w:rFonts w:hint="eastAsia" w:ascii="宋体" w:hAnsi="宋体" w:cs="宋体"/>
                <w:color w:val="auto"/>
                <w:szCs w:val="21"/>
                <w:highlight w:val="none"/>
              </w:rPr>
              <w:t>中的最低评标价为评标基准价。</w:t>
            </w:r>
          </w:p>
          <w:p w14:paraId="00AD60C3">
            <w:pPr>
              <w:pStyle w:val="276"/>
              <w:adjustRightInd w:val="0"/>
              <w:snapToGrid w:val="0"/>
              <w:spacing w:line="400" w:lineRule="exact"/>
              <w:ind w:firstLine="0" w:firstLineChars="0"/>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 xml:space="preserve"> </w:t>
            </w:r>
            <w:r>
              <w:rPr>
                <w:rFonts w:hint="eastAsia" w:ascii="宋体" w:hAnsi="宋体" w:cs="宋体"/>
                <w:b/>
                <w:color w:val="auto"/>
                <w:szCs w:val="21"/>
                <w:highlight w:val="none"/>
              </w:rPr>
              <w:t>方法四（随机下浮系数法）</w:t>
            </w:r>
            <w:r>
              <w:rPr>
                <w:rFonts w:hint="eastAsia" w:ascii="宋体" w:hAnsi="宋体" w:cs="宋体"/>
                <w:color w:val="auto"/>
                <w:szCs w:val="21"/>
                <w:highlight w:val="none"/>
              </w:rPr>
              <w:t>：</w:t>
            </w:r>
          </w:p>
          <w:p w14:paraId="78C06838">
            <w:pPr>
              <w:pStyle w:val="276"/>
              <w:adjustRightInd w:val="0"/>
              <w:snapToGrid w:val="0"/>
              <w:spacing w:line="400" w:lineRule="exact"/>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以最高投标限价下浮</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Style w:val="58"/>
                <w:rFonts w:ascii="宋体" w:hAnsi="宋体" w:cs="宋体"/>
                <w:color w:val="auto"/>
                <w:szCs w:val="21"/>
                <w:highlight w:val="none"/>
              </w:rPr>
              <w:footnoteReference w:id="95"/>
            </w:r>
            <w:r>
              <w:rPr>
                <w:rFonts w:hint="eastAsia" w:ascii="宋体" w:hAnsi="宋体" w:cs="宋体"/>
                <w:color w:val="auto"/>
                <w:szCs w:val="21"/>
                <w:highlight w:val="none"/>
              </w:rPr>
              <w:t>作为评标基准价。</w:t>
            </w:r>
          </w:p>
          <w:tbl>
            <w:tblPr>
              <w:tblStyle w:val="48"/>
              <w:tblW w:w="659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793"/>
              <w:gridCol w:w="1020"/>
              <w:gridCol w:w="846"/>
              <w:gridCol w:w="1329"/>
              <w:gridCol w:w="914"/>
            </w:tblGrid>
            <w:tr w14:paraId="593C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1695" w:type="dxa"/>
                  <w:vAlign w:val="center"/>
                </w:tcPr>
                <w:p w14:paraId="2F393E87">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抽取号码值</w:t>
                  </w:r>
                </w:p>
              </w:tc>
              <w:tc>
                <w:tcPr>
                  <w:tcW w:w="793" w:type="dxa"/>
                  <w:vAlign w:val="center"/>
                </w:tcPr>
                <w:p w14:paraId="3075FB76">
                  <w:pPr>
                    <w:widowControl/>
                    <w:adjustRightInd w:val="0"/>
                    <w:snapToGrid w:val="0"/>
                    <w:spacing w:line="400" w:lineRule="exact"/>
                    <w:jc w:val="center"/>
                    <w:rPr>
                      <w:rFonts w:ascii="宋体" w:hAnsi="宋体" w:cs="宋体"/>
                      <w:color w:val="auto"/>
                      <w:szCs w:val="21"/>
                      <w:highlight w:val="none"/>
                    </w:rPr>
                  </w:pPr>
                </w:p>
              </w:tc>
              <w:tc>
                <w:tcPr>
                  <w:tcW w:w="1020" w:type="dxa"/>
                  <w:vAlign w:val="center"/>
                </w:tcPr>
                <w:p w14:paraId="270316D8">
                  <w:pPr>
                    <w:widowControl/>
                    <w:adjustRightInd w:val="0"/>
                    <w:snapToGrid w:val="0"/>
                    <w:spacing w:line="400" w:lineRule="exact"/>
                    <w:jc w:val="center"/>
                    <w:rPr>
                      <w:rFonts w:ascii="宋体" w:hAnsi="宋体" w:cs="宋体"/>
                      <w:color w:val="auto"/>
                      <w:szCs w:val="21"/>
                      <w:highlight w:val="none"/>
                    </w:rPr>
                  </w:pPr>
                </w:p>
              </w:tc>
              <w:tc>
                <w:tcPr>
                  <w:tcW w:w="846" w:type="dxa"/>
                  <w:vAlign w:val="center"/>
                </w:tcPr>
                <w:p w14:paraId="5504D0B3">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329" w:type="dxa"/>
                  <w:vAlign w:val="center"/>
                </w:tcPr>
                <w:p w14:paraId="165969DB">
                  <w:pPr>
                    <w:widowControl/>
                    <w:adjustRightInd w:val="0"/>
                    <w:snapToGrid w:val="0"/>
                    <w:spacing w:line="400" w:lineRule="exact"/>
                    <w:jc w:val="center"/>
                    <w:rPr>
                      <w:rFonts w:ascii="宋体" w:hAnsi="宋体" w:cs="宋体"/>
                      <w:color w:val="auto"/>
                      <w:szCs w:val="21"/>
                      <w:highlight w:val="none"/>
                    </w:rPr>
                  </w:pPr>
                </w:p>
              </w:tc>
              <w:tc>
                <w:tcPr>
                  <w:tcW w:w="914" w:type="dxa"/>
                  <w:vAlign w:val="center"/>
                </w:tcPr>
                <w:p w14:paraId="1753F04E">
                  <w:pPr>
                    <w:widowControl/>
                    <w:adjustRightInd w:val="0"/>
                    <w:snapToGrid w:val="0"/>
                    <w:spacing w:line="400" w:lineRule="exact"/>
                    <w:jc w:val="center"/>
                    <w:rPr>
                      <w:rFonts w:ascii="宋体" w:hAnsi="宋体" w:cs="宋体"/>
                      <w:color w:val="auto"/>
                      <w:szCs w:val="21"/>
                      <w:highlight w:val="none"/>
                    </w:rPr>
                  </w:pPr>
                </w:p>
              </w:tc>
            </w:tr>
            <w:tr w14:paraId="6CF4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95" w:type="dxa"/>
                  <w:vAlign w:val="center"/>
                </w:tcPr>
                <w:p w14:paraId="5828A2DB">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对应下浮系数</w:t>
                  </w:r>
                </w:p>
              </w:tc>
              <w:tc>
                <w:tcPr>
                  <w:tcW w:w="793" w:type="dxa"/>
                  <w:vAlign w:val="center"/>
                </w:tcPr>
                <w:p w14:paraId="27A78878">
                  <w:pPr>
                    <w:widowControl/>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85%</w:t>
                  </w:r>
                </w:p>
              </w:tc>
              <w:tc>
                <w:tcPr>
                  <w:tcW w:w="1020" w:type="dxa"/>
                  <w:vAlign w:val="center"/>
                </w:tcPr>
                <w:p w14:paraId="0156D345">
                  <w:pPr>
                    <w:widowControl/>
                    <w:adjustRightInd w:val="0"/>
                    <w:snapToGrid w:val="0"/>
                    <w:spacing w:line="400" w:lineRule="exact"/>
                    <w:jc w:val="center"/>
                    <w:rPr>
                      <w:rFonts w:ascii="宋体" w:hAnsi="宋体" w:cs="宋体"/>
                      <w:color w:val="auto"/>
                      <w:szCs w:val="21"/>
                      <w:highlight w:val="none"/>
                    </w:rPr>
                  </w:pPr>
                </w:p>
              </w:tc>
              <w:tc>
                <w:tcPr>
                  <w:tcW w:w="846" w:type="dxa"/>
                  <w:vAlign w:val="center"/>
                </w:tcPr>
                <w:p w14:paraId="5C422E18">
                  <w:pPr>
                    <w:widowControl/>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329" w:type="dxa"/>
                  <w:vAlign w:val="center"/>
                </w:tcPr>
                <w:p w14:paraId="4D00B8CD">
                  <w:pPr>
                    <w:widowControl/>
                    <w:adjustRightInd w:val="0"/>
                    <w:snapToGrid w:val="0"/>
                    <w:spacing w:line="400" w:lineRule="exact"/>
                    <w:jc w:val="center"/>
                    <w:rPr>
                      <w:rFonts w:ascii="宋体" w:hAnsi="宋体" w:cs="宋体"/>
                      <w:color w:val="auto"/>
                      <w:szCs w:val="21"/>
                      <w:highlight w:val="none"/>
                    </w:rPr>
                  </w:pPr>
                </w:p>
              </w:tc>
              <w:tc>
                <w:tcPr>
                  <w:tcW w:w="914" w:type="dxa"/>
                  <w:vAlign w:val="center"/>
                </w:tcPr>
                <w:p w14:paraId="10C2059A">
                  <w:pPr>
                    <w:widowControl/>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95%</w:t>
                  </w:r>
                </w:p>
              </w:tc>
            </w:tr>
          </w:tbl>
          <w:p w14:paraId="0804B9B5">
            <w:pPr>
              <w:pStyle w:val="276"/>
              <w:adjustRightInd w:val="0"/>
              <w:snapToGrid w:val="0"/>
              <w:spacing w:line="400" w:lineRule="exact"/>
              <w:ind w:firstLine="0" w:firstLineChars="0"/>
              <w:rPr>
                <w:rFonts w:ascii="宋体" w:hAnsi="宋体" w:cs="宋体"/>
                <w:b/>
                <w:color w:val="auto"/>
                <w:szCs w:val="21"/>
                <w:highlight w:val="none"/>
              </w:rPr>
            </w:pPr>
            <w:r>
              <w:rPr>
                <w:rFonts w:hint="eastAsia" w:ascii="宋体" w:hAnsi="宋体" w:cs="宋体"/>
                <w:b/>
                <w:color w:val="auto"/>
                <w:szCs w:val="21"/>
                <w:highlight w:val="none"/>
              </w:rPr>
              <w:sym w:font="Wingdings 2" w:char="00A3"/>
            </w:r>
            <w:r>
              <w:rPr>
                <w:rFonts w:ascii="宋体" w:hAnsi="宋体" w:cs="宋体"/>
                <w:b/>
                <w:color w:val="auto"/>
                <w:szCs w:val="21"/>
                <w:highlight w:val="none"/>
              </w:rPr>
              <w:t xml:space="preserve"> </w:t>
            </w:r>
            <w:r>
              <w:rPr>
                <w:rFonts w:hint="eastAsia" w:ascii="宋体" w:hAnsi="宋体" w:cs="宋体"/>
                <w:b/>
                <w:color w:val="auto"/>
                <w:szCs w:val="21"/>
                <w:highlight w:val="none"/>
              </w:rPr>
              <w:t>方法五：</w:t>
            </w:r>
          </w:p>
          <w:p w14:paraId="235F3A49">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w:t>
            </w:r>
          </w:p>
          <w:p w14:paraId="44D88069">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）评标基准价确定场合：</w:t>
            </w:r>
          </w:p>
          <w:p w14:paraId="61D45B01">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评标基准价按以上规则计算后在第二个信封</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报价文件</w:t>
            </w:r>
            <w:r>
              <w:rPr>
                <w:rFonts w:hint="eastAsia" w:ascii="宋体" w:hAnsi="宋体"/>
                <w:color w:val="auto"/>
                <w:kern w:val="0"/>
                <w:szCs w:val="21"/>
                <w:highlight w:val="none"/>
                <w:lang w:eastAsia="zh-CN"/>
              </w:rPr>
              <w:t>）</w:t>
            </w:r>
            <w:r>
              <w:rPr>
                <w:rFonts w:hint="eastAsia" w:ascii="宋体" w:hAnsi="宋体" w:cs="宋体"/>
                <w:color w:val="auto"/>
                <w:szCs w:val="21"/>
                <w:highlight w:val="none"/>
              </w:rPr>
              <w:t>开标现场公布，如果投标人认为评标基准价计算有误，有权在开标现场提出，经监督人当场核实确认后，可重新计算和宣布评标基准价。</w:t>
            </w:r>
          </w:p>
          <w:p w14:paraId="7DBAAAAB">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在评标过程中，评标委员会应对招标人开标时计算的评标基准价进行复核，存在计算错误的应予以修正并在评标报告中作出说明。除</w:t>
            </w:r>
            <w:r>
              <w:rPr>
                <w:rFonts w:ascii="宋体" w:hAnsi="宋体" w:cs="宋体"/>
                <w:color w:val="auto"/>
                <w:szCs w:val="21"/>
                <w:highlight w:val="none"/>
              </w:rPr>
              <w:t>开标时计算错误外，</w:t>
            </w:r>
            <w:r>
              <w:rPr>
                <w:rFonts w:hint="eastAsia" w:ascii="宋体" w:hAnsi="宋体" w:cs="宋体"/>
                <w:color w:val="auto"/>
                <w:szCs w:val="21"/>
                <w:highlight w:val="none"/>
              </w:rPr>
              <w:t>确认后的评标基准价不因第二个信封</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报价文件</w:t>
            </w:r>
            <w:r>
              <w:rPr>
                <w:rFonts w:hint="eastAsia" w:ascii="宋体" w:hAnsi="宋体"/>
                <w:color w:val="auto"/>
                <w:kern w:val="0"/>
                <w:szCs w:val="21"/>
                <w:highlight w:val="none"/>
                <w:lang w:eastAsia="zh-CN"/>
              </w:rPr>
              <w:t>）</w:t>
            </w:r>
            <w:r>
              <w:rPr>
                <w:rFonts w:ascii="宋体" w:hAnsi="宋体" w:cs="宋体"/>
                <w:color w:val="auto"/>
                <w:szCs w:val="21"/>
                <w:highlight w:val="none"/>
              </w:rPr>
              <w:t>评审否决投标而</w:t>
            </w:r>
            <w:r>
              <w:rPr>
                <w:rFonts w:hint="eastAsia" w:ascii="宋体" w:hAnsi="宋体" w:cs="宋体"/>
                <w:color w:val="auto"/>
                <w:szCs w:val="21"/>
                <w:highlight w:val="none"/>
              </w:rPr>
              <w:t>改变，也不因招投标当事人异议、投诉以及其</w:t>
            </w:r>
            <w:r>
              <w:rPr>
                <w:rFonts w:hint="eastAsia" w:ascii="宋体" w:hAnsi="宋体" w:cs="宋体"/>
                <w:color w:val="auto"/>
                <w:szCs w:val="21"/>
                <w:highlight w:val="none"/>
                <w:lang w:val="en-US" w:eastAsia="zh-CN"/>
              </w:rPr>
              <w:t>他</w:t>
            </w:r>
            <w:r>
              <w:rPr>
                <w:rFonts w:hint="eastAsia" w:ascii="宋体" w:hAnsi="宋体" w:cs="宋体"/>
                <w:color w:val="auto"/>
                <w:szCs w:val="21"/>
                <w:highlight w:val="none"/>
              </w:rPr>
              <w:t>任何情形而改变。</w:t>
            </w:r>
          </w:p>
        </w:tc>
      </w:tr>
      <w:tr w14:paraId="6716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431F16F9">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2.2.3</w:t>
            </w:r>
          </w:p>
        </w:tc>
        <w:tc>
          <w:tcPr>
            <w:tcW w:w="1137" w:type="dxa"/>
            <w:vAlign w:val="center"/>
          </w:tcPr>
          <w:p w14:paraId="4CC83D96">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评标价的偏差率计算公式</w:t>
            </w:r>
          </w:p>
        </w:tc>
        <w:tc>
          <w:tcPr>
            <w:tcW w:w="6842" w:type="dxa"/>
            <w:vAlign w:val="center"/>
          </w:tcPr>
          <w:p w14:paraId="6368194B">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偏差率＝</w:t>
            </w:r>
            <w:r>
              <w:rPr>
                <w:rFonts w:ascii="宋体" w:hAnsi="宋体" w:cs="宋体"/>
                <w:color w:val="auto"/>
                <w:szCs w:val="21"/>
                <w:highlight w:val="none"/>
              </w:rPr>
              <w:t>|100%×（投标人评标价－评标基准价）／评标基准价|</w:t>
            </w:r>
          </w:p>
          <w:p w14:paraId="7C29A33E">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偏差率保留</w:t>
            </w:r>
            <w:r>
              <w:rPr>
                <w:rFonts w:ascii="宋体" w:hAnsi="宋体" w:cs="宋体"/>
                <w:color w:val="auto"/>
                <w:szCs w:val="21"/>
                <w:highlight w:val="none"/>
                <w:u w:val="single"/>
              </w:rPr>
              <w:t xml:space="preserve">      </w:t>
            </w:r>
            <w:r>
              <w:rPr>
                <w:rFonts w:hint="eastAsia" w:ascii="宋体" w:hAnsi="宋体" w:cs="宋体"/>
                <w:color w:val="auto"/>
                <w:szCs w:val="21"/>
                <w:highlight w:val="none"/>
              </w:rPr>
              <w:t>位小数</w:t>
            </w:r>
            <w:r>
              <w:rPr>
                <w:rFonts w:hint="eastAsia" w:ascii="宋体" w:hAnsi="宋体"/>
                <w:color w:val="auto"/>
                <w:szCs w:val="21"/>
                <w:highlight w:val="none"/>
                <w:lang w:eastAsia="zh-CN"/>
              </w:rPr>
              <w:t>（</w:t>
            </w:r>
            <w:r>
              <w:rPr>
                <w:rFonts w:hint="eastAsia" w:ascii="宋体" w:hAnsi="宋体"/>
                <w:szCs w:val="21"/>
                <w:lang w:eastAsia="zh-CN"/>
              </w:rPr>
              <w:t>“</w:t>
            </w:r>
            <w:r>
              <w:rPr>
                <w:rFonts w:hint="eastAsia" w:ascii="宋体" w:hAnsi="宋体"/>
                <w:szCs w:val="21"/>
                <w:lang w:val="en-US" w:eastAsia="zh-CN"/>
              </w:rPr>
              <w:t>%</w:t>
            </w:r>
            <w:r>
              <w:rPr>
                <w:rFonts w:hint="eastAsia" w:ascii="宋体" w:hAnsi="宋体"/>
                <w:szCs w:val="21"/>
                <w:lang w:eastAsia="zh-CN"/>
              </w:rPr>
              <w:t>”</w:t>
            </w:r>
            <w:r>
              <w:rPr>
                <w:rFonts w:hint="eastAsia" w:ascii="宋体" w:hAnsi="宋体"/>
                <w:szCs w:val="21"/>
                <w:lang w:val="en-US" w:eastAsia="zh-CN"/>
              </w:rPr>
              <w:t>前数值的位数</w:t>
            </w:r>
            <w:r>
              <w:rPr>
                <w:rFonts w:hint="eastAsia" w:ascii="宋体" w:hAnsi="宋体"/>
                <w:color w:val="auto"/>
                <w:szCs w:val="21"/>
                <w:highlight w:val="none"/>
                <w:lang w:eastAsia="zh-CN"/>
              </w:rPr>
              <w:t>）</w:t>
            </w:r>
          </w:p>
        </w:tc>
      </w:tr>
      <w:tr w14:paraId="26D8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7863D42F">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2.2.4</w:t>
            </w:r>
          </w:p>
        </w:tc>
        <w:tc>
          <w:tcPr>
            <w:tcW w:w="1137" w:type="dxa"/>
            <w:vAlign w:val="center"/>
          </w:tcPr>
          <w:p w14:paraId="542ED7AD">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评分</w:t>
            </w:r>
          </w:p>
          <w:p w14:paraId="47884164">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标准</w:t>
            </w:r>
          </w:p>
        </w:tc>
        <w:tc>
          <w:tcPr>
            <w:tcW w:w="6842" w:type="dxa"/>
            <w:vAlign w:val="center"/>
          </w:tcPr>
          <w:p w14:paraId="0EE859E7">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见“评分因素与权重分值”</w:t>
            </w:r>
            <w:r>
              <w:rPr>
                <w:rFonts w:hint="eastAsia" w:ascii="宋体" w:hAnsi="宋体" w:cs="宋体"/>
                <w:color w:val="auto"/>
                <w:szCs w:val="21"/>
                <w:highlight w:val="none"/>
                <w:lang w:eastAsia="zh-CN"/>
              </w:rPr>
              <w:t>。</w:t>
            </w:r>
          </w:p>
        </w:tc>
      </w:tr>
    </w:tbl>
    <w:p w14:paraId="579DE8B2">
      <w:pPr>
        <w:rPr>
          <w:color w:val="auto"/>
          <w:highlight w:val="none"/>
        </w:rPr>
      </w:pPr>
    </w:p>
    <w:p w14:paraId="485D60C5">
      <w:pPr>
        <w:rPr>
          <w:rFonts w:hint="eastAsia"/>
          <w:color w:val="auto"/>
          <w:highlight w:val="none"/>
          <w:lang w:val="en-US" w:eastAsia="zh-CN"/>
        </w:rPr>
      </w:pPr>
      <w:r>
        <w:rPr>
          <w:rFonts w:hint="eastAsia"/>
          <w:color w:val="auto"/>
          <w:highlight w:val="none"/>
          <w:lang w:val="en-US" w:eastAsia="zh-CN"/>
        </w:rPr>
        <w:br w:type="page"/>
      </w:r>
    </w:p>
    <w:p w14:paraId="5912BAD4">
      <w:pPr>
        <w:jc w:val="right"/>
        <w:rPr>
          <w:rFonts w:hint="eastAsia" w:eastAsia="宋体"/>
          <w:color w:val="auto"/>
          <w:highlight w:val="none"/>
          <w:lang w:val="en-US" w:eastAsia="zh-CN"/>
        </w:rPr>
      </w:pPr>
      <w:r>
        <w:rPr>
          <w:rFonts w:hint="eastAsia"/>
          <w:color w:val="auto"/>
          <w:highlight w:val="none"/>
          <w:lang w:val="en-US" w:eastAsia="zh-CN"/>
        </w:rPr>
        <w:t>续上表</w:t>
      </w:r>
    </w:p>
    <w:tbl>
      <w:tblPr>
        <w:tblStyle w:val="48"/>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137"/>
        <w:gridCol w:w="6722"/>
      </w:tblGrid>
      <w:tr w14:paraId="0115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blHeader/>
          <w:jc w:val="center"/>
        </w:trPr>
        <w:tc>
          <w:tcPr>
            <w:tcW w:w="2062" w:type="dxa"/>
            <w:gridSpan w:val="2"/>
            <w:vAlign w:val="center"/>
          </w:tcPr>
          <w:p w14:paraId="5A386908">
            <w:pPr>
              <w:pStyle w:val="276"/>
              <w:adjustRightInd w:val="0"/>
              <w:snapToGrid w:val="0"/>
              <w:spacing w:line="400" w:lineRule="exact"/>
              <w:jc w:val="center"/>
              <w:rPr>
                <w:rFonts w:ascii="宋体" w:hAnsi="宋体" w:eastAsia="宋体" w:cs="宋体"/>
                <w:b/>
                <w:bCs/>
                <w:color w:val="auto"/>
                <w:kern w:val="2"/>
                <w:sz w:val="21"/>
                <w:szCs w:val="21"/>
                <w:highlight w:val="none"/>
                <w:lang w:val="en-US" w:eastAsia="zh-CN" w:bidi="ar-SA"/>
              </w:rPr>
            </w:pPr>
            <w:r>
              <w:rPr>
                <w:rFonts w:hint="eastAsia" w:ascii="宋体" w:hAnsi="宋体" w:cs="宋体"/>
                <w:b/>
                <w:bCs/>
                <w:color w:val="auto"/>
                <w:szCs w:val="21"/>
                <w:highlight w:val="none"/>
              </w:rPr>
              <w:t>条款号</w:t>
            </w:r>
          </w:p>
        </w:tc>
        <w:tc>
          <w:tcPr>
            <w:tcW w:w="6722" w:type="dxa"/>
            <w:vAlign w:val="center"/>
          </w:tcPr>
          <w:p w14:paraId="20951440">
            <w:pPr>
              <w:pStyle w:val="276"/>
              <w:numPr>
                <w:ilvl w:val="-1"/>
                <w:numId w:val="0"/>
              </w:numPr>
              <w:adjustRightInd w:val="0"/>
              <w:snapToGrid w:val="0"/>
              <w:spacing w:line="400" w:lineRule="exact"/>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color w:val="auto"/>
                <w:szCs w:val="21"/>
                <w:highlight w:val="none"/>
              </w:rPr>
              <w:t>评审因素与评审标准</w:t>
            </w:r>
          </w:p>
        </w:tc>
      </w:tr>
      <w:tr w14:paraId="026D6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9" w:hRule="atLeast"/>
          <w:jc w:val="center"/>
        </w:trPr>
        <w:tc>
          <w:tcPr>
            <w:tcW w:w="925" w:type="dxa"/>
            <w:vAlign w:val="center"/>
          </w:tcPr>
          <w:p w14:paraId="14F0A234">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3.1</w:t>
            </w:r>
          </w:p>
          <w:p w14:paraId="5010C77B">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第一个信封初步评审</w:t>
            </w:r>
          </w:p>
        </w:tc>
        <w:tc>
          <w:tcPr>
            <w:tcW w:w="1137" w:type="dxa"/>
            <w:vAlign w:val="center"/>
          </w:tcPr>
          <w:p w14:paraId="08E3C855">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3.1.1</w:t>
            </w:r>
          </w:p>
        </w:tc>
        <w:tc>
          <w:tcPr>
            <w:tcW w:w="6722" w:type="dxa"/>
            <w:vAlign w:val="center"/>
          </w:tcPr>
          <w:p w14:paraId="06E61DFB">
            <w:pPr>
              <w:pStyle w:val="276"/>
              <w:numPr>
                <w:ilvl w:val="0"/>
                <w:numId w:val="2"/>
              </w:numPr>
              <w:adjustRightInd w:val="0"/>
              <w:snapToGrid w:val="0"/>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评标委员会依据本章第2.1.1项、第2.1.2项、第2.1.3项规定的标准对投标文件第一个信封（商务及技术文件）进行初步评审。有一项不符合评审标准的，评标委员会应否决其投标。</w:t>
            </w:r>
          </w:p>
          <w:p w14:paraId="5A06A0E6">
            <w:pPr>
              <w:pStyle w:val="276"/>
              <w:numPr>
                <w:ilvl w:val="0"/>
                <w:numId w:val="2"/>
              </w:numPr>
              <w:adjustRightInd w:val="0"/>
              <w:snapToGrid w:val="0"/>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通过第一</w:t>
            </w:r>
            <w:r>
              <w:rPr>
                <w:rFonts w:hint="eastAsia" w:asciiTheme="minorEastAsia" w:hAnsiTheme="minorEastAsia" w:eastAsiaTheme="minorEastAsia" w:cstheme="minorEastAsia"/>
                <w:color w:val="auto"/>
                <w:highlight w:val="none"/>
                <w:lang w:val="en-US" w:eastAsia="zh-CN"/>
              </w:rPr>
              <w:t>个</w:t>
            </w:r>
            <w:r>
              <w:rPr>
                <w:rFonts w:hint="eastAsia" w:asciiTheme="minorEastAsia" w:hAnsiTheme="minorEastAsia" w:eastAsiaTheme="minorEastAsia" w:cstheme="minorEastAsia"/>
                <w:color w:val="auto"/>
                <w:highlight w:val="none"/>
              </w:rPr>
              <w:t>信封</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商务及技术文件</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评审的投标人仅有</w:t>
            </w:r>
            <w:r>
              <w:rPr>
                <w:rFonts w:hint="eastAsia" w:asciiTheme="minorEastAsia" w:hAnsiTheme="minorEastAsia" w:eastAsiaTheme="minorEastAsia" w:cstheme="minorEastAsia"/>
                <w:color w:val="auto"/>
                <w:highlight w:val="none"/>
                <w:lang w:eastAsia="zh-CN"/>
              </w:rPr>
              <w:t>2</w:t>
            </w:r>
            <w:r>
              <w:rPr>
                <w:rFonts w:hint="eastAsia" w:asciiTheme="minorEastAsia" w:hAnsiTheme="minorEastAsia" w:eastAsiaTheme="minorEastAsia" w:cstheme="minorEastAsia"/>
                <w:color w:val="auto"/>
                <w:highlight w:val="none"/>
                <w:lang w:val="en-US" w:eastAsia="zh-CN"/>
              </w:rPr>
              <w:t>家</w:t>
            </w:r>
            <w:r>
              <w:rPr>
                <w:rFonts w:hint="eastAsia" w:asciiTheme="minorEastAsia" w:hAnsiTheme="minorEastAsia" w:eastAsiaTheme="minorEastAsia" w:cstheme="minorEastAsia"/>
                <w:color w:val="auto"/>
                <w:highlight w:val="none"/>
              </w:rPr>
              <w:t>的，评标委员会可以否决全部投标；未否决全部投标的，评标委员会应当在评标报告中阐明理由，招标人应当按照第二章“投标人须知”前附表第5.2.3项规定的程序进行第二</w:t>
            </w:r>
            <w:r>
              <w:rPr>
                <w:rFonts w:hint="eastAsia" w:asciiTheme="minorEastAsia" w:hAnsiTheme="minorEastAsia" w:eastAsiaTheme="minorEastAsia" w:cstheme="minorEastAsia"/>
                <w:color w:val="auto"/>
                <w:highlight w:val="none"/>
                <w:lang w:val="en-US" w:eastAsia="zh-CN"/>
              </w:rPr>
              <w:t>个</w:t>
            </w:r>
            <w:r>
              <w:rPr>
                <w:rFonts w:hint="eastAsia" w:asciiTheme="minorEastAsia" w:hAnsiTheme="minorEastAsia" w:eastAsiaTheme="minorEastAsia" w:cstheme="minorEastAsia"/>
                <w:color w:val="auto"/>
                <w:highlight w:val="none"/>
              </w:rPr>
              <w:t>信封</w:t>
            </w:r>
            <w:r>
              <w:rPr>
                <w:rFonts w:hint="eastAsia"/>
                <w:color w:val="auto"/>
                <w:highlight w:val="none"/>
                <w:lang w:eastAsia="zh-CN"/>
              </w:rPr>
              <w:t>（</w:t>
            </w:r>
            <w:r>
              <w:rPr>
                <w:rFonts w:hint="eastAsia"/>
                <w:color w:val="auto"/>
                <w:highlight w:val="none"/>
                <w:lang w:val="en-US" w:eastAsia="zh-CN"/>
              </w:rPr>
              <w:t>报价文件</w:t>
            </w:r>
            <w:r>
              <w:rPr>
                <w:rFonts w:hint="eastAsia"/>
                <w:color w:val="auto"/>
                <w:highlight w:val="none"/>
                <w:lang w:eastAsia="zh-CN"/>
              </w:rPr>
              <w:t>）</w:t>
            </w:r>
            <w:r>
              <w:rPr>
                <w:rFonts w:hint="eastAsia" w:asciiTheme="minorEastAsia" w:hAnsiTheme="minorEastAsia" w:eastAsiaTheme="minorEastAsia" w:cstheme="minorEastAsia"/>
                <w:color w:val="auto"/>
                <w:highlight w:val="none"/>
              </w:rPr>
              <w:t>开标，但评标委员会在进行</w:t>
            </w:r>
            <w:r>
              <w:rPr>
                <w:rFonts w:hint="eastAsia" w:asciiTheme="minorEastAsia" w:hAnsiTheme="minorEastAsia" w:eastAsiaTheme="minorEastAsia" w:cstheme="minorEastAsia"/>
                <w:color w:val="auto"/>
                <w:highlight w:val="none"/>
                <w:lang w:val="en-US" w:eastAsia="zh-CN"/>
              </w:rPr>
              <w:t>第二个信封</w:t>
            </w:r>
            <w:r>
              <w:rPr>
                <w:rFonts w:hint="eastAsia"/>
                <w:color w:val="auto"/>
                <w:highlight w:val="none"/>
                <w:lang w:eastAsia="zh-CN"/>
              </w:rPr>
              <w:t>（</w:t>
            </w:r>
            <w:r>
              <w:rPr>
                <w:rFonts w:hint="eastAsia"/>
                <w:color w:val="auto"/>
                <w:highlight w:val="none"/>
                <w:lang w:val="en-US" w:eastAsia="zh-CN"/>
              </w:rPr>
              <w:t>报价文件</w:t>
            </w:r>
            <w:r>
              <w:rPr>
                <w:rFonts w:hint="eastAsia"/>
                <w:color w:val="auto"/>
                <w:highlight w:val="none"/>
                <w:lang w:eastAsia="zh-CN"/>
              </w:rPr>
              <w:t>）</w:t>
            </w:r>
            <w:r>
              <w:rPr>
                <w:rFonts w:hint="eastAsia" w:asciiTheme="minorEastAsia" w:hAnsiTheme="minorEastAsia" w:eastAsiaTheme="minorEastAsia" w:cstheme="minorEastAsia"/>
                <w:color w:val="auto"/>
                <w:highlight w:val="none"/>
              </w:rPr>
              <w:t>评审时仍有权否决全部投标；评标委员会未在</w:t>
            </w:r>
            <w:r>
              <w:rPr>
                <w:rFonts w:hint="eastAsia" w:asciiTheme="minorEastAsia" w:hAnsiTheme="minorEastAsia" w:eastAsiaTheme="minorEastAsia" w:cstheme="minorEastAsia"/>
                <w:color w:val="auto"/>
                <w:highlight w:val="none"/>
                <w:lang w:val="en-US" w:eastAsia="zh-CN"/>
              </w:rPr>
              <w:t>第二个信封</w:t>
            </w:r>
            <w:r>
              <w:rPr>
                <w:rFonts w:hint="eastAsia"/>
                <w:color w:val="auto"/>
                <w:highlight w:val="none"/>
                <w:lang w:eastAsia="zh-CN"/>
              </w:rPr>
              <w:t>（</w:t>
            </w:r>
            <w:r>
              <w:rPr>
                <w:rFonts w:hint="eastAsia"/>
                <w:color w:val="auto"/>
                <w:highlight w:val="none"/>
                <w:lang w:val="en-US" w:eastAsia="zh-CN"/>
              </w:rPr>
              <w:t>报价文件</w:t>
            </w:r>
            <w:r>
              <w:rPr>
                <w:rFonts w:hint="eastAsia"/>
                <w:color w:val="auto"/>
                <w:highlight w:val="none"/>
                <w:lang w:eastAsia="zh-CN"/>
              </w:rPr>
              <w:t>）</w:t>
            </w:r>
            <w:r>
              <w:rPr>
                <w:rFonts w:hint="eastAsia" w:asciiTheme="minorEastAsia" w:hAnsiTheme="minorEastAsia" w:eastAsiaTheme="minorEastAsia" w:cstheme="minorEastAsia"/>
                <w:color w:val="auto"/>
                <w:highlight w:val="none"/>
              </w:rPr>
              <w:t>评审时否决全部投标的，应当在评标报告中阐明理由并推荐中标候选人。</w:t>
            </w:r>
          </w:p>
          <w:p w14:paraId="5BA5CD11">
            <w:pPr>
              <w:pStyle w:val="276"/>
              <w:numPr>
                <w:ilvl w:val="0"/>
                <w:numId w:val="2"/>
              </w:numPr>
              <w:adjustRightInd w:val="0"/>
              <w:snapToGrid w:val="0"/>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当通过第一个信封</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商务及技术文件</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szCs w:val="21"/>
                <w:highlight w:val="none"/>
              </w:rPr>
              <w:t>评审的投标人仅有1家时，评标委员会应否决其投标。</w:t>
            </w:r>
          </w:p>
        </w:tc>
      </w:tr>
      <w:tr w14:paraId="405C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Merge w:val="restart"/>
            <w:vAlign w:val="center"/>
          </w:tcPr>
          <w:p w14:paraId="413BB9F9">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3.2</w:t>
            </w:r>
          </w:p>
          <w:p w14:paraId="1EAA09E8">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第一个信封详细评审</w:t>
            </w:r>
          </w:p>
        </w:tc>
        <w:tc>
          <w:tcPr>
            <w:tcW w:w="1137" w:type="dxa"/>
            <w:vAlign w:val="center"/>
          </w:tcPr>
          <w:p w14:paraId="42EF8C9C">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3.2.1</w:t>
            </w:r>
          </w:p>
        </w:tc>
        <w:tc>
          <w:tcPr>
            <w:tcW w:w="6722" w:type="dxa"/>
            <w:vAlign w:val="center"/>
          </w:tcPr>
          <w:p w14:paraId="1637FD4F">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1）按本章第2.2.4项（1）目规定的评审因素和分值对技术建议书部分计算出得分A；</w:t>
            </w:r>
          </w:p>
          <w:p w14:paraId="2046F37F">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2）按本章第2.2.4项（2）目规定的评审因素和分值对主要人员部分计算出得分B；</w:t>
            </w:r>
          </w:p>
          <w:p w14:paraId="53876E41">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3）按本章第2.2.4项（4）目规定的评审因素和分值对其他部分计算出得分D</w:t>
            </w:r>
            <w:r>
              <w:rPr>
                <w:rFonts w:hint="eastAsia" w:ascii="宋体" w:hAnsi="宋体" w:cs="宋体"/>
                <w:color w:val="auto"/>
                <w:szCs w:val="21"/>
                <w:highlight w:val="none"/>
                <w:lang w:val="en-US" w:eastAsia="zh-CN"/>
              </w:rPr>
              <w:t>。</w:t>
            </w:r>
          </w:p>
        </w:tc>
      </w:tr>
      <w:tr w14:paraId="33665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Merge w:val="continue"/>
            <w:vAlign w:val="center"/>
          </w:tcPr>
          <w:p w14:paraId="4740D1E4">
            <w:pPr>
              <w:pStyle w:val="276"/>
              <w:adjustRightInd w:val="0"/>
              <w:snapToGrid w:val="0"/>
              <w:spacing w:line="400" w:lineRule="exact"/>
              <w:jc w:val="center"/>
              <w:rPr>
                <w:rFonts w:ascii="宋体" w:hAnsi="宋体" w:cs="宋体"/>
                <w:color w:val="auto"/>
                <w:szCs w:val="21"/>
                <w:highlight w:val="none"/>
              </w:rPr>
            </w:pPr>
          </w:p>
        </w:tc>
        <w:tc>
          <w:tcPr>
            <w:tcW w:w="1137" w:type="dxa"/>
            <w:vAlign w:val="center"/>
          </w:tcPr>
          <w:p w14:paraId="22AFC346">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3.2.2</w:t>
            </w:r>
          </w:p>
        </w:tc>
        <w:tc>
          <w:tcPr>
            <w:tcW w:w="6722" w:type="dxa"/>
            <w:vAlign w:val="center"/>
          </w:tcPr>
          <w:p w14:paraId="13E07F85">
            <w:pPr>
              <w:pStyle w:val="276"/>
              <w:adjustRightInd w:val="0"/>
              <w:snapToGrid w:val="0"/>
              <w:spacing w:line="400" w:lineRule="exact"/>
              <w:rPr>
                <w:rFonts w:hint="eastAsia"/>
                <w:color w:val="auto"/>
                <w:szCs w:val="21"/>
                <w:highlight w:val="none"/>
              </w:rPr>
            </w:pPr>
            <w:r>
              <w:rPr>
                <w:rFonts w:hint="eastAsia" w:ascii="宋体" w:hAnsi="宋体" w:cs="宋体"/>
                <w:color w:val="auto"/>
                <w:szCs w:val="21"/>
                <w:highlight w:val="none"/>
              </w:rPr>
              <w:t>投标人的商务和技术得分分值计算</w:t>
            </w:r>
            <w:r>
              <w:rPr>
                <w:rFonts w:asciiTheme="minorEastAsia" w:hAnsiTheme="minorEastAsia" w:eastAsiaTheme="minorEastAsia"/>
                <w:color w:val="auto"/>
                <w:szCs w:val="21"/>
                <w:highlight w:val="none"/>
              </w:rPr>
              <w:t>“四舍五入”</w:t>
            </w:r>
            <w:r>
              <w:rPr>
                <w:rFonts w:hint="eastAsia"/>
                <w:color w:val="auto"/>
                <w:szCs w:val="21"/>
                <w:highlight w:val="none"/>
              </w:rPr>
              <w:t>至少保留小数点后</w:t>
            </w:r>
          </w:p>
          <w:p w14:paraId="264AB195">
            <w:pPr>
              <w:pStyle w:val="276"/>
              <w:adjustRightInd w:val="0"/>
              <w:snapToGrid w:val="0"/>
              <w:spacing w:line="400" w:lineRule="exact"/>
              <w:rPr>
                <w:rFonts w:ascii="宋体" w:hAnsi="宋体" w:cs="宋体"/>
                <w:color w:val="auto"/>
                <w:szCs w:val="21"/>
                <w:highlight w:val="none"/>
              </w:rPr>
            </w:pPr>
            <w:r>
              <w:rPr>
                <w:rFonts w:asciiTheme="minorEastAsia" w:hAnsiTheme="minorEastAsia" w:eastAsiaTheme="minorEastAsia"/>
                <w:color w:val="auto"/>
                <w:szCs w:val="21"/>
                <w:highlight w:val="none"/>
                <w:u w:val="single"/>
              </w:rPr>
              <w:t xml:space="preserve">   </w:t>
            </w:r>
            <w:r>
              <w:rPr>
                <w:rFonts w:hint="eastAsia"/>
                <w:color w:val="auto"/>
                <w:szCs w:val="21"/>
                <w:highlight w:val="none"/>
              </w:rPr>
              <w:t>位</w:t>
            </w:r>
            <w:r>
              <w:rPr>
                <w:rFonts w:hint="eastAsia" w:ascii="宋体" w:hAnsi="宋体" w:cs="宋体"/>
                <w:color w:val="auto"/>
                <w:szCs w:val="21"/>
                <w:highlight w:val="none"/>
              </w:rPr>
              <w:t>。</w:t>
            </w:r>
          </w:p>
        </w:tc>
      </w:tr>
      <w:tr w14:paraId="0DC0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25" w:type="dxa"/>
            <w:vMerge w:val="continue"/>
            <w:vAlign w:val="center"/>
          </w:tcPr>
          <w:p w14:paraId="20766C98">
            <w:pPr>
              <w:pStyle w:val="276"/>
              <w:adjustRightInd w:val="0"/>
              <w:snapToGrid w:val="0"/>
              <w:spacing w:line="400" w:lineRule="exact"/>
              <w:jc w:val="center"/>
              <w:rPr>
                <w:rFonts w:ascii="宋体" w:hAnsi="宋体" w:cs="宋体"/>
                <w:color w:val="auto"/>
                <w:szCs w:val="21"/>
                <w:highlight w:val="none"/>
              </w:rPr>
            </w:pPr>
          </w:p>
        </w:tc>
        <w:tc>
          <w:tcPr>
            <w:tcW w:w="1137" w:type="dxa"/>
            <w:vAlign w:val="center"/>
          </w:tcPr>
          <w:p w14:paraId="7220C936">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3.2.3</w:t>
            </w:r>
          </w:p>
        </w:tc>
        <w:tc>
          <w:tcPr>
            <w:tcW w:w="6722" w:type="dxa"/>
            <w:vAlign w:val="center"/>
          </w:tcPr>
          <w:p w14:paraId="57B75465">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投标人的商务和技术得分</w:t>
            </w:r>
            <w:r>
              <w:rPr>
                <w:rFonts w:ascii="宋体" w:hAnsi="宋体" w:cs="宋体"/>
                <w:color w:val="auto"/>
                <w:szCs w:val="21"/>
                <w:highlight w:val="none"/>
              </w:rPr>
              <w:t>=A＋B＋D。</w:t>
            </w:r>
          </w:p>
        </w:tc>
      </w:tr>
      <w:tr w14:paraId="145B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Merge w:val="restart"/>
            <w:vAlign w:val="center"/>
          </w:tcPr>
          <w:p w14:paraId="37A1733A">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3.4</w:t>
            </w:r>
          </w:p>
          <w:p w14:paraId="117799FE">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第二个信封初步评审</w:t>
            </w:r>
          </w:p>
        </w:tc>
        <w:tc>
          <w:tcPr>
            <w:tcW w:w="1137" w:type="dxa"/>
            <w:vAlign w:val="center"/>
          </w:tcPr>
          <w:p w14:paraId="75E509A4">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3.4.1</w:t>
            </w:r>
          </w:p>
        </w:tc>
        <w:tc>
          <w:tcPr>
            <w:tcW w:w="6722" w:type="dxa"/>
            <w:vAlign w:val="center"/>
          </w:tcPr>
          <w:p w14:paraId="4BD2D068">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评标委员会按本章第</w:t>
            </w:r>
            <w:r>
              <w:rPr>
                <w:rFonts w:ascii="宋体" w:hAnsi="宋体" w:cs="宋体"/>
                <w:color w:val="auto"/>
                <w:szCs w:val="21"/>
                <w:highlight w:val="none"/>
              </w:rPr>
              <w:t>2.1.1</w:t>
            </w:r>
            <w:r>
              <w:rPr>
                <w:rFonts w:hint="eastAsia" w:ascii="宋体" w:hAnsi="宋体" w:cs="宋体"/>
                <w:color w:val="auto"/>
                <w:szCs w:val="21"/>
                <w:highlight w:val="none"/>
              </w:rPr>
              <w:t>项、第</w:t>
            </w:r>
            <w:r>
              <w:rPr>
                <w:rFonts w:ascii="宋体" w:hAnsi="宋体" w:cs="宋体"/>
                <w:color w:val="auto"/>
                <w:szCs w:val="21"/>
                <w:highlight w:val="none"/>
              </w:rPr>
              <w:t>2.1.3项规定的评审标准对投标文件第二个信封</w:t>
            </w:r>
            <w:r>
              <w:rPr>
                <w:rFonts w:hint="eastAsia" w:ascii="宋体" w:hAnsi="宋体"/>
                <w:color w:val="auto"/>
                <w:kern w:val="0"/>
                <w:szCs w:val="21"/>
                <w:highlight w:val="none"/>
                <w:lang w:eastAsia="zh-CN"/>
              </w:rPr>
              <w:t>（</w:t>
            </w:r>
            <w:r>
              <w:rPr>
                <w:rFonts w:hint="eastAsia" w:ascii="宋体" w:hAnsi="宋体"/>
                <w:color w:val="auto"/>
                <w:kern w:val="0"/>
                <w:szCs w:val="21"/>
                <w:highlight w:val="none"/>
                <w:lang w:val="en-US" w:eastAsia="zh-CN"/>
              </w:rPr>
              <w:t>报价文件</w:t>
            </w:r>
            <w:r>
              <w:rPr>
                <w:rFonts w:hint="eastAsia" w:ascii="宋体" w:hAnsi="宋体"/>
                <w:color w:val="auto"/>
                <w:kern w:val="0"/>
                <w:szCs w:val="21"/>
                <w:highlight w:val="none"/>
                <w:lang w:eastAsia="zh-CN"/>
              </w:rPr>
              <w:t>）</w:t>
            </w:r>
            <w:r>
              <w:rPr>
                <w:rFonts w:ascii="宋体" w:hAnsi="宋体" w:cs="宋体"/>
                <w:color w:val="auto"/>
                <w:szCs w:val="21"/>
                <w:highlight w:val="none"/>
              </w:rPr>
              <w:t>进行初步评审，有一项不符合评审标准的，评标委员会应否决其投标。</w:t>
            </w:r>
          </w:p>
        </w:tc>
      </w:tr>
      <w:tr w14:paraId="33CE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Merge w:val="continue"/>
            <w:vAlign w:val="center"/>
          </w:tcPr>
          <w:p w14:paraId="31B0610C">
            <w:pPr>
              <w:pStyle w:val="276"/>
              <w:adjustRightInd w:val="0"/>
              <w:snapToGrid w:val="0"/>
              <w:spacing w:line="400" w:lineRule="exact"/>
              <w:jc w:val="center"/>
              <w:rPr>
                <w:rFonts w:ascii="宋体" w:hAnsi="宋体" w:cs="宋体"/>
                <w:color w:val="auto"/>
                <w:szCs w:val="21"/>
                <w:highlight w:val="none"/>
              </w:rPr>
            </w:pPr>
          </w:p>
        </w:tc>
        <w:tc>
          <w:tcPr>
            <w:tcW w:w="1137" w:type="dxa"/>
            <w:vAlign w:val="center"/>
          </w:tcPr>
          <w:p w14:paraId="38251042">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3.4.2</w:t>
            </w:r>
          </w:p>
        </w:tc>
        <w:tc>
          <w:tcPr>
            <w:tcW w:w="6722" w:type="dxa"/>
            <w:vAlign w:val="center"/>
          </w:tcPr>
          <w:p w14:paraId="4C9B2081">
            <w:pPr>
              <w:pStyle w:val="276"/>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对投标人投标报价进行算术性修正的原则：</w:t>
            </w:r>
          </w:p>
          <w:p w14:paraId="20DCA94B">
            <w:pPr>
              <w:pStyle w:val="276"/>
              <w:adjustRightInd w:val="0"/>
              <w:snapToGrid w:val="0"/>
              <w:spacing w:line="400" w:lineRule="exact"/>
              <w:rPr>
                <w:rFonts w:hint="eastAsia" w:ascii="宋体" w:hAnsi="宋体" w:cs="宋体"/>
                <w:color w:val="auto"/>
                <w:szCs w:val="21"/>
                <w:highlight w:val="none"/>
              </w:rPr>
            </w:pPr>
            <w:r>
              <w:rPr>
                <w:rFonts w:hint="eastAsia" w:ascii="宋体" w:hAnsi="宋体" w:cs="宋体"/>
                <w:kern w:val="0"/>
                <w:szCs w:val="21"/>
              </w:rPr>
              <w:t>□ 方式一：</w:t>
            </w:r>
          </w:p>
          <w:p w14:paraId="1623BCE5">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投标函</w:t>
            </w:r>
            <w:r>
              <w:rPr>
                <w:rFonts w:hint="eastAsia" w:ascii="宋体" w:hAnsi="宋体" w:cs="宋体"/>
                <w:color w:val="auto"/>
                <w:szCs w:val="21"/>
                <w:highlight w:val="none"/>
                <w:lang w:eastAsia="zh-CN"/>
              </w:rPr>
              <w:t>（</w:t>
            </w:r>
            <w:r>
              <w:rPr>
                <w:rFonts w:hint="eastAsia" w:ascii="宋体" w:hAnsi="宋体" w:cs="宋体"/>
                <w:color w:val="auto"/>
                <w:szCs w:val="21"/>
                <w:highlight w:val="none"/>
              </w:rPr>
              <w:t>第二个信封</w:t>
            </w:r>
            <w:r>
              <w:rPr>
                <w:rFonts w:hint="eastAsia" w:ascii="宋体" w:hAnsi="宋体" w:cs="宋体"/>
                <w:color w:val="auto"/>
                <w:szCs w:val="21"/>
                <w:highlight w:val="none"/>
                <w:lang w:eastAsia="zh-CN"/>
              </w:rPr>
              <w:t>）</w:t>
            </w:r>
            <w:r>
              <w:rPr>
                <w:rFonts w:ascii="宋体" w:hAnsi="宋体" w:cs="宋体"/>
                <w:color w:val="auto"/>
                <w:szCs w:val="21"/>
                <w:highlight w:val="none"/>
              </w:rPr>
              <w:t>中的</w:t>
            </w:r>
            <w:r>
              <w:rPr>
                <w:rFonts w:hint="eastAsia" w:ascii="宋体" w:hAnsi="宋体" w:cs="宋体"/>
                <w:color w:val="auto"/>
                <w:szCs w:val="21"/>
                <w:highlight w:val="none"/>
                <w:lang w:val="en-US" w:eastAsia="zh-CN"/>
              </w:rPr>
              <w:t>投标总报价</w:t>
            </w:r>
            <w:r>
              <w:rPr>
                <w:rFonts w:ascii="宋体" w:hAnsi="宋体" w:cs="宋体"/>
                <w:color w:val="auto"/>
                <w:szCs w:val="21"/>
                <w:highlight w:val="none"/>
              </w:rPr>
              <w:t xml:space="preserve">大写金额与小写金额不一致的，以大写金额为准。 </w:t>
            </w:r>
          </w:p>
          <w:p w14:paraId="105B2B9F">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2）清单汇总表投标报价金额与</w:t>
            </w:r>
            <w:r>
              <w:rPr>
                <w:rFonts w:hint="eastAsia" w:ascii="宋体" w:hAnsi="宋体" w:cs="宋体"/>
                <w:color w:val="auto"/>
                <w:szCs w:val="21"/>
                <w:highlight w:val="none"/>
              </w:rPr>
              <w:t>投标函</w:t>
            </w:r>
            <w:r>
              <w:rPr>
                <w:rFonts w:hint="eastAsia" w:ascii="宋体" w:hAnsi="宋体" w:cs="宋体"/>
                <w:color w:val="auto"/>
                <w:szCs w:val="21"/>
                <w:highlight w:val="none"/>
                <w:lang w:eastAsia="zh-CN"/>
              </w:rPr>
              <w:t>（</w:t>
            </w:r>
            <w:r>
              <w:rPr>
                <w:rFonts w:hint="eastAsia" w:ascii="宋体" w:hAnsi="宋体" w:cs="宋体"/>
                <w:color w:val="auto"/>
                <w:szCs w:val="21"/>
                <w:highlight w:val="none"/>
              </w:rPr>
              <w:t>第二个信封</w:t>
            </w:r>
            <w:r>
              <w:rPr>
                <w:rFonts w:hint="eastAsia" w:ascii="宋体" w:hAnsi="宋体" w:cs="宋体"/>
                <w:color w:val="auto"/>
                <w:szCs w:val="21"/>
                <w:highlight w:val="none"/>
                <w:lang w:eastAsia="zh-CN"/>
              </w:rPr>
              <w:t>）</w:t>
            </w:r>
            <w:r>
              <w:rPr>
                <w:rFonts w:ascii="宋体" w:hAnsi="宋体" w:cs="宋体"/>
                <w:color w:val="auto"/>
                <w:szCs w:val="21"/>
                <w:highlight w:val="none"/>
              </w:rPr>
              <w:t>中的</w:t>
            </w:r>
            <w:r>
              <w:rPr>
                <w:rFonts w:hint="eastAsia" w:ascii="宋体" w:hAnsi="宋体" w:cs="宋体"/>
                <w:color w:val="auto"/>
                <w:szCs w:val="21"/>
                <w:highlight w:val="none"/>
                <w:lang w:val="en-US" w:eastAsia="zh-CN"/>
              </w:rPr>
              <w:t>投标总报价</w:t>
            </w:r>
            <w:r>
              <w:rPr>
                <w:rFonts w:ascii="宋体" w:hAnsi="宋体" w:cs="宋体"/>
                <w:color w:val="auto"/>
                <w:szCs w:val="21"/>
                <w:highlight w:val="none"/>
              </w:rPr>
              <w:t>大写金额不一致的，以</w:t>
            </w:r>
            <w:r>
              <w:rPr>
                <w:rFonts w:ascii="宋体" w:hAnsi="宋体" w:cs="宋体"/>
                <w:color w:val="000000" w:themeColor="text1"/>
                <w:kern w:val="0"/>
                <w:szCs w:val="21"/>
                <w14:textFill>
                  <w14:solidFill>
                    <w14:schemeClr w14:val="tx1"/>
                  </w14:solidFill>
                </w14:textFill>
              </w:rPr>
              <w:t>投标函</w:t>
            </w:r>
            <w:r>
              <w:rPr>
                <w:rFonts w:hint="eastAsia" w:ascii="宋体" w:hAnsi="宋体" w:cs="宋体"/>
                <w:color w:val="000000" w:themeColor="text1"/>
                <w:kern w:val="0"/>
                <w:szCs w:val="21"/>
                <w:lang w:eastAsia="zh-CN"/>
                <w14:textFill>
                  <w14:solidFill>
                    <w14:schemeClr w14:val="tx1"/>
                  </w14:solidFill>
                </w14:textFill>
              </w:rPr>
              <w:t>（</w:t>
            </w:r>
            <w:r>
              <w:rPr>
                <w:rFonts w:ascii="宋体" w:hAnsi="宋体" w:cs="宋体"/>
                <w:color w:val="000000" w:themeColor="text1"/>
                <w:kern w:val="0"/>
                <w:szCs w:val="21"/>
                <w14:textFill>
                  <w14:solidFill>
                    <w14:schemeClr w14:val="tx1"/>
                  </w14:solidFill>
                </w14:textFill>
              </w:rPr>
              <w:t>第二个信封</w:t>
            </w:r>
            <w:r>
              <w:rPr>
                <w:rFonts w:hint="eastAsia" w:ascii="宋体" w:hAnsi="宋体" w:cs="宋体"/>
                <w:color w:val="000000" w:themeColor="text1"/>
                <w:kern w:val="0"/>
                <w:szCs w:val="21"/>
                <w:lang w:eastAsia="zh-CN"/>
                <w14:textFill>
                  <w14:solidFill>
                    <w14:schemeClr w14:val="tx1"/>
                  </w14:solidFill>
                </w14:textFill>
              </w:rPr>
              <w:t>）</w:t>
            </w:r>
            <w:r>
              <w:rPr>
                <w:rFonts w:ascii="宋体" w:hAnsi="宋体" w:cs="宋体"/>
                <w:color w:val="000000" w:themeColor="text1"/>
                <w:kern w:val="0"/>
                <w:szCs w:val="21"/>
                <w14:textFill>
                  <w14:solidFill>
                    <w14:schemeClr w14:val="tx1"/>
                  </w14:solidFill>
                </w14:textFill>
              </w:rPr>
              <w:t>中</w:t>
            </w:r>
            <w:r>
              <w:rPr>
                <w:rFonts w:hint="eastAsia" w:ascii="宋体" w:hAnsi="宋体" w:cs="宋体"/>
                <w:color w:val="000000" w:themeColor="text1"/>
                <w:kern w:val="0"/>
                <w:szCs w:val="21"/>
                <w:lang w:val="en-US" w:eastAsia="zh-CN"/>
                <w14:textFill>
                  <w14:solidFill>
                    <w14:schemeClr w14:val="tx1"/>
                  </w14:solidFill>
                </w14:textFill>
              </w:rPr>
              <w:t>投标总报价</w:t>
            </w:r>
            <w:r>
              <w:rPr>
                <w:rFonts w:ascii="宋体" w:hAnsi="宋体" w:cs="宋体"/>
                <w:color w:val="auto"/>
                <w:szCs w:val="21"/>
                <w:highlight w:val="none"/>
              </w:rPr>
              <w:t>大写金额为准。</w:t>
            </w:r>
          </w:p>
          <w:p w14:paraId="65C6EFB1">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3）监理</w:t>
            </w:r>
            <w:r>
              <w:rPr>
                <w:rFonts w:hint="eastAsia" w:ascii="宋体" w:hAnsi="宋体" w:cs="宋体"/>
                <w:color w:val="auto"/>
                <w:szCs w:val="21"/>
                <w:highlight w:val="none"/>
              </w:rPr>
              <w:t>试验室服务费用清单中的投标报价有其他错误的，评标阶段不作修正，在签订合同时以投标函</w:t>
            </w:r>
            <w:r>
              <w:rPr>
                <w:rFonts w:hint="eastAsia" w:ascii="宋体" w:hAnsi="宋体" w:cs="宋体"/>
                <w:color w:val="auto"/>
                <w:szCs w:val="21"/>
                <w:highlight w:val="none"/>
                <w:lang w:eastAsia="zh-CN"/>
              </w:rPr>
              <w:t>（</w:t>
            </w:r>
            <w:r>
              <w:rPr>
                <w:rFonts w:hint="eastAsia" w:ascii="宋体" w:hAnsi="宋体" w:cs="宋体"/>
                <w:color w:val="auto"/>
                <w:szCs w:val="21"/>
                <w:highlight w:val="none"/>
              </w:rPr>
              <w:t>第二个信封</w:t>
            </w:r>
            <w:r>
              <w:rPr>
                <w:rFonts w:hint="eastAsia" w:ascii="宋体" w:hAnsi="宋体" w:cs="宋体"/>
                <w:color w:val="auto"/>
                <w:szCs w:val="21"/>
                <w:highlight w:val="none"/>
                <w:lang w:eastAsia="zh-CN"/>
              </w:rPr>
              <w:t>）</w:t>
            </w:r>
            <w:r>
              <w:rPr>
                <w:rFonts w:hint="eastAsia" w:ascii="宋体" w:hAnsi="宋体" w:cs="宋体"/>
                <w:color w:val="auto"/>
                <w:szCs w:val="21"/>
                <w:highlight w:val="none"/>
              </w:rPr>
              <w:t>中投标总报价大写金额为准，按第二章“投标人须知”前附表第</w:t>
            </w:r>
            <w:r>
              <w:rPr>
                <w:rFonts w:ascii="宋体" w:hAnsi="宋体" w:cs="宋体"/>
                <w:color w:val="auto"/>
                <w:szCs w:val="21"/>
                <w:highlight w:val="none"/>
              </w:rPr>
              <w:t>7.8.3项修正。</w:t>
            </w:r>
          </w:p>
          <w:p w14:paraId="50505493">
            <w:pPr>
              <w:adjustRightInd w:val="0"/>
              <w:snapToGrid w:val="0"/>
              <w:spacing w:line="400" w:lineRule="exact"/>
              <w:rPr>
                <w:rFonts w:ascii="宋体" w:hAnsi="宋体" w:cs="宋体"/>
                <w:kern w:val="0"/>
                <w:szCs w:val="21"/>
              </w:rPr>
            </w:pPr>
            <w:r>
              <w:rPr>
                <w:rFonts w:hint="eastAsia" w:ascii="宋体" w:hAnsi="宋体" w:cs="宋体"/>
                <w:kern w:val="0"/>
                <w:szCs w:val="21"/>
              </w:rPr>
              <w:t>□ 方式二：</w:t>
            </w:r>
            <w:r>
              <w:rPr>
                <w:rStyle w:val="58"/>
                <w:rFonts w:hint="eastAsia" w:ascii="宋体" w:hAnsi="宋体" w:cs="宋体"/>
                <w:kern w:val="0"/>
                <w:szCs w:val="21"/>
              </w:rPr>
              <w:footnoteReference w:id="96"/>
            </w:r>
          </w:p>
          <w:p w14:paraId="49F18E29">
            <w:pPr>
              <w:pStyle w:val="276"/>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szCs w:val="21"/>
              </w:rPr>
              <w:t>……</w:t>
            </w:r>
          </w:p>
        </w:tc>
      </w:tr>
      <w:tr w14:paraId="061F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Merge w:val="continue"/>
            <w:vAlign w:val="center"/>
          </w:tcPr>
          <w:p w14:paraId="794AAE5C">
            <w:pPr>
              <w:pStyle w:val="276"/>
              <w:adjustRightInd w:val="0"/>
              <w:snapToGrid w:val="0"/>
              <w:spacing w:line="400" w:lineRule="exact"/>
              <w:jc w:val="center"/>
              <w:rPr>
                <w:rFonts w:ascii="宋体" w:hAnsi="宋体" w:cs="宋体"/>
                <w:color w:val="auto"/>
                <w:szCs w:val="21"/>
                <w:highlight w:val="none"/>
              </w:rPr>
            </w:pPr>
          </w:p>
        </w:tc>
        <w:tc>
          <w:tcPr>
            <w:tcW w:w="1137" w:type="dxa"/>
            <w:vAlign w:val="center"/>
          </w:tcPr>
          <w:p w14:paraId="2AF73D4D">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3.4.3</w:t>
            </w:r>
          </w:p>
        </w:tc>
        <w:tc>
          <w:tcPr>
            <w:tcW w:w="6722" w:type="dxa"/>
            <w:vAlign w:val="center"/>
          </w:tcPr>
          <w:p w14:paraId="4A0349E6">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投标人的投标报价若超过最高投标限价（如有），评标委员会应否决其投标。</w:t>
            </w:r>
          </w:p>
        </w:tc>
      </w:tr>
      <w:tr w14:paraId="75A1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Merge w:val="restart"/>
            <w:vAlign w:val="center"/>
          </w:tcPr>
          <w:p w14:paraId="685D3DA9">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3.5</w:t>
            </w:r>
          </w:p>
          <w:p w14:paraId="4E19CBF4">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第二个信封详细评审</w:t>
            </w:r>
          </w:p>
        </w:tc>
        <w:tc>
          <w:tcPr>
            <w:tcW w:w="1137" w:type="dxa"/>
            <w:vAlign w:val="center"/>
          </w:tcPr>
          <w:p w14:paraId="518B7233">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3.5.1</w:t>
            </w:r>
          </w:p>
        </w:tc>
        <w:tc>
          <w:tcPr>
            <w:tcW w:w="6722" w:type="dxa"/>
            <w:vAlign w:val="center"/>
          </w:tcPr>
          <w:p w14:paraId="2097357D">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按本章第</w:t>
            </w:r>
            <w:r>
              <w:rPr>
                <w:rFonts w:ascii="宋体" w:hAnsi="宋体" w:cs="宋体"/>
                <w:color w:val="auto"/>
                <w:szCs w:val="21"/>
                <w:highlight w:val="none"/>
              </w:rPr>
              <w:t>2.2.4项</w:t>
            </w:r>
            <w:r>
              <w:rPr>
                <w:rFonts w:hint="eastAsia" w:ascii="宋体" w:hAnsi="宋体" w:cs="宋体"/>
                <w:color w:val="auto"/>
                <w:szCs w:val="21"/>
                <w:highlight w:val="none"/>
              </w:rPr>
              <w:t>（</w:t>
            </w:r>
            <w:r>
              <w:rPr>
                <w:rFonts w:ascii="宋体" w:hAnsi="宋体" w:cs="宋体"/>
                <w:color w:val="auto"/>
                <w:szCs w:val="21"/>
                <w:highlight w:val="none"/>
              </w:rPr>
              <w:t>3）目规定的评审因素和分值对评标价计算出得分F</w:t>
            </w:r>
            <w:r>
              <w:rPr>
                <w:rFonts w:hint="eastAsia" w:ascii="宋体" w:hAnsi="宋体" w:cs="宋体"/>
                <w:color w:val="auto"/>
                <w:szCs w:val="21"/>
                <w:highlight w:val="none"/>
              </w:rPr>
              <w:t>，评标价得分分值计算</w:t>
            </w:r>
            <w:r>
              <w:rPr>
                <w:rFonts w:asciiTheme="minorEastAsia" w:hAnsiTheme="minorEastAsia" w:eastAsiaTheme="minorEastAsia"/>
                <w:color w:val="auto"/>
                <w:szCs w:val="21"/>
                <w:highlight w:val="none"/>
              </w:rPr>
              <w:t>“四舍五入”</w:t>
            </w:r>
            <w:r>
              <w:rPr>
                <w:rFonts w:hint="eastAsia"/>
                <w:color w:val="auto"/>
                <w:szCs w:val="21"/>
                <w:highlight w:val="none"/>
              </w:rPr>
              <w:t>至少保留小数点后</w:t>
            </w:r>
            <w:r>
              <w:rPr>
                <w:rFonts w:asciiTheme="minorEastAsia" w:hAnsiTheme="minorEastAsia" w:eastAsiaTheme="minorEastAsia"/>
                <w:color w:val="auto"/>
                <w:szCs w:val="21"/>
                <w:highlight w:val="none"/>
                <w:u w:val="single"/>
              </w:rPr>
              <w:t xml:space="preserve">    </w:t>
            </w:r>
            <w:r>
              <w:rPr>
                <w:rFonts w:hint="eastAsia"/>
                <w:color w:val="auto"/>
                <w:szCs w:val="21"/>
                <w:highlight w:val="none"/>
              </w:rPr>
              <w:t>位</w:t>
            </w:r>
            <w:r>
              <w:rPr>
                <w:rFonts w:hint="eastAsia" w:ascii="宋体" w:hAnsi="宋体" w:cs="宋体"/>
                <w:color w:val="auto"/>
                <w:szCs w:val="21"/>
                <w:highlight w:val="none"/>
              </w:rPr>
              <w:t>。</w:t>
            </w:r>
          </w:p>
        </w:tc>
      </w:tr>
      <w:tr w14:paraId="452C5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25" w:type="dxa"/>
            <w:vMerge w:val="continue"/>
            <w:vAlign w:val="center"/>
          </w:tcPr>
          <w:p w14:paraId="2FA1D766">
            <w:pPr>
              <w:pStyle w:val="276"/>
              <w:adjustRightInd w:val="0"/>
              <w:snapToGrid w:val="0"/>
              <w:spacing w:line="400" w:lineRule="exact"/>
              <w:jc w:val="center"/>
              <w:rPr>
                <w:rFonts w:ascii="宋体" w:hAnsi="宋体" w:cs="宋体"/>
                <w:color w:val="auto"/>
                <w:szCs w:val="21"/>
                <w:highlight w:val="none"/>
              </w:rPr>
            </w:pPr>
          </w:p>
        </w:tc>
        <w:tc>
          <w:tcPr>
            <w:tcW w:w="1137" w:type="dxa"/>
            <w:vAlign w:val="center"/>
          </w:tcPr>
          <w:p w14:paraId="4279B740">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3.5.2</w:t>
            </w:r>
          </w:p>
        </w:tc>
        <w:tc>
          <w:tcPr>
            <w:tcW w:w="6722" w:type="dxa"/>
            <w:vAlign w:val="center"/>
          </w:tcPr>
          <w:p w14:paraId="1F04C00F">
            <w:pPr>
              <w:pStyle w:val="276"/>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投标人综合得分</w:t>
            </w:r>
            <w:r>
              <w:rPr>
                <w:rFonts w:ascii="宋体" w:hAnsi="宋体" w:cs="宋体"/>
                <w:color w:val="auto"/>
                <w:szCs w:val="21"/>
                <w:highlight w:val="none"/>
              </w:rPr>
              <w:t>=投标人的商务和技术得分＋F</w:t>
            </w:r>
            <w:r>
              <w:rPr>
                <w:rFonts w:hint="eastAsia" w:ascii="宋体" w:hAnsi="宋体" w:cs="宋体"/>
                <w:color w:val="auto"/>
                <w:szCs w:val="21"/>
                <w:highlight w:val="none"/>
                <w:lang w:eastAsia="zh-CN"/>
              </w:rPr>
              <w:t>。</w:t>
            </w:r>
          </w:p>
        </w:tc>
      </w:tr>
      <w:tr w14:paraId="7E77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25" w:type="dxa"/>
            <w:vMerge w:val="continue"/>
            <w:vAlign w:val="center"/>
          </w:tcPr>
          <w:p w14:paraId="74870C40">
            <w:pPr>
              <w:pStyle w:val="276"/>
              <w:adjustRightInd w:val="0"/>
              <w:snapToGrid w:val="0"/>
              <w:spacing w:line="400" w:lineRule="exact"/>
              <w:jc w:val="center"/>
              <w:rPr>
                <w:rFonts w:ascii="宋体" w:hAnsi="宋体" w:cs="宋体"/>
                <w:color w:val="auto"/>
                <w:szCs w:val="21"/>
                <w:highlight w:val="none"/>
              </w:rPr>
            </w:pPr>
          </w:p>
        </w:tc>
        <w:tc>
          <w:tcPr>
            <w:tcW w:w="1137" w:type="dxa"/>
            <w:vAlign w:val="center"/>
          </w:tcPr>
          <w:p w14:paraId="2F18ADCA">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3.5.3</w:t>
            </w:r>
          </w:p>
        </w:tc>
        <w:tc>
          <w:tcPr>
            <w:tcW w:w="6722" w:type="dxa"/>
            <w:vAlign w:val="center"/>
          </w:tcPr>
          <w:p w14:paraId="646A7403">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评标委员会认定投标人以低于成本报价的，其投标将予以否决。</w:t>
            </w:r>
          </w:p>
        </w:tc>
      </w:tr>
      <w:tr w14:paraId="16448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Merge w:val="restart"/>
            <w:vAlign w:val="center"/>
          </w:tcPr>
          <w:p w14:paraId="24D12A9D">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3.6投标文件相关信息</w:t>
            </w:r>
            <w:r>
              <w:rPr>
                <w:rFonts w:hint="eastAsia" w:ascii="宋体" w:hAnsi="宋体" w:cs="宋体"/>
                <w:color w:val="auto"/>
                <w:szCs w:val="21"/>
                <w:highlight w:val="none"/>
                <w:lang w:val="en-US" w:eastAsia="zh-CN"/>
              </w:rPr>
              <w:t>的</w:t>
            </w:r>
            <w:r>
              <w:rPr>
                <w:rFonts w:ascii="宋体" w:hAnsi="宋体" w:cs="宋体"/>
                <w:color w:val="auto"/>
                <w:szCs w:val="21"/>
                <w:highlight w:val="none"/>
              </w:rPr>
              <w:t>核查</w:t>
            </w:r>
          </w:p>
        </w:tc>
        <w:tc>
          <w:tcPr>
            <w:tcW w:w="1137" w:type="dxa"/>
            <w:vAlign w:val="center"/>
          </w:tcPr>
          <w:p w14:paraId="71F84AE4">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3.6.1</w:t>
            </w:r>
          </w:p>
        </w:tc>
        <w:tc>
          <w:tcPr>
            <w:tcW w:w="6722" w:type="dxa"/>
            <w:vAlign w:val="center"/>
          </w:tcPr>
          <w:p w14:paraId="681D12D1">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经核实评标委员会认定投标人</w:t>
            </w:r>
            <w:r>
              <w:rPr>
                <w:rFonts w:hint="eastAsia" w:ascii="宋体" w:hAnsi="宋体" w:cs="宋体"/>
                <w:color w:val="auto"/>
                <w:szCs w:val="21"/>
                <w:highlight w:val="none"/>
                <w:lang w:val="en-US" w:eastAsia="zh-CN"/>
              </w:rPr>
              <w:t>按招标文件</w:t>
            </w:r>
            <w:r>
              <w:rPr>
                <w:rFonts w:hint="eastAsia" w:ascii="宋体" w:hAnsi="宋体" w:cs="宋体"/>
                <w:color w:val="auto"/>
                <w:szCs w:val="21"/>
                <w:highlight w:val="none"/>
              </w:rPr>
              <w:t>第七章“投标文件格式”要求</w:t>
            </w:r>
            <w:r>
              <w:rPr>
                <w:rFonts w:hint="eastAsia" w:ascii="宋体" w:hAnsi="宋体" w:cs="宋体"/>
                <w:color w:val="auto"/>
                <w:szCs w:val="21"/>
                <w:highlight w:val="none"/>
                <w:lang w:val="en-US" w:eastAsia="zh-CN"/>
              </w:rPr>
              <w:t>在</w:t>
            </w: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中</w:t>
            </w:r>
            <w:r>
              <w:rPr>
                <w:rFonts w:hint="eastAsia" w:ascii="宋体" w:hAnsi="宋体" w:cs="宋体"/>
                <w:color w:val="auto"/>
                <w:szCs w:val="21"/>
                <w:highlight w:val="none"/>
              </w:rPr>
              <w:t>提供的信息与招标文件要求的网站上公开发布的相关信息</w:t>
            </w:r>
            <w:r>
              <w:rPr>
                <w:rFonts w:hint="eastAsia" w:ascii="宋体" w:hAnsi="宋体"/>
                <w:color w:val="auto"/>
                <w:szCs w:val="21"/>
                <w:highlight w:val="none"/>
              </w:rPr>
              <w:t>以及“信用交通·四川”</w:t>
            </w:r>
            <w:r>
              <w:rPr>
                <w:rFonts w:hint="eastAsia" w:ascii="宋体" w:hAnsi="宋体"/>
                <w:color w:val="auto"/>
                <w:szCs w:val="21"/>
                <w:highlight w:val="none"/>
                <w:lang w:val="en-US" w:eastAsia="zh-CN"/>
              </w:rPr>
              <w:t>等相关网站</w:t>
            </w:r>
            <w:r>
              <w:rPr>
                <w:rFonts w:hint="eastAsia" w:ascii="宋体" w:hAnsi="宋体" w:cs="宋体"/>
                <w:color w:val="auto"/>
                <w:szCs w:val="21"/>
                <w:highlight w:val="none"/>
              </w:rPr>
              <w:t>发布的信息不符，使得投标人的资格条件不符合招标文件规定的，评标委员会应否决其投标。</w:t>
            </w:r>
          </w:p>
        </w:tc>
      </w:tr>
      <w:tr w14:paraId="4A395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Merge w:val="continue"/>
            <w:vAlign w:val="center"/>
          </w:tcPr>
          <w:p w14:paraId="113BE546">
            <w:pPr>
              <w:pStyle w:val="276"/>
              <w:adjustRightInd w:val="0"/>
              <w:snapToGrid w:val="0"/>
              <w:spacing w:line="400" w:lineRule="exact"/>
              <w:jc w:val="center"/>
              <w:rPr>
                <w:rFonts w:ascii="宋体" w:hAnsi="宋体" w:cs="宋体"/>
                <w:color w:val="auto"/>
                <w:szCs w:val="21"/>
                <w:highlight w:val="none"/>
              </w:rPr>
            </w:pPr>
          </w:p>
        </w:tc>
        <w:tc>
          <w:tcPr>
            <w:tcW w:w="1137" w:type="dxa"/>
            <w:vAlign w:val="center"/>
          </w:tcPr>
          <w:p w14:paraId="6CB902CA">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3.6.2</w:t>
            </w:r>
          </w:p>
        </w:tc>
        <w:tc>
          <w:tcPr>
            <w:tcW w:w="6722" w:type="dxa"/>
            <w:vAlign w:val="center"/>
          </w:tcPr>
          <w:p w14:paraId="7E9FAD1C">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评标委员会在评标过程中发现投标人存在串通投标、虚假作假、行贿等违法行为情形的，评标委员会应否决其投标。</w:t>
            </w:r>
          </w:p>
        </w:tc>
      </w:tr>
      <w:tr w14:paraId="364F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14:paraId="39CE3F39">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3.7</w:t>
            </w:r>
          </w:p>
          <w:p w14:paraId="040CA595">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投标文件的澄清和说明</w:t>
            </w:r>
          </w:p>
        </w:tc>
        <w:tc>
          <w:tcPr>
            <w:tcW w:w="1137" w:type="dxa"/>
            <w:vAlign w:val="center"/>
          </w:tcPr>
          <w:p w14:paraId="605FB2F3">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3.7.1</w:t>
            </w:r>
          </w:p>
        </w:tc>
        <w:tc>
          <w:tcPr>
            <w:tcW w:w="6722" w:type="dxa"/>
            <w:vAlign w:val="center"/>
          </w:tcPr>
          <w:p w14:paraId="0287C1B5">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本项细化为：</w:t>
            </w:r>
          </w:p>
          <w:p w14:paraId="2DD6A845">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1）在评标过程中，评标委员会通过“</w:t>
            </w:r>
            <w:r>
              <w:rPr>
                <w:rFonts w:hint="eastAsia" w:ascii="宋体" w:hAnsi="宋体" w:cs="宋体"/>
                <w:color w:val="auto"/>
                <w:szCs w:val="21"/>
                <w:highlight w:val="none"/>
                <w:lang w:eastAsia="zh-CN"/>
              </w:rPr>
              <w:t>电子交易系统</w:t>
            </w:r>
            <w:r>
              <w:rPr>
                <w:rFonts w:ascii="宋体" w:hAnsi="宋体" w:cs="宋体"/>
                <w:color w:val="auto"/>
                <w:szCs w:val="21"/>
                <w:highlight w:val="none"/>
              </w:rPr>
              <w:t>”要求投标人对投标文件中含义不明确的内容、明显文字或计算错误进行澄清或说明。评标委员会不接受投标人主动提出的澄清、说明。</w:t>
            </w:r>
          </w:p>
          <w:p w14:paraId="2294ADF4">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2）投标人收到问题澄清通知后必须在规定时间内通过“</w:t>
            </w:r>
            <w:r>
              <w:rPr>
                <w:rFonts w:hint="eastAsia" w:ascii="宋体" w:hAnsi="宋体" w:cs="宋体"/>
                <w:color w:val="auto"/>
                <w:szCs w:val="21"/>
                <w:highlight w:val="none"/>
                <w:lang w:eastAsia="zh-CN"/>
              </w:rPr>
              <w:t>电子交易系统</w:t>
            </w:r>
            <w:r>
              <w:rPr>
                <w:rFonts w:ascii="宋体" w:hAnsi="宋体" w:cs="宋体"/>
                <w:color w:val="auto"/>
                <w:szCs w:val="21"/>
                <w:highlight w:val="none"/>
              </w:rPr>
              <w:t>”给予澄清，投标人的澄清必须加盖投标人单位电子印章或法定代表人或其委托代理人的</w:t>
            </w:r>
            <w:r>
              <w:rPr>
                <w:rFonts w:hint="eastAsia" w:ascii="宋体" w:hAnsi="宋体" w:cs="宋体"/>
                <w:color w:val="auto"/>
                <w:szCs w:val="21"/>
                <w:highlight w:val="none"/>
                <w:lang w:val="en-US" w:eastAsia="zh-CN"/>
              </w:rPr>
              <w:t>个人</w:t>
            </w:r>
            <w:r>
              <w:rPr>
                <w:rFonts w:ascii="宋体" w:hAnsi="宋体" w:cs="宋体"/>
                <w:color w:val="auto"/>
                <w:szCs w:val="21"/>
                <w:highlight w:val="none"/>
              </w:rPr>
              <w:t>电子签名章</w:t>
            </w:r>
            <w:r>
              <w:rPr>
                <w:rFonts w:hint="eastAsia" w:ascii="宋体" w:hAnsi="宋体" w:cs="宋体"/>
                <w:color w:val="auto"/>
                <w:szCs w:val="21"/>
                <w:highlight w:val="none"/>
              </w:rPr>
              <w:t>或个人电子印章。</w:t>
            </w:r>
          </w:p>
          <w:p w14:paraId="13532A2C">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3）投标人不按评标委员会要求澄清或说明的，评标委员会应否决其投标。</w:t>
            </w:r>
          </w:p>
        </w:tc>
      </w:tr>
      <w:tr w14:paraId="3CBB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84" w:type="dxa"/>
            <w:gridSpan w:val="3"/>
            <w:vAlign w:val="center"/>
          </w:tcPr>
          <w:p w14:paraId="21346903">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需要</w:t>
            </w:r>
            <w:r>
              <w:rPr>
                <w:rFonts w:ascii="宋体" w:hAnsi="宋体" w:cs="宋体"/>
                <w:color w:val="auto"/>
                <w:szCs w:val="21"/>
                <w:highlight w:val="none"/>
              </w:rPr>
              <w:t>补充的其他内容：</w:t>
            </w:r>
          </w:p>
          <w:p w14:paraId="6CB58E18">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w:t>
            </w:r>
          </w:p>
        </w:tc>
      </w:tr>
    </w:tbl>
    <w:p w14:paraId="5EA4D3D2">
      <w:pPr>
        <w:rPr>
          <w:rFonts w:ascii="宋体" w:hAnsi="宋体" w:cs="宋体"/>
          <w:color w:val="auto"/>
          <w:highlight w:val="none"/>
        </w:rPr>
      </w:pPr>
    </w:p>
    <w:p w14:paraId="66C6D2A1">
      <w:pPr>
        <w:rPr>
          <w:rFonts w:ascii="宋体" w:hAnsi="宋体" w:cs="宋体"/>
          <w:color w:val="auto"/>
          <w:highlight w:val="none"/>
        </w:rPr>
      </w:pPr>
    </w:p>
    <w:p w14:paraId="07C5FB17">
      <w:pPr>
        <w:rPr>
          <w:rFonts w:ascii="宋体" w:hAnsi="宋体" w:cs="宋体"/>
          <w:color w:val="auto"/>
          <w:highlight w:val="none"/>
        </w:rPr>
      </w:pPr>
    </w:p>
    <w:p w14:paraId="57EC2B4E">
      <w:pPr>
        <w:rPr>
          <w:rFonts w:ascii="宋体" w:hAnsi="宋体" w:cs="宋体"/>
          <w:color w:val="auto"/>
          <w:highlight w:val="none"/>
        </w:rPr>
      </w:pPr>
    </w:p>
    <w:p w14:paraId="21504826">
      <w:pPr>
        <w:ind w:firstLine="2800" w:firstLineChars="1000"/>
        <w:rPr>
          <w:rFonts w:ascii="黑体" w:hAnsi="黑体" w:eastAsia="黑体" w:cs="宋体"/>
          <w:color w:val="auto"/>
          <w:sz w:val="28"/>
          <w:szCs w:val="28"/>
          <w:highlight w:val="none"/>
        </w:rPr>
      </w:pPr>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标段评分因素与权重分值</w:t>
      </w:r>
    </w:p>
    <w:p w14:paraId="54F27C63">
      <w:pPr>
        <w:rPr>
          <w:rFonts w:ascii="宋体" w:hAnsi="宋体" w:cs="宋体"/>
          <w:color w:val="auto"/>
          <w:highlight w:val="none"/>
        </w:rPr>
      </w:pPr>
    </w:p>
    <w:tbl>
      <w:tblPr>
        <w:tblStyle w:val="48"/>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273"/>
        <w:gridCol w:w="1102"/>
        <w:gridCol w:w="2762"/>
        <w:gridCol w:w="794"/>
        <w:gridCol w:w="1750"/>
      </w:tblGrid>
      <w:tr w14:paraId="1551F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blHeader/>
          <w:jc w:val="center"/>
        </w:trPr>
        <w:tc>
          <w:tcPr>
            <w:tcW w:w="1089" w:type="dxa"/>
            <w:vMerge w:val="restart"/>
            <w:vAlign w:val="center"/>
          </w:tcPr>
          <w:p w14:paraId="4EB6AE58">
            <w:pPr>
              <w:pStyle w:val="276"/>
              <w:spacing w:line="400" w:lineRule="exact"/>
              <w:jc w:val="center"/>
              <w:rPr>
                <w:rFonts w:ascii="宋体" w:hAnsi="宋体" w:cs="宋体"/>
                <w:b/>
                <w:color w:val="auto"/>
                <w:szCs w:val="21"/>
                <w:highlight w:val="none"/>
              </w:rPr>
            </w:pPr>
            <w:bookmarkStart w:id="425" w:name="_Toc523921671"/>
            <w:r>
              <w:rPr>
                <w:rFonts w:hint="eastAsia" w:ascii="宋体" w:hAnsi="宋体" w:cs="宋体"/>
                <w:b/>
                <w:color w:val="auto"/>
                <w:szCs w:val="21"/>
                <w:highlight w:val="none"/>
              </w:rPr>
              <w:t>条款号</w:t>
            </w:r>
          </w:p>
        </w:tc>
        <w:tc>
          <w:tcPr>
            <w:tcW w:w="7681" w:type="dxa"/>
            <w:gridSpan w:val="5"/>
            <w:vAlign w:val="center"/>
          </w:tcPr>
          <w:p w14:paraId="77A84847">
            <w:pPr>
              <w:pStyle w:val="276"/>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评分因素与权重分值</w:t>
            </w:r>
          </w:p>
        </w:tc>
      </w:tr>
      <w:tr w14:paraId="49F4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tblHeader/>
          <w:jc w:val="center"/>
        </w:trPr>
        <w:tc>
          <w:tcPr>
            <w:tcW w:w="1089" w:type="dxa"/>
            <w:vMerge w:val="continue"/>
            <w:vAlign w:val="center"/>
          </w:tcPr>
          <w:p w14:paraId="7F457336">
            <w:pPr>
              <w:pStyle w:val="276"/>
              <w:spacing w:line="400" w:lineRule="exact"/>
              <w:jc w:val="center"/>
              <w:rPr>
                <w:rFonts w:ascii="宋体" w:hAnsi="宋体" w:cs="宋体"/>
                <w:b/>
                <w:color w:val="auto"/>
                <w:szCs w:val="21"/>
                <w:highlight w:val="none"/>
              </w:rPr>
            </w:pPr>
          </w:p>
        </w:tc>
        <w:tc>
          <w:tcPr>
            <w:tcW w:w="1273" w:type="dxa"/>
            <w:vAlign w:val="center"/>
          </w:tcPr>
          <w:p w14:paraId="609FFBA7">
            <w:pPr>
              <w:pStyle w:val="276"/>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评分因素</w:t>
            </w:r>
          </w:p>
        </w:tc>
        <w:tc>
          <w:tcPr>
            <w:tcW w:w="1102" w:type="dxa"/>
            <w:vAlign w:val="center"/>
          </w:tcPr>
          <w:p w14:paraId="0C1997FC">
            <w:pPr>
              <w:pStyle w:val="276"/>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评分因素权重分值</w:t>
            </w:r>
          </w:p>
        </w:tc>
        <w:tc>
          <w:tcPr>
            <w:tcW w:w="2762" w:type="dxa"/>
            <w:vAlign w:val="center"/>
          </w:tcPr>
          <w:p w14:paraId="046EF4E4">
            <w:pPr>
              <w:pStyle w:val="276"/>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各评分因素</w:t>
            </w:r>
          </w:p>
          <w:p w14:paraId="46DE5554">
            <w:pPr>
              <w:pStyle w:val="276"/>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细分项</w:t>
            </w:r>
          </w:p>
        </w:tc>
        <w:tc>
          <w:tcPr>
            <w:tcW w:w="794" w:type="dxa"/>
            <w:vAlign w:val="center"/>
          </w:tcPr>
          <w:p w14:paraId="10C1B133">
            <w:pPr>
              <w:pStyle w:val="276"/>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分值</w:t>
            </w:r>
          </w:p>
        </w:tc>
        <w:tc>
          <w:tcPr>
            <w:tcW w:w="1750" w:type="dxa"/>
            <w:vAlign w:val="center"/>
          </w:tcPr>
          <w:p w14:paraId="3B43E809">
            <w:pPr>
              <w:pStyle w:val="276"/>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评分标准</w:t>
            </w:r>
            <w:r>
              <w:rPr>
                <w:rStyle w:val="58"/>
                <w:rFonts w:ascii="宋体" w:hAnsi="宋体" w:cs="宋体"/>
                <w:b/>
                <w:color w:val="auto"/>
                <w:szCs w:val="21"/>
                <w:highlight w:val="none"/>
              </w:rPr>
              <w:footnoteReference w:id="97"/>
            </w:r>
          </w:p>
        </w:tc>
      </w:tr>
      <w:tr w14:paraId="3E96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89" w:type="dxa"/>
            <w:vMerge w:val="restart"/>
            <w:vAlign w:val="center"/>
          </w:tcPr>
          <w:p w14:paraId="00B17DE3">
            <w:pPr>
              <w:pStyle w:val="276"/>
              <w:spacing w:line="400" w:lineRule="exact"/>
              <w:jc w:val="center"/>
              <w:rPr>
                <w:rFonts w:ascii="宋体" w:hAnsi="宋体" w:cs="宋体"/>
                <w:color w:val="auto"/>
                <w:szCs w:val="21"/>
                <w:highlight w:val="none"/>
              </w:rPr>
            </w:pPr>
            <w:r>
              <w:rPr>
                <w:rFonts w:ascii="宋体" w:hAnsi="宋体" w:cs="宋体"/>
                <w:color w:val="auto"/>
                <w:szCs w:val="21"/>
                <w:highlight w:val="none"/>
              </w:rPr>
              <w:t>2.2.4（1）</w:t>
            </w:r>
          </w:p>
        </w:tc>
        <w:tc>
          <w:tcPr>
            <w:tcW w:w="1273" w:type="dxa"/>
            <w:vMerge w:val="restart"/>
            <w:vAlign w:val="center"/>
          </w:tcPr>
          <w:p w14:paraId="38D26940">
            <w:pPr>
              <w:pStyle w:val="276"/>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技术建议书</w:t>
            </w:r>
            <w:r>
              <w:rPr>
                <w:rFonts w:ascii="宋体" w:hAnsi="宋体" w:cs="宋体"/>
                <w:color w:val="auto"/>
                <w:szCs w:val="21"/>
                <w:highlight w:val="none"/>
              </w:rPr>
              <w:t>A</w:t>
            </w:r>
          </w:p>
        </w:tc>
        <w:tc>
          <w:tcPr>
            <w:tcW w:w="1102" w:type="dxa"/>
            <w:vMerge w:val="restart"/>
            <w:vAlign w:val="center"/>
          </w:tcPr>
          <w:p w14:paraId="495D30CC">
            <w:pPr>
              <w:pStyle w:val="276"/>
              <w:spacing w:line="400" w:lineRule="exact"/>
              <w:jc w:val="center"/>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r>
              <w:rPr>
                <w:rFonts w:ascii="宋体" w:hAnsi="宋体" w:cs="宋体"/>
                <w:color w:val="auto"/>
                <w:szCs w:val="21"/>
                <w:highlight w:val="none"/>
              </w:rPr>
              <w:t xml:space="preserve"> </w:t>
            </w:r>
          </w:p>
        </w:tc>
        <w:tc>
          <w:tcPr>
            <w:tcW w:w="2762" w:type="dxa"/>
            <w:vAlign w:val="center"/>
          </w:tcPr>
          <w:p w14:paraId="573B2753">
            <w:pPr>
              <w:pStyle w:val="276"/>
              <w:spacing w:line="400" w:lineRule="exact"/>
              <w:rPr>
                <w:rFonts w:ascii="宋体" w:hAnsi="宋体" w:cs="宋体"/>
                <w:color w:val="auto"/>
                <w:szCs w:val="21"/>
                <w:highlight w:val="none"/>
              </w:rPr>
            </w:pPr>
            <w:r>
              <w:rPr>
                <w:rFonts w:hint="eastAsia" w:ascii="宋体" w:hAnsi="宋体" w:cs="宋体"/>
                <w:color w:val="auto"/>
                <w:szCs w:val="21"/>
                <w:highlight w:val="none"/>
              </w:rPr>
              <w:t>监理试验室大纲和措施</w:t>
            </w:r>
            <w:r>
              <w:rPr>
                <w:rFonts w:ascii="宋体" w:hAnsi="宋体" w:cs="宋体"/>
                <w:color w:val="auto"/>
                <w:szCs w:val="21"/>
                <w:highlight w:val="none"/>
                <w:u w:val="none"/>
              </w:rPr>
              <w:t>A</w:t>
            </w:r>
            <w:r>
              <w:rPr>
                <w:rFonts w:ascii="宋体" w:hAnsi="宋体" w:cs="宋体"/>
                <w:color w:val="auto"/>
                <w:szCs w:val="21"/>
                <w:highlight w:val="none"/>
                <w:u w:val="none"/>
                <w:vertAlign w:val="subscript"/>
              </w:rPr>
              <w:t>1</w:t>
            </w:r>
          </w:p>
        </w:tc>
        <w:tc>
          <w:tcPr>
            <w:tcW w:w="794" w:type="dxa"/>
            <w:vAlign w:val="center"/>
          </w:tcPr>
          <w:p w14:paraId="2333A8DF">
            <w:pPr>
              <w:pStyle w:val="276"/>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750" w:type="dxa"/>
            <w:vAlign w:val="center"/>
          </w:tcPr>
          <w:p w14:paraId="09E1EC27">
            <w:pPr>
              <w:pStyle w:val="276"/>
              <w:spacing w:line="400" w:lineRule="exact"/>
              <w:rPr>
                <w:rFonts w:ascii="宋体" w:hAnsi="宋体" w:cs="宋体"/>
                <w:color w:val="auto"/>
                <w:szCs w:val="21"/>
                <w:highlight w:val="none"/>
                <w:u w:val="singl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p>
        </w:tc>
      </w:tr>
      <w:tr w14:paraId="0A063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1089" w:type="dxa"/>
            <w:vMerge w:val="continue"/>
            <w:vAlign w:val="center"/>
          </w:tcPr>
          <w:p w14:paraId="373E1B4B">
            <w:pPr>
              <w:pStyle w:val="276"/>
              <w:spacing w:line="400" w:lineRule="exact"/>
              <w:jc w:val="center"/>
              <w:rPr>
                <w:rFonts w:ascii="宋体" w:hAnsi="宋体" w:cs="宋体"/>
                <w:color w:val="auto"/>
                <w:szCs w:val="21"/>
                <w:highlight w:val="none"/>
              </w:rPr>
            </w:pPr>
          </w:p>
        </w:tc>
        <w:tc>
          <w:tcPr>
            <w:tcW w:w="1273" w:type="dxa"/>
            <w:vMerge w:val="continue"/>
            <w:vAlign w:val="center"/>
          </w:tcPr>
          <w:p w14:paraId="347BF88A">
            <w:pPr>
              <w:pStyle w:val="276"/>
              <w:spacing w:line="400" w:lineRule="exact"/>
              <w:jc w:val="center"/>
              <w:rPr>
                <w:rFonts w:ascii="宋体" w:hAnsi="宋体" w:cs="宋体"/>
                <w:color w:val="auto"/>
                <w:szCs w:val="21"/>
                <w:highlight w:val="none"/>
              </w:rPr>
            </w:pPr>
          </w:p>
        </w:tc>
        <w:tc>
          <w:tcPr>
            <w:tcW w:w="1102" w:type="dxa"/>
            <w:vMerge w:val="continue"/>
            <w:vAlign w:val="center"/>
          </w:tcPr>
          <w:p w14:paraId="00F91AE8">
            <w:pPr>
              <w:pStyle w:val="276"/>
              <w:spacing w:line="400" w:lineRule="exact"/>
              <w:rPr>
                <w:rFonts w:ascii="宋体" w:hAnsi="宋体" w:cs="宋体"/>
                <w:color w:val="auto"/>
                <w:szCs w:val="21"/>
                <w:highlight w:val="none"/>
              </w:rPr>
            </w:pPr>
          </w:p>
        </w:tc>
        <w:tc>
          <w:tcPr>
            <w:tcW w:w="2762" w:type="dxa"/>
            <w:vAlign w:val="center"/>
          </w:tcPr>
          <w:p w14:paraId="4348BEE5">
            <w:pPr>
              <w:pStyle w:val="276"/>
              <w:spacing w:line="400" w:lineRule="exact"/>
              <w:rPr>
                <w:rFonts w:ascii="宋体" w:hAnsi="宋体" w:cs="宋体"/>
                <w:color w:val="auto"/>
                <w:szCs w:val="21"/>
                <w:highlight w:val="none"/>
              </w:rPr>
            </w:pPr>
            <w:r>
              <w:rPr>
                <w:rFonts w:hint="eastAsia" w:ascii="宋体" w:hAnsi="宋体" w:cs="宋体"/>
                <w:color w:val="auto"/>
                <w:szCs w:val="21"/>
                <w:highlight w:val="none"/>
              </w:rPr>
              <w:t>本工程监理试验室工作的重点与难点分析</w:t>
            </w:r>
            <w:r>
              <w:rPr>
                <w:rFonts w:ascii="宋体" w:hAnsi="宋体" w:cs="宋体"/>
                <w:color w:val="auto"/>
                <w:szCs w:val="21"/>
                <w:highlight w:val="none"/>
                <w:u w:val="none"/>
              </w:rPr>
              <w:t>A</w:t>
            </w:r>
            <w:r>
              <w:rPr>
                <w:rFonts w:ascii="宋体" w:hAnsi="宋体" w:cs="宋体"/>
                <w:color w:val="auto"/>
                <w:szCs w:val="21"/>
                <w:highlight w:val="none"/>
                <w:u w:val="none"/>
                <w:vertAlign w:val="subscript"/>
              </w:rPr>
              <w:t>2</w:t>
            </w:r>
          </w:p>
        </w:tc>
        <w:tc>
          <w:tcPr>
            <w:tcW w:w="794" w:type="dxa"/>
            <w:vAlign w:val="center"/>
          </w:tcPr>
          <w:p w14:paraId="7BC3F9F6">
            <w:pPr>
              <w:pStyle w:val="276"/>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750" w:type="dxa"/>
            <w:vAlign w:val="center"/>
          </w:tcPr>
          <w:p w14:paraId="7E7A961E">
            <w:pPr>
              <w:pStyle w:val="276"/>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p>
        </w:tc>
      </w:tr>
      <w:tr w14:paraId="605D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1089" w:type="dxa"/>
            <w:vMerge w:val="continue"/>
            <w:vAlign w:val="center"/>
          </w:tcPr>
          <w:p w14:paraId="36166D94">
            <w:pPr>
              <w:pStyle w:val="276"/>
              <w:spacing w:line="400" w:lineRule="exact"/>
              <w:jc w:val="center"/>
              <w:rPr>
                <w:rFonts w:ascii="宋体" w:hAnsi="宋体" w:cs="宋体"/>
                <w:color w:val="auto"/>
                <w:szCs w:val="21"/>
                <w:highlight w:val="none"/>
              </w:rPr>
            </w:pPr>
          </w:p>
        </w:tc>
        <w:tc>
          <w:tcPr>
            <w:tcW w:w="1273" w:type="dxa"/>
            <w:vMerge w:val="continue"/>
            <w:vAlign w:val="center"/>
          </w:tcPr>
          <w:p w14:paraId="7B6737C9">
            <w:pPr>
              <w:pStyle w:val="276"/>
              <w:spacing w:line="400" w:lineRule="exact"/>
              <w:jc w:val="center"/>
              <w:rPr>
                <w:rFonts w:ascii="宋体" w:hAnsi="宋体" w:cs="宋体"/>
                <w:color w:val="auto"/>
                <w:szCs w:val="21"/>
                <w:highlight w:val="none"/>
              </w:rPr>
            </w:pPr>
          </w:p>
        </w:tc>
        <w:tc>
          <w:tcPr>
            <w:tcW w:w="1102" w:type="dxa"/>
            <w:vMerge w:val="continue"/>
            <w:vAlign w:val="center"/>
          </w:tcPr>
          <w:p w14:paraId="79A2DB48">
            <w:pPr>
              <w:pStyle w:val="276"/>
              <w:spacing w:line="400" w:lineRule="exact"/>
              <w:rPr>
                <w:rFonts w:ascii="宋体" w:hAnsi="宋体" w:cs="宋体"/>
                <w:color w:val="auto"/>
                <w:szCs w:val="21"/>
                <w:highlight w:val="none"/>
              </w:rPr>
            </w:pPr>
          </w:p>
        </w:tc>
        <w:tc>
          <w:tcPr>
            <w:tcW w:w="2762" w:type="dxa"/>
            <w:vAlign w:val="center"/>
          </w:tcPr>
          <w:p w14:paraId="0D91E68E">
            <w:pPr>
              <w:pStyle w:val="276"/>
              <w:spacing w:line="400" w:lineRule="exact"/>
              <w:rPr>
                <w:rFonts w:ascii="宋体" w:hAnsi="宋体" w:cs="宋体"/>
                <w:color w:val="auto"/>
                <w:szCs w:val="21"/>
                <w:highlight w:val="none"/>
              </w:rPr>
            </w:pPr>
            <w:r>
              <w:rPr>
                <w:rFonts w:hint="eastAsia" w:ascii="宋体" w:hAnsi="宋体" w:cs="宋体"/>
                <w:color w:val="auto"/>
                <w:szCs w:val="21"/>
                <w:highlight w:val="none"/>
              </w:rPr>
              <w:t>对本工程的建议</w:t>
            </w:r>
            <w:r>
              <w:rPr>
                <w:rFonts w:ascii="宋体" w:hAnsi="宋体" w:cs="宋体"/>
                <w:color w:val="auto"/>
                <w:szCs w:val="21"/>
                <w:highlight w:val="none"/>
                <w:u w:val="none"/>
              </w:rPr>
              <w:t>A</w:t>
            </w:r>
            <w:r>
              <w:rPr>
                <w:rFonts w:ascii="宋体" w:hAnsi="宋体" w:cs="宋体"/>
                <w:color w:val="auto"/>
                <w:szCs w:val="21"/>
                <w:highlight w:val="none"/>
                <w:u w:val="none"/>
                <w:vertAlign w:val="subscript"/>
              </w:rPr>
              <w:t>3</w:t>
            </w:r>
          </w:p>
        </w:tc>
        <w:tc>
          <w:tcPr>
            <w:tcW w:w="794" w:type="dxa"/>
            <w:vAlign w:val="center"/>
          </w:tcPr>
          <w:p w14:paraId="1DB88A0C">
            <w:pPr>
              <w:pStyle w:val="276"/>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750" w:type="dxa"/>
            <w:vAlign w:val="center"/>
          </w:tcPr>
          <w:p w14:paraId="5F452EBC">
            <w:pPr>
              <w:pStyle w:val="276"/>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p>
        </w:tc>
      </w:tr>
      <w:tr w14:paraId="33CAC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089" w:type="dxa"/>
            <w:vMerge w:val="continue"/>
            <w:vAlign w:val="center"/>
          </w:tcPr>
          <w:p w14:paraId="78D1EA68">
            <w:pPr>
              <w:pStyle w:val="276"/>
              <w:spacing w:line="400" w:lineRule="exact"/>
              <w:jc w:val="center"/>
              <w:rPr>
                <w:rFonts w:ascii="宋体" w:hAnsi="宋体" w:cs="宋体"/>
                <w:color w:val="auto"/>
                <w:szCs w:val="21"/>
                <w:highlight w:val="none"/>
              </w:rPr>
            </w:pPr>
          </w:p>
        </w:tc>
        <w:tc>
          <w:tcPr>
            <w:tcW w:w="1273" w:type="dxa"/>
            <w:vMerge w:val="continue"/>
            <w:vAlign w:val="center"/>
          </w:tcPr>
          <w:p w14:paraId="3BC2E934">
            <w:pPr>
              <w:pStyle w:val="276"/>
              <w:spacing w:line="400" w:lineRule="exact"/>
              <w:jc w:val="center"/>
              <w:rPr>
                <w:rFonts w:ascii="宋体" w:hAnsi="宋体" w:cs="宋体"/>
                <w:color w:val="auto"/>
                <w:szCs w:val="21"/>
                <w:highlight w:val="none"/>
              </w:rPr>
            </w:pPr>
          </w:p>
        </w:tc>
        <w:tc>
          <w:tcPr>
            <w:tcW w:w="1102" w:type="dxa"/>
            <w:vMerge w:val="continue"/>
            <w:vAlign w:val="center"/>
          </w:tcPr>
          <w:p w14:paraId="643CF02F">
            <w:pPr>
              <w:pStyle w:val="276"/>
              <w:spacing w:line="400" w:lineRule="exact"/>
              <w:rPr>
                <w:rFonts w:ascii="宋体" w:hAnsi="宋体" w:cs="宋体"/>
                <w:color w:val="auto"/>
                <w:szCs w:val="21"/>
                <w:highlight w:val="none"/>
              </w:rPr>
            </w:pPr>
          </w:p>
        </w:tc>
        <w:tc>
          <w:tcPr>
            <w:tcW w:w="2762" w:type="dxa"/>
            <w:vAlign w:val="center"/>
          </w:tcPr>
          <w:p w14:paraId="3C44559A">
            <w:pPr>
              <w:pStyle w:val="276"/>
              <w:spacing w:line="400" w:lineRule="exact"/>
              <w:rPr>
                <w:rFonts w:ascii="宋体" w:hAnsi="宋体" w:cs="宋体"/>
                <w:color w:val="auto"/>
                <w:szCs w:val="21"/>
                <w:highlight w:val="none"/>
              </w:rPr>
            </w:pPr>
            <w:r>
              <w:rPr>
                <w:rFonts w:hint="eastAsia" w:ascii="宋体" w:hAnsi="宋体" w:cs="宋体"/>
                <w:color w:val="auto"/>
                <w:szCs w:val="21"/>
                <w:highlight w:val="none"/>
              </w:rPr>
              <w:t>……</w:t>
            </w:r>
          </w:p>
        </w:tc>
        <w:tc>
          <w:tcPr>
            <w:tcW w:w="794" w:type="dxa"/>
            <w:vAlign w:val="center"/>
          </w:tcPr>
          <w:p w14:paraId="2F9E31D9">
            <w:pPr>
              <w:pStyle w:val="276"/>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750" w:type="dxa"/>
            <w:vAlign w:val="center"/>
          </w:tcPr>
          <w:p w14:paraId="73DAA7D1">
            <w:pPr>
              <w:pStyle w:val="276"/>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p>
        </w:tc>
      </w:tr>
      <w:tr w14:paraId="6847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089" w:type="dxa"/>
            <w:vMerge w:val="continue"/>
            <w:vAlign w:val="center"/>
          </w:tcPr>
          <w:p w14:paraId="44028640">
            <w:pPr>
              <w:pStyle w:val="276"/>
              <w:spacing w:line="400" w:lineRule="exact"/>
              <w:jc w:val="center"/>
              <w:rPr>
                <w:rFonts w:ascii="宋体" w:hAnsi="宋体" w:cs="宋体"/>
                <w:color w:val="auto"/>
                <w:szCs w:val="21"/>
                <w:highlight w:val="none"/>
              </w:rPr>
            </w:pPr>
          </w:p>
        </w:tc>
        <w:tc>
          <w:tcPr>
            <w:tcW w:w="1273" w:type="dxa"/>
            <w:vMerge w:val="continue"/>
            <w:vAlign w:val="center"/>
          </w:tcPr>
          <w:p w14:paraId="7011535F">
            <w:pPr>
              <w:pStyle w:val="276"/>
              <w:spacing w:line="400" w:lineRule="exact"/>
              <w:jc w:val="center"/>
              <w:rPr>
                <w:rFonts w:ascii="宋体" w:hAnsi="宋体" w:cs="宋体"/>
                <w:color w:val="auto"/>
                <w:szCs w:val="21"/>
                <w:highlight w:val="none"/>
              </w:rPr>
            </w:pPr>
          </w:p>
        </w:tc>
        <w:tc>
          <w:tcPr>
            <w:tcW w:w="1102" w:type="dxa"/>
            <w:vMerge w:val="continue"/>
            <w:vAlign w:val="center"/>
          </w:tcPr>
          <w:p w14:paraId="32B036C2">
            <w:pPr>
              <w:pStyle w:val="276"/>
              <w:spacing w:line="400" w:lineRule="exact"/>
              <w:rPr>
                <w:rFonts w:ascii="宋体" w:hAnsi="宋体" w:cs="宋体"/>
                <w:color w:val="auto"/>
                <w:szCs w:val="21"/>
                <w:highlight w:val="none"/>
              </w:rPr>
            </w:pPr>
          </w:p>
        </w:tc>
        <w:tc>
          <w:tcPr>
            <w:tcW w:w="5306" w:type="dxa"/>
            <w:gridSpan w:val="3"/>
            <w:vAlign w:val="center"/>
          </w:tcPr>
          <w:p w14:paraId="70CB3305">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rPr>
              <w:t>注</w:t>
            </w:r>
            <w:r>
              <w:rPr>
                <w:rFonts w:hint="eastAsia" w:ascii="宋体" w:hAnsi="宋体" w:cs="宋体"/>
                <w:color w:val="auto"/>
                <w:szCs w:val="21"/>
                <w:highlight w:val="none"/>
              </w:rPr>
              <w:t>：</w:t>
            </w:r>
          </w:p>
          <w:p w14:paraId="77F1518E">
            <w:pPr>
              <w:pStyle w:val="276"/>
              <w:adjustRightInd w:val="0"/>
              <w:snapToGrid w:val="0"/>
              <w:spacing w:line="400" w:lineRule="exact"/>
              <w:rPr>
                <w:color w:val="auto"/>
                <w:highlight w:val="none"/>
              </w:rPr>
            </w:pPr>
            <w:r>
              <w:rPr>
                <w:rFonts w:hint="eastAsia" w:ascii="宋体" w:hAnsi="宋体" w:cs="宋体"/>
                <w:color w:val="auto"/>
                <w:szCs w:val="21"/>
                <w:highlight w:val="none"/>
              </w:rPr>
              <w:t>（1）</w:t>
            </w:r>
            <w:r>
              <w:rPr>
                <w:rFonts w:hint="eastAsia"/>
                <w:color w:val="auto"/>
                <w:highlight w:val="none"/>
              </w:rPr>
              <w:t>招标人应根据项目具体情况确定各评分因素及评分因素权重分值，并对各评分因素进行细分（如有）、确定各评分因素细分项的分值，各评分因素权重分值合计应为</w:t>
            </w:r>
            <w:r>
              <w:rPr>
                <w:rFonts w:hint="eastAsia"/>
                <w:color w:val="auto"/>
                <w:highlight w:val="none"/>
                <w:lang w:val="en-US" w:eastAsia="zh-CN"/>
              </w:rPr>
              <w:t>本项评分因素权重分值满分</w:t>
            </w:r>
            <w:r>
              <w:rPr>
                <w:rFonts w:hint="eastAsia"/>
                <w:color w:val="auto"/>
                <w:highlight w:val="none"/>
              </w:rPr>
              <w:t>。各评分因素得分均不应低于其权重分值的60%，评标委员会成员对某一项评分因素的评分低于权重分值60%的，应在评标报告中作出说明。</w:t>
            </w:r>
          </w:p>
          <w:p w14:paraId="65F58638">
            <w:pPr>
              <w:pStyle w:val="276"/>
              <w:adjustRightInd w:val="0"/>
              <w:snapToGrid w:val="0"/>
              <w:spacing w:line="400" w:lineRule="exact"/>
            </w:pPr>
            <w:r>
              <w:rPr>
                <w:rFonts w:hint="eastAsia"/>
                <w:color w:val="auto"/>
                <w:highlight w:val="none"/>
              </w:rPr>
              <w:t>（2）</w:t>
            </w:r>
            <w:r>
              <w:rPr>
                <w:rFonts w:hint="eastAsia"/>
              </w:rPr>
              <w:t xml:space="preserve">各评分因素细分项得分计算方式：  </w:t>
            </w:r>
          </w:p>
          <w:p w14:paraId="72FFBCC7">
            <w:pPr>
              <w:pStyle w:val="276"/>
              <w:adjustRightInd w:val="0"/>
              <w:snapToGrid w:val="0"/>
              <w:spacing w:line="400" w:lineRule="exact"/>
              <w:ind w:firstLine="210" w:firstLineChars="100"/>
            </w:pPr>
            <w:r>
              <w:rPr>
                <w:rFonts w:hint="eastAsia"/>
                <w:color w:val="000000"/>
                <w:szCs w:val="21"/>
              </w:rPr>
              <w:sym w:font="Wingdings 2" w:char="00A3"/>
            </w:r>
            <w:r>
              <w:rPr>
                <w:rFonts w:hint="eastAsia"/>
                <w:color w:val="000000"/>
                <w:szCs w:val="21"/>
              </w:rPr>
              <w:t xml:space="preserve"> 方式一：</w:t>
            </w:r>
            <w:r>
              <w:rPr>
                <w:rFonts w:hint="eastAsia"/>
              </w:rPr>
              <w:t>各评分因素细分项得分应以评标委员会各成员的打分平均值确定。</w:t>
            </w:r>
          </w:p>
          <w:p w14:paraId="25867C31">
            <w:pPr>
              <w:pStyle w:val="276"/>
              <w:adjustRightInd w:val="0"/>
              <w:snapToGrid w:val="0"/>
              <w:spacing w:line="400" w:lineRule="exact"/>
              <w:ind w:firstLine="210" w:firstLineChars="100"/>
              <w:rPr>
                <w:rFonts w:hint="eastAsia" w:eastAsia="宋体"/>
                <w:color w:val="000000"/>
                <w:szCs w:val="21"/>
                <w:lang w:val="en-US" w:eastAsia="zh-CN"/>
              </w:rPr>
            </w:pPr>
            <w:r>
              <w:rPr>
                <w:rFonts w:hint="eastAsia"/>
                <w:color w:val="000000"/>
                <w:szCs w:val="21"/>
              </w:rPr>
              <w:sym w:font="Wingdings 2" w:char="00A3"/>
            </w:r>
            <w:r>
              <w:rPr>
                <w:rFonts w:hint="eastAsia"/>
                <w:color w:val="000000"/>
                <w:szCs w:val="21"/>
              </w:rPr>
              <w:t xml:space="preserve"> </w:t>
            </w:r>
            <w:r>
              <w:rPr>
                <w:rFonts w:hint="eastAsia"/>
                <w:color w:val="000000"/>
                <w:szCs w:val="21"/>
                <w:lang w:val="en-US" w:eastAsia="zh-CN"/>
              </w:rPr>
              <w:t>方式二：</w:t>
            </w:r>
            <w:r>
              <w:rPr>
                <w:rFonts w:hint="eastAsia"/>
                <w:color w:val="auto"/>
                <w:highlight w:val="none"/>
              </w:rPr>
              <w:t>评标委员会成员总数为</w:t>
            </w:r>
            <w:r>
              <w:rPr>
                <w:color w:val="auto"/>
                <w:highlight w:val="none"/>
              </w:rPr>
              <w:t>7</w:t>
            </w:r>
            <w:r>
              <w:rPr>
                <w:rFonts w:hint="eastAsia"/>
                <w:color w:val="auto"/>
                <w:highlight w:val="none"/>
              </w:rPr>
              <w:t>人（含</w:t>
            </w:r>
            <w:r>
              <w:rPr>
                <w:color w:val="auto"/>
                <w:highlight w:val="none"/>
              </w:rPr>
              <w:t>7</w:t>
            </w:r>
            <w:r>
              <w:rPr>
                <w:rFonts w:hint="eastAsia"/>
                <w:color w:val="auto"/>
                <w:highlight w:val="none"/>
              </w:rPr>
              <w:t>人）以上时，该平均值以去掉一个最高和一个最低分后计算。</w:t>
            </w:r>
          </w:p>
          <w:p w14:paraId="6B3F9339">
            <w:pPr>
              <w:pStyle w:val="276"/>
              <w:adjustRightInd w:val="0"/>
              <w:snapToGrid w:val="0"/>
              <w:spacing w:line="400" w:lineRule="exact"/>
              <w:ind w:firstLine="210" w:firstLineChars="100"/>
            </w:pPr>
            <w:r>
              <w:rPr>
                <w:rFonts w:hint="eastAsia" w:ascii="宋体" w:hAnsi="宋体" w:eastAsia="宋体" w:cs="宋体"/>
                <w:color w:val="000000"/>
                <w:szCs w:val="21"/>
              </w:rPr>
              <w:t>□</w:t>
            </w:r>
            <w:r>
              <w:rPr>
                <w:rFonts w:hint="eastAsia" w:eastAsia="宋体"/>
                <w:color w:val="000000"/>
                <w:szCs w:val="21"/>
                <w:lang w:val="en-US" w:eastAsia="zh-CN"/>
              </w:rPr>
              <w:t xml:space="preserve"> </w:t>
            </w:r>
            <w:r>
              <w:rPr>
                <w:rFonts w:hint="eastAsia"/>
                <w:color w:val="000000"/>
                <w:szCs w:val="21"/>
              </w:rPr>
              <w:t>方式</w:t>
            </w:r>
            <w:r>
              <w:rPr>
                <w:rFonts w:hint="eastAsia"/>
                <w:color w:val="000000"/>
                <w:szCs w:val="21"/>
                <w:lang w:val="en-US" w:eastAsia="zh-CN"/>
              </w:rPr>
              <w:t>三</w:t>
            </w:r>
            <w:r>
              <w:rPr>
                <w:rFonts w:hint="eastAsia"/>
                <w:color w:val="000000"/>
                <w:szCs w:val="21"/>
              </w:rPr>
              <w:t>：</w:t>
            </w:r>
            <w:r>
              <w:rPr>
                <w:rFonts w:hint="eastAsia"/>
              </w:rPr>
              <w:t>各评分因素细分项得分计算步骤如下：</w:t>
            </w:r>
          </w:p>
          <w:p w14:paraId="3C0D42E3">
            <w:pPr>
              <w:pStyle w:val="276"/>
              <w:numPr>
                <w:ilvl w:val="255"/>
                <w:numId w:val="0"/>
              </w:numPr>
              <w:adjustRightInd w:val="0"/>
              <w:snapToGrid w:val="0"/>
              <w:spacing w:line="400" w:lineRule="exact"/>
              <w:ind w:firstLine="420" w:firstLineChars="200"/>
            </w:pPr>
            <w:r>
              <w:rPr>
                <w:rFonts w:hint="eastAsia"/>
              </w:rPr>
              <w:fldChar w:fldCharType="begin"/>
            </w:r>
            <w:r>
              <w:rPr>
                <w:rFonts w:hint="eastAsia"/>
              </w:rPr>
              <w:instrText xml:space="preserve"> = 1 \* GB3 \* MERGEFORMAT </w:instrText>
            </w:r>
            <w:r>
              <w:rPr>
                <w:rFonts w:hint="eastAsia"/>
              </w:rPr>
              <w:fldChar w:fldCharType="separate"/>
            </w:r>
            <w:r>
              <w:rPr>
                <w:rFonts w:hint="eastAsia"/>
              </w:rPr>
              <w:t>①</w:t>
            </w:r>
            <w:r>
              <w:rPr>
                <w:rFonts w:hint="eastAsia"/>
              </w:rPr>
              <w:fldChar w:fldCharType="end"/>
            </w:r>
            <w:r>
              <w:rPr>
                <w:rFonts w:hint="eastAsia"/>
              </w:rPr>
              <w:t>计算各专家对所有投标人评分因素细分项最高评分与最低评分的差值（简称“分差值”），确定分差值最大专家的个数。</w:t>
            </w:r>
          </w:p>
          <w:p w14:paraId="0EE1F82D">
            <w:pPr>
              <w:pStyle w:val="276"/>
              <w:numPr>
                <w:ilvl w:val="255"/>
                <w:numId w:val="0"/>
              </w:numPr>
              <w:adjustRightInd w:val="0"/>
              <w:snapToGrid w:val="0"/>
              <w:spacing w:line="400" w:lineRule="exact"/>
              <w:ind w:firstLine="420" w:firstLineChars="200"/>
            </w:pPr>
            <w:r>
              <w:rPr>
                <w:rFonts w:hint="eastAsia"/>
              </w:rPr>
              <w:fldChar w:fldCharType="begin"/>
            </w:r>
            <w:r>
              <w:rPr>
                <w:rFonts w:hint="eastAsia"/>
              </w:rPr>
              <w:instrText xml:space="preserve"> = 2 \* GB3 \* MERGEFORMAT </w:instrText>
            </w:r>
            <w:r>
              <w:rPr>
                <w:rFonts w:hint="eastAsia"/>
              </w:rPr>
              <w:fldChar w:fldCharType="separate"/>
            </w:r>
            <w:r>
              <w:rPr>
                <w:rFonts w:hint="eastAsia"/>
              </w:rPr>
              <w:t>②</w:t>
            </w:r>
            <w:r>
              <w:rPr>
                <w:rFonts w:hint="eastAsia"/>
              </w:rPr>
              <w:fldChar w:fldCharType="end"/>
            </w:r>
            <w:r>
              <w:rPr>
                <w:rFonts w:hint="eastAsia"/>
              </w:rPr>
              <w:t>同一细分项，若分差值最大的专家个数≤2名，则去掉分差值最大的专家该细分项评分；若分差值最大的专家个数≥3名，则保留所有专家细分项评分。</w:t>
            </w:r>
          </w:p>
          <w:p w14:paraId="17522C0D">
            <w:pPr>
              <w:pStyle w:val="276"/>
              <w:adjustRightInd w:val="0"/>
              <w:snapToGrid w:val="0"/>
              <w:spacing w:line="400" w:lineRule="exact"/>
              <w:ind w:firstLine="420" w:firstLineChars="200"/>
              <w:rPr>
                <w:rFonts w:hint="eastAsia"/>
                <w:color w:val="auto"/>
                <w:highlight w:val="none"/>
              </w:rPr>
            </w:pPr>
            <w:r>
              <w:rPr>
                <w:rFonts w:hint="eastAsia"/>
              </w:rPr>
              <w:fldChar w:fldCharType="begin"/>
            </w:r>
            <w:r>
              <w:rPr>
                <w:rFonts w:hint="eastAsia"/>
              </w:rPr>
              <w:instrText xml:space="preserve"> = 3 \* GB3 \* MERGEFORMAT </w:instrText>
            </w:r>
            <w:r>
              <w:rPr>
                <w:rFonts w:hint="eastAsia"/>
              </w:rPr>
              <w:fldChar w:fldCharType="separate"/>
            </w:r>
            <w:r>
              <w:rPr>
                <w:rFonts w:hint="eastAsia"/>
              </w:rPr>
              <w:t>③</w:t>
            </w:r>
            <w:r>
              <w:rPr>
                <w:rFonts w:hint="eastAsia"/>
              </w:rPr>
              <w:fldChar w:fldCharType="end"/>
            </w:r>
            <w:r>
              <w:rPr>
                <w:rFonts w:hint="eastAsia"/>
              </w:rPr>
              <w:t>各评分因素细分项最终得分应以完成上述</w:t>
            </w:r>
            <w:r>
              <w:rPr>
                <w:rFonts w:hint="eastAsia" w:ascii="宋体" w:hAnsi="宋体" w:cs="宋体"/>
              </w:rPr>
              <w:fldChar w:fldCharType="begin"/>
            </w:r>
            <w:r>
              <w:rPr>
                <w:rFonts w:hint="eastAsia" w:ascii="宋体" w:hAnsi="宋体" w:cs="宋体"/>
              </w:rPr>
              <w:instrText xml:space="preserve"> = 1 \* GB3 \* MERGEFORMAT </w:instrText>
            </w:r>
            <w:r>
              <w:rPr>
                <w:rFonts w:hint="eastAsia" w:ascii="宋体" w:hAnsi="宋体" w:cs="宋体"/>
              </w:rPr>
              <w:fldChar w:fldCharType="separate"/>
            </w:r>
            <w:r>
              <w:rPr>
                <w:rFonts w:hint="eastAsia" w:ascii="宋体" w:hAnsi="宋体" w:cs="宋体"/>
              </w:rPr>
              <w:t>①</w:t>
            </w:r>
            <w:r>
              <w:rPr>
                <w:rFonts w:hint="eastAsia" w:ascii="宋体" w:hAnsi="宋体" w:cs="宋体"/>
              </w:rPr>
              <w:fldChar w:fldCharType="end"/>
            </w:r>
            <w:r>
              <w:rPr>
                <w:rFonts w:hint="eastAsia" w:ascii="宋体" w:hAnsi="宋体" w:cs="宋体"/>
              </w:rPr>
              <w:fldChar w:fldCharType="begin"/>
            </w:r>
            <w:r>
              <w:rPr>
                <w:rFonts w:hint="eastAsia" w:ascii="宋体" w:hAnsi="宋体" w:cs="宋体"/>
              </w:rPr>
              <w:instrText xml:space="preserve"> = 2 \* GB3 \* MERGEFORMAT </w:instrText>
            </w:r>
            <w:r>
              <w:rPr>
                <w:rFonts w:hint="eastAsia" w:ascii="宋体" w:hAnsi="宋体" w:cs="宋体"/>
              </w:rPr>
              <w:fldChar w:fldCharType="separate"/>
            </w:r>
            <w:r>
              <w:rPr>
                <w:rFonts w:hint="eastAsia" w:ascii="宋体" w:hAnsi="宋体" w:cs="宋体"/>
              </w:rPr>
              <w:t>②</w:t>
            </w:r>
            <w:r>
              <w:rPr>
                <w:rFonts w:hint="eastAsia" w:ascii="宋体" w:hAnsi="宋体" w:cs="宋体"/>
              </w:rPr>
              <w:fldChar w:fldCharType="end"/>
            </w:r>
            <w:r>
              <w:rPr>
                <w:rFonts w:hint="eastAsia" w:ascii="宋体" w:hAnsi="宋体" w:cs="宋体"/>
              </w:rPr>
              <w:t>步</w:t>
            </w:r>
            <w:r>
              <w:rPr>
                <w:rFonts w:hint="eastAsia"/>
              </w:rPr>
              <w:t>骤后，再对仍保留的专家细分项评分去掉一个最高和一个最低分后计算平均值。</w:t>
            </w:r>
          </w:p>
          <w:p w14:paraId="4BE4D750">
            <w:pPr>
              <w:pStyle w:val="276"/>
              <w:adjustRightInd w:val="0"/>
              <w:snapToGrid w:val="0"/>
              <w:spacing w:line="400" w:lineRule="exact"/>
              <w:rPr>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color w:val="auto"/>
                <w:highlight w:val="none"/>
              </w:rPr>
              <w:t>投标人投标文件中</w:t>
            </w:r>
            <w:r>
              <w:rPr>
                <w:rFonts w:hint="eastAsia"/>
                <w:color w:val="auto"/>
                <w:highlight w:val="none"/>
              </w:rPr>
              <w:t>技术建议书</w:t>
            </w:r>
            <w:r>
              <w:rPr>
                <w:color w:val="auto"/>
                <w:highlight w:val="none"/>
              </w:rPr>
              <w:t>各评分因素细分项无</w:t>
            </w:r>
            <w:r>
              <w:rPr>
                <w:rFonts w:hint="eastAsia"/>
                <w:color w:val="auto"/>
                <w:highlight w:val="none"/>
              </w:rPr>
              <w:t>内容的得0分。</w:t>
            </w:r>
          </w:p>
          <w:p w14:paraId="4375BA1F">
            <w:pPr>
              <w:pStyle w:val="276"/>
              <w:adjustRightInd w:val="0"/>
              <w:snapToGrid w:val="0"/>
              <w:spacing w:line="400" w:lineRule="exact"/>
              <w:rPr>
                <w:rFonts w:ascii="宋体" w:hAnsi="宋体" w:cs="宋体"/>
                <w:color w:val="auto"/>
                <w:szCs w:val="21"/>
                <w:highlight w:val="none"/>
              </w:rPr>
            </w:pPr>
            <w:r>
              <w:rPr>
                <w:rFonts w:hint="eastAsia" w:ascii="宋体" w:hAnsi="宋体" w:cs="宋体"/>
                <w:b/>
                <w:color w:val="auto"/>
                <w:szCs w:val="21"/>
                <w:highlight w:val="none"/>
              </w:rPr>
              <w:t>□</w:t>
            </w:r>
            <w:r>
              <w:rPr>
                <w:rFonts w:hint="eastAsia"/>
                <w:color w:val="auto"/>
                <w:highlight w:val="none"/>
              </w:rPr>
              <w:t>（</w:t>
            </w:r>
            <w:r>
              <w:rPr>
                <w:rFonts w:hint="eastAsia"/>
                <w:color w:val="auto"/>
                <w:highlight w:val="none"/>
                <w:lang w:val="en-US" w:eastAsia="zh-CN"/>
              </w:rPr>
              <w:t>4</w:t>
            </w:r>
            <w:r>
              <w:rPr>
                <w:rFonts w:hint="eastAsia"/>
                <w:color w:val="auto"/>
                <w:highlight w:val="none"/>
              </w:rPr>
              <w:t>）</w:t>
            </w:r>
            <w:r>
              <w:rPr>
                <w:color w:val="auto"/>
                <w:highlight w:val="none"/>
              </w:rPr>
              <w:t>招标人对</w:t>
            </w:r>
            <w:r>
              <w:rPr>
                <w:rFonts w:hint="eastAsia"/>
                <w:color w:val="auto"/>
                <w:highlight w:val="none"/>
              </w:rPr>
              <w:t>技术建议书</w:t>
            </w:r>
            <w:r>
              <w:rPr>
                <w:color w:val="auto"/>
                <w:highlight w:val="none"/>
              </w:rPr>
              <w:t>评审采用暗标方式的</w:t>
            </w:r>
            <w:r>
              <w:rPr>
                <w:rFonts w:hint="eastAsia"/>
                <w:color w:val="auto"/>
                <w:highlight w:val="none"/>
              </w:rPr>
              <w:t>，投标人技术建议书</w:t>
            </w:r>
            <w:r>
              <w:rPr>
                <w:rFonts w:hint="eastAsia" w:ascii="宋体" w:hAnsi="宋体"/>
                <w:color w:val="auto"/>
                <w:kern w:val="0"/>
                <w:highlight w:val="none"/>
              </w:rPr>
              <w:t>中出现投标人的名称和其他可识别投标人身份的文字、符号、标识等时，其技术建议书评审得分为</w:t>
            </w:r>
            <w:r>
              <w:rPr>
                <w:rFonts w:hint="eastAsia" w:ascii="宋体" w:hAnsi="宋体"/>
                <w:color w:val="auto"/>
                <w:kern w:val="0"/>
                <w:highlight w:val="none"/>
                <w:u w:val="single"/>
              </w:rPr>
              <w:t xml:space="preserve"> </w:t>
            </w:r>
            <w:r>
              <w:rPr>
                <w:rFonts w:ascii="宋体" w:hAnsi="宋体"/>
                <w:color w:val="auto"/>
                <w:kern w:val="0"/>
                <w:highlight w:val="none"/>
                <w:u w:val="single"/>
              </w:rPr>
              <w:t xml:space="preserve">0 </w:t>
            </w:r>
            <w:r>
              <w:rPr>
                <w:rFonts w:hint="eastAsia" w:ascii="宋体" w:hAnsi="宋体"/>
                <w:color w:val="auto"/>
                <w:kern w:val="0"/>
                <w:highlight w:val="none"/>
              </w:rPr>
              <w:t>分。</w:t>
            </w:r>
          </w:p>
          <w:p w14:paraId="38509E71">
            <w:pPr>
              <w:pStyle w:val="276"/>
              <w:spacing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w:t>
            </w:r>
          </w:p>
        </w:tc>
      </w:tr>
      <w:tr w14:paraId="61A7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8770" w:type="dxa"/>
            <w:gridSpan w:val="6"/>
            <w:vAlign w:val="center"/>
          </w:tcPr>
          <w:p w14:paraId="10003115">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需要</w:t>
            </w:r>
            <w:r>
              <w:rPr>
                <w:rFonts w:ascii="宋体" w:hAnsi="宋体" w:cs="宋体"/>
                <w:color w:val="auto"/>
                <w:szCs w:val="21"/>
                <w:highlight w:val="none"/>
              </w:rPr>
              <w:t>补充的其他内容：</w:t>
            </w:r>
          </w:p>
          <w:p w14:paraId="7AAC32BA">
            <w:pPr>
              <w:pStyle w:val="276"/>
              <w:spacing w:line="400" w:lineRule="exact"/>
              <w:rPr>
                <w:rFonts w:ascii="宋体" w:hAnsi="宋体" w:cs="宋体"/>
                <w:color w:val="auto"/>
                <w:szCs w:val="21"/>
                <w:highlight w:val="none"/>
                <w:u w:val="single"/>
              </w:rPr>
            </w:pPr>
            <w:r>
              <w:rPr>
                <w:rFonts w:hint="eastAsia" w:ascii="宋体" w:hAnsi="宋体" w:cs="宋体"/>
                <w:color w:val="auto"/>
                <w:szCs w:val="21"/>
                <w:highlight w:val="none"/>
              </w:rPr>
              <w:t>……</w:t>
            </w:r>
          </w:p>
        </w:tc>
      </w:tr>
    </w:tbl>
    <w:p w14:paraId="1DC6B4A3">
      <w:pPr>
        <w:rPr>
          <w:rFonts w:ascii="宋体" w:hAnsi="宋体" w:cs="宋体"/>
          <w:color w:val="auto"/>
          <w:highlight w:val="none"/>
        </w:rPr>
      </w:pPr>
    </w:p>
    <w:p w14:paraId="4AAF6670">
      <w:pPr>
        <w:rPr>
          <w:rFonts w:ascii="宋体" w:hAnsi="宋体" w:cs="宋体"/>
          <w:color w:val="auto"/>
          <w:highlight w:val="none"/>
        </w:rPr>
      </w:pPr>
    </w:p>
    <w:p w14:paraId="320C1E95">
      <w:pPr>
        <w:jc w:val="left"/>
        <w:rPr>
          <w:rFonts w:hint="eastAsia" w:ascii="宋体" w:hAnsi="宋体" w:cs="宋体"/>
          <w:color w:val="auto"/>
          <w:highlight w:val="none"/>
          <w:lang w:val="en-US" w:eastAsia="zh-CN"/>
        </w:rPr>
      </w:pPr>
      <w:r>
        <w:rPr>
          <w:rFonts w:hint="eastAsia" w:ascii="宋体" w:hAnsi="宋体" w:cs="宋体"/>
          <w:color w:val="auto"/>
          <w:highlight w:val="none"/>
          <w:lang w:val="en-US" w:eastAsia="zh-CN"/>
        </w:rPr>
        <w:br w:type="page"/>
      </w:r>
    </w:p>
    <w:p w14:paraId="0820B632">
      <w:pPr>
        <w:jc w:val="right"/>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续上表</w:t>
      </w:r>
    </w:p>
    <w:tbl>
      <w:tblPr>
        <w:tblStyle w:val="4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482"/>
        <w:gridCol w:w="766"/>
        <w:gridCol w:w="1069"/>
        <w:gridCol w:w="1402"/>
        <w:gridCol w:w="709"/>
        <w:gridCol w:w="3764"/>
      </w:tblGrid>
      <w:tr w14:paraId="48D74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75" w:type="dxa"/>
            <w:vMerge w:val="restart"/>
            <w:vAlign w:val="center"/>
          </w:tcPr>
          <w:p w14:paraId="4995F869">
            <w:pPr>
              <w:pStyle w:val="276"/>
              <w:adjustRightInd w:val="0"/>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8192" w:type="dxa"/>
            <w:gridSpan w:val="6"/>
            <w:vAlign w:val="center"/>
          </w:tcPr>
          <w:p w14:paraId="08B44F74">
            <w:pPr>
              <w:pStyle w:val="276"/>
              <w:adjustRightInd w:val="0"/>
              <w:snapToGrid w:val="0"/>
              <w:spacing w:line="400" w:lineRule="exact"/>
              <w:ind w:firstLine="316" w:firstLineChars="150"/>
              <w:jc w:val="center"/>
              <w:rPr>
                <w:rFonts w:ascii="宋体" w:hAnsi="宋体" w:cs="宋体"/>
                <w:b/>
                <w:color w:val="auto"/>
                <w:szCs w:val="21"/>
                <w:highlight w:val="none"/>
              </w:rPr>
            </w:pPr>
            <w:r>
              <w:rPr>
                <w:rFonts w:hint="eastAsia" w:ascii="宋体" w:hAnsi="宋体" w:cs="宋体"/>
                <w:b/>
                <w:color w:val="auto"/>
                <w:szCs w:val="21"/>
                <w:highlight w:val="none"/>
              </w:rPr>
              <w:t>评分因素与权重分值</w:t>
            </w:r>
            <w:r>
              <w:rPr>
                <w:rFonts w:ascii="宋体" w:hAnsi="宋体" w:cs="宋体"/>
                <w:b/>
                <w:szCs w:val="21"/>
                <w:vertAlign w:val="superscript"/>
              </w:rPr>
              <w:footnoteReference w:id="98"/>
            </w:r>
          </w:p>
        </w:tc>
      </w:tr>
      <w:tr w14:paraId="1525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75" w:type="dxa"/>
            <w:vMerge w:val="continue"/>
            <w:tcBorders>
              <w:bottom w:val="single" w:color="auto" w:sz="4" w:space="0"/>
            </w:tcBorders>
            <w:vAlign w:val="center"/>
          </w:tcPr>
          <w:p w14:paraId="6428D120">
            <w:pPr>
              <w:pStyle w:val="276"/>
              <w:adjustRightInd w:val="0"/>
              <w:snapToGrid w:val="0"/>
              <w:spacing w:line="400" w:lineRule="exact"/>
              <w:jc w:val="center"/>
              <w:rPr>
                <w:rFonts w:ascii="宋体" w:hAnsi="宋体" w:cs="宋体"/>
                <w:b/>
                <w:color w:val="auto"/>
                <w:szCs w:val="21"/>
                <w:highlight w:val="none"/>
              </w:rPr>
            </w:pPr>
          </w:p>
        </w:tc>
        <w:tc>
          <w:tcPr>
            <w:tcW w:w="1248" w:type="dxa"/>
            <w:gridSpan w:val="2"/>
            <w:tcBorders>
              <w:bottom w:val="single" w:color="auto" w:sz="4" w:space="0"/>
            </w:tcBorders>
            <w:vAlign w:val="center"/>
          </w:tcPr>
          <w:p w14:paraId="69A40F6E">
            <w:pPr>
              <w:pStyle w:val="276"/>
              <w:adjustRightInd w:val="0"/>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评分因素</w:t>
            </w:r>
          </w:p>
        </w:tc>
        <w:tc>
          <w:tcPr>
            <w:tcW w:w="1069" w:type="dxa"/>
            <w:vAlign w:val="center"/>
          </w:tcPr>
          <w:p w14:paraId="603A0942">
            <w:pPr>
              <w:pStyle w:val="276"/>
              <w:adjustRightInd w:val="0"/>
              <w:snapToGrid w:val="0"/>
              <w:spacing w:line="276" w:lineRule="auto"/>
              <w:jc w:val="center"/>
              <w:rPr>
                <w:rFonts w:ascii="宋体" w:hAnsi="宋体" w:cs="宋体"/>
                <w:b/>
                <w:color w:val="auto"/>
                <w:szCs w:val="21"/>
                <w:highlight w:val="none"/>
              </w:rPr>
            </w:pPr>
            <w:r>
              <w:rPr>
                <w:rFonts w:hint="eastAsia" w:ascii="宋体" w:hAnsi="宋体" w:cs="宋体"/>
                <w:b/>
                <w:color w:val="auto"/>
                <w:szCs w:val="21"/>
                <w:highlight w:val="none"/>
              </w:rPr>
              <w:t>评分因素权重分值</w:t>
            </w:r>
          </w:p>
        </w:tc>
        <w:tc>
          <w:tcPr>
            <w:tcW w:w="1402" w:type="dxa"/>
            <w:vAlign w:val="center"/>
          </w:tcPr>
          <w:p w14:paraId="11DEBD00">
            <w:pPr>
              <w:pStyle w:val="276"/>
              <w:adjustRightInd w:val="0"/>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各评分因素细分项</w:t>
            </w:r>
          </w:p>
        </w:tc>
        <w:tc>
          <w:tcPr>
            <w:tcW w:w="709" w:type="dxa"/>
            <w:vAlign w:val="center"/>
          </w:tcPr>
          <w:p w14:paraId="04DFB878">
            <w:pPr>
              <w:pStyle w:val="276"/>
              <w:adjustRightInd w:val="0"/>
              <w:snapToGrid w:val="0"/>
              <w:spacing w:line="400" w:lineRule="exact"/>
              <w:jc w:val="center"/>
              <w:rPr>
                <w:rFonts w:ascii="宋体" w:hAnsi="宋体" w:cs="宋体"/>
                <w:b/>
                <w:color w:val="auto"/>
                <w:szCs w:val="21"/>
                <w:highlight w:val="none"/>
                <w:u w:val="single"/>
              </w:rPr>
            </w:pPr>
            <w:r>
              <w:rPr>
                <w:rFonts w:hint="eastAsia" w:ascii="宋体" w:hAnsi="宋体" w:cs="宋体"/>
                <w:b/>
                <w:color w:val="auto"/>
                <w:szCs w:val="21"/>
                <w:highlight w:val="none"/>
              </w:rPr>
              <w:t>分值</w:t>
            </w:r>
          </w:p>
        </w:tc>
        <w:tc>
          <w:tcPr>
            <w:tcW w:w="3764" w:type="dxa"/>
            <w:vAlign w:val="center"/>
          </w:tcPr>
          <w:p w14:paraId="7EDD5E71">
            <w:pPr>
              <w:pStyle w:val="276"/>
              <w:adjustRightInd w:val="0"/>
              <w:snapToGrid w:val="0"/>
              <w:spacing w:line="400" w:lineRule="exact"/>
              <w:ind w:firstLine="316" w:firstLineChars="150"/>
              <w:jc w:val="center"/>
              <w:rPr>
                <w:rFonts w:ascii="宋体" w:hAnsi="宋体" w:cs="宋体"/>
                <w:b/>
                <w:color w:val="auto"/>
                <w:szCs w:val="21"/>
                <w:highlight w:val="none"/>
              </w:rPr>
            </w:pPr>
            <w:r>
              <w:rPr>
                <w:rFonts w:hint="eastAsia" w:ascii="宋体" w:hAnsi="宋体" w:cs="宋体"/>
                <w:b/>
                <w:color w:val="auto"/>
                <w:szCs w:val="21"/>
                <w:highlight w:val="none"/>
              </w:rPr>
              <w:t>评分标准</w:t>
            </w:r>
          </w:p>
        </w:tc>
      </w:tr>
      <w:tr w14:paraId="5972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restart"/>
            <w:tcBorders>
              <w:top w:val="single" w:color="auto" w:sz="4" w:space="0"/>
              <w:left w:val="single" w:color="auto" w:sz="4" w:space="0"/>
              <w:bottom w:val="single" w:color="auto" w:sz="4" w:space="0"/>
              <w:right w:val="single" w:color="auto" w:sz="4" w:space="0"/>
            </w:tcBorders>
            <w:vAlign w:val="center"/>
          </w:tcPr>
          <w:p w14:paraId="5ADE0841">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2.2.4（2）</w:t>
            </w:r>
          </w:p>
        </w:tc>
        <w:tc>
          <w:tcPr>
            <w:tcW w:w="1248" w:type="dxa"/>
            <w:gridSpan w:val="2"/>
            <w:vMerge w:val="restart"/>
            <w:tcBorders>
              <w:top w:val="single" w:color="auto" w:sz="4" w:space="0"/>
              <w:left w:val="single" w:color="auto" w:sz="4" w:space="0"/>
              <w:bottom w:val="single" w:color="auto" w:sz="4" w:space="0"/>
              <w:right w:val="single" w:color="auto" w:sz="4" w:space="0"/>
            </w:tcBorders>
            <w:vAlign w:val="center"/>
          </w:tcPr>
          <w:p w14:paraId="04BE4A57">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主要</w:t>
            </w:r>
          </w:p>
          <w:p w14:paraId="0D4555BE">
            <w:pPr>
              <w:pStyle w:val="276"/>
              <w:adjustRightInd w:val="0"/>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人员</w:t>
            </w:r>
          </w:p>
          <w:p w14:paraId="52D6CCBD">
            <w:pPr>
              <w:pStyle w:val="276"/>
              <w:adjustRightInd w:val="0"/>
              <w:snapToGrid w:val="0"/>
              <w:spacing w:line="400" w:lineRule="exact"/>
              <w:jc w:val="center"/>
              <w:rPr>
                <w:rFonts w:ascii="宋体" w:hAnsi="宋体" w:cs="宋体"/>
                <w:color w:val="auto"/>
                <w:szCs w:val="21"/>
                <w:highlight w:val="none"/>
              </w:rPr>
            </w:pPr>
            <w:r>
              <w:rPr>
                <w:rFonts w:ascii="宋体" w:hAnsi="宋体" w:cs="宋体"/>
                <w:color w:val="auto"/>
                <w:szCs w:val="21"/>
                <w:highlight w:val="none"/>
              </w:rPr>
              <w:t>B</w:t>
            </w:r>
          </w:p>
        </w:tc>
        <w:tc>
          <w:tcPr>
            <w:tcW w:w="1069" w:type="dxa"/>
            <w:vMerge w:val="restart"/>
            <w:tcBorders>
              <w:left w:val="single" w:color="auto" w:sz="4" w:space="0"/>
            </w:tcBorders>
            <w:vAlign w:val="center"/>
          </w:tcPr>
          <w:p w14:paraId="7F6BD1BA">
            <w:pPr>
              <w:pStyle w:val="276"/>
              <w:adjustRightInd w:val="0"/>
              <w:snapToGrid w:val="0"/>
              <w:spacing w:line="400" w:lineRule="exact"/>
              <w:ind w:firstLine="105" w:firstLineChars="50"/>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r>
              <w:rPr>
                <w:rStyle w:val="58"/>
                <w:rFonts w:ascii="宋体" w:hAnsi="宋体" w:cs="宋体"/>
                <w:color w:val="auto"/>
                <w:szCs w:val="21"/>
                <w:highlight w:val="none"/>
              </w:rPr>
              <w:footnoteReference w:id="99"/>
            </w:r>
          </w:p>
        </w:tc>
        <w:tc>
          <w:tcPr>
            <w:tcW w:w="1402" w:type="dxa"/>
            <w:vAlign w:val="center"/>
          </w:tcPr>
          <w:p w14:paraId="6BA49072">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试验室主任任职资格与业绩</w:t>
            </w:r>
            <w:r>
              <w:rPr>
                <w:rFonts w:ascii="宋体" w:hAnsi="宋体" w:cs="宋体"/>
                <w:color w:val="auto"/>
                <w:szCs w:val="21"/>
                <w:highlight w:val="none"/>
                <w:u w:val="none"/>
              </w:rPr>
              <w:t>B</w:t>
            </w:r>
            <w:r>
              <w:rPr>
                <w:rFonts w:ascii="宋体" w:hAnsi="宋体" w:cs="宋体"/>
                <w:color w:val="auto"/>
                <w:szCs w:val="21"/>
                <w:highlight w:val="none"/>
                <w:u w:val="none"/>
                <w:vertAlign w:val="subscript"/>
              </w:rPr>
              <w:t>1</w:t>
            </w:r>
            <w:r>
              <w:rPr>
                <w:rStyle w:val="58"/>
                <w:rFonts w:ascii="宋体" w:hAnsi="宋体" w:cs="宋体"/>
                <w:color w:val="auto"/>
                <w:szCs w:val="21"/>
                <w:highlight w:val="none"/>
                <w:u w:val="none"/>
              </w:rPr>
              <w:footnoteReference w:id="100"/>
            </w:r>
          </w:p>
        </w:tc>
        <w:tc>
          <w:tcPr>
            <w:tcW w:w="709" w:type="dxa"/>
            <w:vAlign w:val="center"/>
          </w:tcPr>
          <w:p w14:paraId="5D9FB76D">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764" w:type="dxa"/>
            <w:vAlign w:val="center"/>
          </w:tcPr>
          <w:p w14:paraId="12F8CE97">
            <w:pPr>
              <w:widowControl/>
              <w:adjustRightInd w:val="0"/>
              <w:snapToGrid w:val="0"/>
              <w:spacing w:line="380" w:lineRule="exact"/>
              <w:rPr>
                <w:rFonts w:ascii="宋体" w:hAnsi="宋体" w:cs="宋体"/>
                <w:color w:val="auto"/>
                <w:kern w:val="21"/>
                <w:szCs w:val="21"/>
                <w:highlight w:val="none"/>
                <w:u w:val="single"/>
              </w:rPr>
            </w:pPr>
            <w:r>
              <w:rPr>
                <w:rFonts w:hint="eastAsia" w:ascii="宋体" w:hAnsi="宋体" w:cs="宋体"/>
                <w:color w:val="auto"/>
                <w:kern w:val="21"/>
                <w:szCs w:val="21"/>
                <w:highlight w:val="none"/>
              </w:rPr>
              <w:t>（</w:t>
            </w:r>
            <w:r>
              <w:rPr>
                <w:rFonts w:ascii="宋体" w:hAnsi="宋体" w:cs="宋体"/>
                <w:color w:val="auto"/>
                <w:kern w:val="21"/>
                <w:szCs w:val="21"/>
                <w:highlight w:val="none"/>
              </w:rPr>
              <w:t xml:space="preserve">1） </w:t>
            </w:r>
            <w:r>
              <w:rPr>
                <w:rFonts w:hint="eastAsia" w:ascii="宋体" w:hAnsi="宋体" w:cs="宋体"/>
                <w:color w:val="auto"/>
                <w:kern w:val="21"/>
                <w:szCs w:val="21"/>
                <w:highlight w:val="none"/>
              </w:rPr>
              <w:t>满足资格审查条件最低要求得</w:t>
            </w:r>
          </w:p>
          <w:p w14:paraId="3BB37CD5">
            <w:pPr>
              <w:widowControl/>
              <w:adjustRightInd w:val="0"/>
              <w:snapToGrid w:val="0"/>
              <w:spacing w:line="380" w:lineRule="exact"/>
              <w:rPr>
                <w:rFonts w:ascii="宋体" w:hAnsi="宋体" w:cs="宋体"/>
                <w:color w:val="auto"/>
                <w:kern w:val="21"/>
                <w:szCs w:val="21"/>
                <w:highlight w:val="none"/>
              </w:rPr>
            </w:pPr>
            <w:r>
              <w:rPr>
                <w:rFonts w:ascii="宋体" w:hAnsi="宋体" w:cs="宋体"/>
                <w:color w:val="auto"/>
                <w:kern w:val="21"/>
                <w:szCs w:val="21"/>
                <w:highlight w:val="none"/>
                <w:u w:val="single"/>
              </w:rPr>
              <w:t xml:space="preserve">    </w:t>
            </w:r>
            <w:r>
              <w:rPr>
                <w:rFonts w:hint="eastAsia" w:ascii="宋体" w:hAnsi="宋体" w:cs="宋体"/>
                <w:color w:val="auto"/>
                <w:kern w:val="21"/>
                <w:szCs w:val="21"/>
                <w:highlight w:val="none"/>
              </w:rPr>
              <w:t>分；</w:t>
            </w:r>
          </w:p>
          <w:p w14:paraId="5EE5964A">
            <w:pPr>
              <w:widowControl/>
              <w:adjustRightInd w:val="0"/>
              <w:snapToGrid w:val="0"/>
              <w:spacing w:line="380" w:lineRule="exact"/>
              <w:rPr>
                <w:rFonts w:ascii="宋体" w:hAnsi="宋体" w:cs="宋体"/>
                <w:color w:val="auto"/>
                <w:kern w:val="21"/>
                <w:szCs w:val="21"/>
                <w:highlight w:val="none"/>
              </w:rPr>
            </w:pPr>
            <w:r>
              <w:rPr>
                <w:rFonts w:hint="eastAsia" w:ascii="宋体" w:hAnsi="宋体" w:cs="宋体"/>
                <w:color w:val="auto"/>
                <w:kern w:val="21"/>
                <w:szCs w:val="21"/>
                <w:highlight w:val="none"/>
              </w:rPr>
              <w:t>（</w:t>
            </w:r>
            <w:r>
              <w:rPr>
                <w:rFonts w:ascii="宋体" w:hAnsi="宋体" w:cs="宋体"/>
                <w:color w:val="auto"/>
                <w:kern w:val="21"/>
                <w:szCs w:val="21"/>
                <w:highlight w:val="none"/>
              </w:rPr>
              <w:t>2）技术职称每升高一级加</w:t>
            </w:r>
            <w:r>
              <w:rPr>
                <w:rFonts w:ascii="宋体" w:hAnsi="宋体" w:cs="宋体"/>
                <w:color w:val="auto"/>
                <w:kern w:val="21"/>
                <w:szCs w:val="21"/>
                <w:highlight w:val="none"/>
                <w:u w:val="single"/>
              </w:rPr>
              <w:t xml:space="preserve">   </w:t>
            </w:r>
            <w:r>
              <w:rPr>
                <w:rFonts w:hint="eastAsia" w:ascii="宋体" w:hAnsi="宋体" w:cs="宋体"/>
                <w:color w:val="auto"/>
                <w:kern w:val="21"/>
                <w:szCs w:val="21"/>
                <w:highlight w:val="none"/>
              </w:rPr>
              <w:t>分，累计加</w:t>
            </w:r>
            <w:r>
              <w:rPr>
                <w:rFonts w:ascii="宋体" w:hAnsi="宋体" w:cs="宋体"/>
                <w:color w:val="auto"/>
                <w:kern w:val="21"/>
                <w:szCs w:val="21"/>
                <w:highlight w:val="none"/>
                <w:u w:val="single"/>
              </w:rPr>
              <w:t xml:space="preserve">   </w:t>
            </w:r>
            <w:r>
              <w:rPr>
                <w:rFonts w:hint="eastAsia" w:ascii="宋体" w:hAnsi="宋体" w:cs="宋体"/>
                <w:color w:val="auto"/>
                <w:kern w:val="21"/>
                <w:szCs w:val="21"/>
                <w:highlight w:val="none"/>
              </w:rPr>
              <w:t>分；</w:t>
            </w:r>
            <w:r>
              <w:rPr>
                <w:rStyle w:val="58"/>
                <w:rFonts w:hint="eastAsia" w:ascii="宋体" w:hAnsi="宋体" w:cs="宋体"/>
                <w:color w:val="auto"/>
                <w:kern w:val="0"/>
                <w:szCs w:val="21"/>
                <w:highlight w:val="none"/>
              </w:rPr>
              <w:footnoteReference w:id="101"/>
            </w:r>
          </w:p>
          <w:p w14:paraId="0D78D61A">
            <w:pPr>
              <w:widowControl/>
              <w:adjustRightInd w:val="0"/>
              <w:snapToGrid w:val="0"/>
              <w:spacing w:line="380" w:lineRule="exact"/>
              <w:rPr>
                <w:rFonts w:ascii="宋体" w:hAnsi="宋体" w:cs="宋体"/>
                <w:color w:val="auto"/>
                <w:kern w:val="21"/>
                <w:szCs w:val="21"/>
                <w:highlight w:val="none"/>
              </w:rPr>
            </w:pPr>
            <w:r>
              <w:rPr>
                <w:rFonts w:hint="eastAsia" w:ascii="宋体" w:hAnsi="宋体" w:cs="宋体"/>
                <w:color w:val="auto"/>
                <w:kern w:val="21"/>
                <w:szCs w:val="21"/>
                <w:highlight w:val="none"/>
              </w:rPr>
              <w:t>（</w:t>
            </w:r>
            <w:r>
              <w:rPr>
                <w:rFonts w:ascii="宋体" w:hAnsi="宋体" w:cs="宋体"/>
                <w:color w:val="auto"/>
                <w:kern w:val="21"/>
                <w:szCs w:val="21"/>
                <w:highlight w:val="none"/>
              </w:rPr>
              <w:t>3）扣除满足资格条件最低要求的业绩</w:t>
            </w:r>
            <w:r>
              <w:rPr>
                <w:rFonts w:hint="eastAsia" w:ascii="宋体" w:hAnsi="宋体" w:cs="宋体"/>
                <w:color w:val="auto"/>
                <w:kern w:val="21"/>
                <w:szCs w:val="21"/>
                <w:highlight w:val="none"/>
              </w:rPr>
              <w:t>数量后：</w:t>
            </w:r>
          </w:p>
          <w:p w14:paraId="68EDD422">
            <w:pPr>
              <w:widowControl/>
              <w:adjustRightInd w:val="0"/>
              <w:snapToGrid w:val="0"/>
              <w:spacing w:line="380" w:lineRule="exact"/>
              <w:ind w:left="211" w:hanging="211" w:hangingChars="100"/>
              <w:rPr>
                <w:rFonts w:ascii="宋体" w:hAnsi="宋体" w:cs="宋体"/>
                <w:color w:val="auto"/>
                <w:kern w:val="21"/>
                <w:szCs w:val="21"/>
                <w:highlight w:val="none"/>
              </w:rPr>
            </w:pPr>
            <w:r>
              <w:rPr>
                <w:rFonts w:hint="eastAsia" w:ascii="宋体" w:hAnsi="宋体" w:cs="宋体"/>
                <w:b/>
                <w:color w:val="auto"/>
                <w:kern w:val="21"/>
                <w:szCs w:val="21"/>
                <w:highlight w:val="none"/>
              </w:rPr>
              <w:t>□</w:t>
            </w:r>
            <w:r>
              <w:rPr>
                <w:rFonts w:hint="eastAsia" w:ascii="宋体" w:hAnsi="宋体" w:cs="宋体"/>
                <w:color w:val="auto"/>
                <w:kern w:val="21"/>
                <w:szCs w:val="21"/>
                <w:highlight w:val="none"/>
              </w:rPr>
              <w:t>每增加</w:t>
            </w:r>
            <w:r>
              <w:rPr>
                <w:rFonts w:ascii="宋体" w:hAnsi="宋体" w:cs="宋体"/>
                <w:color w:val="auto"/>
                <w:kern w:val="21"/>
                <w:szCs w:val="21"/>
                <w:highlight w:val="none"/>
                <w:u w:val="single"/>
              </w:rPr>
              <w:t xml:space="preserve"> 1 </w:t>
            </w:r>
            <w:r>
              <w:rPr>
                <w:rFonts w:hint="eastAsia" w:ascii="宋体" w:hAnsi="宋体" w:cs="宋体"/>
                <w:color w:val="auto"/>
                <w:kern w:val="21"/>
                <w:szCs w:val="21"/>
                <w:highlight w:val="none"/>
              </w:rPr>
              <w:t>个</w:t>
            </w:r>
            <w:r>
              <w:rPr>
                <w:rFonts w:hint="eastAsia" w:ascii="宋体" w:hAnsi="宋体" w:cs="宋体"/>
                <w:color w:val="auto"/>
                <w:szCs w:val="21"/>
                <w:highlight w:val="none"/>
              </w:rPr>
              <w:t>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kern w:val="21"/>
                <w:szCs w:val="21"/>
                <w:highlight w:val="none"/>
              </w:rPr>
              <w:t>公路路基土建工程</w:t>
            </w:r>
            <w:r>
              <w:rPr>
                <w:rStyle w:val="58"/>
                <w:rFonts w:ascii="宋体" w:hAnsi="宋体" w:cs="宋体"/>
                <w:color w:val="auto"/>
                <w:szCs w:val="21"/>
                <w:highlight w:val="none"/>
              </w:rPr>
              <w:footnoteReference w:id="102"/>
            </w:r>
            <w:r>
              <w:rPr>
                <w:rFonts w:hint="eastAsia" w:ascii="宋体" w:hAnsi="宋体" w:cs="宋体"/>
                <w:color w:val="auto"/>
                <w:kern w:val="21"/>
                <w:szCs w:val="21"/>
                <w:highlight w:val="none"/>
              </w:rPr>
              <w:t>监理试验室</w:t>
            </w:r>
            <w:r>
              <w:rPr>
                <w:rFonts w:ascii="宋体" w:hAnsi="宋体" w:cs="宋体"/>
                <w:color w:val="auto"/>
                <w:szCs w:val="21"/>
                <w:highlight w:val="none"/>
                <w:vertAlign w:val="superscript"/>
              </w:rPr>
              <w:footnoteReference w:id="103"/>
            </w:r>
            <w:r>
              <w:rPr>
                <w:rFonts w:hint="eastAsia" w:ascii="宋体" w:hAnsi="宋体" w:cs="宋体"/>
                <w:color w:val="auto"/>
                <w:kern w:val="21"/>
                <w:szCs w:val="21"/>
                <w:highlight w:val="none"/>
              </w:rPr>
              <w:t>资格审查要求职务业绩加</w:t>
            </w:r>
            <w:r>
              <w:rPr>
                <w:rFonts w:ascii="宋体" w:hAnsi="宋体" w:cs="宋体"/>
                <w:color w:val="auto"/>
                <w:kern w:val="21"/>
                <w:szCs w:val="21"/>
                <w:highlight w:val="none"/>
                <w:u w:val="single"/>
              </w:rPr>
              <w:t xml:space="preserve">  </w:t>
            </w:r>
            <w:r>
              <w:rPr>
                <w:rFonts w:hint="eastAsia" w:ascii="宋体" w:hAnsi="宋体" w:cs="宋体"/>
                <w:color w:val="auto"/>
                <w:kern w:val="21"/>
                <w:szCs w:val="21"/>
                <w:highlight w:val="none"/>
              </w:rPr>
              <w:t>分，累计加</w:t>
            </w:r>
            <w:r>
              <w:rPr>
                <w:rFonts w:ascii="宋体" w:hAnsi="宋体" w:cs="宋体"/>
                <w:color w:val="auto"/>
                <w:kern w:val="21"/>
                <w:szCs w:val="21"/>
                <w:highlight w:val="none"/>
                <w:u w:val="single"/>
              </w:rPr>
              <w:t xml:space="preserve">   </w:t>
            </w:r>
            <w:r>
              <w:rPr>
                <w:rFonts w:hint="eastAsia" w:ascii="宋体" w:hAnsi="宋体" w:cs="宋体"/>
                <w:color w:val="auto"/>
                <w:kern w:val="21"/>
                <w:szCs w:val="21"/>
                <w:highlight w:val="none"/>
              </w:rPr>
              <w:t>分；</w:t>
            </w:r>
          </w:p>
          <w:p w14:paraId="08FD7D0D">
            <w:pPr>
              <w:widowControl/>
              <w:adjustRightInd w:val="0"/>
              <w:snapToGrid w:val="0"/>
              <w:spacing w:line="380" w:lineRule="exact"/>
              <w:ind w:left="211" w:hanging="211" w:hangingChars="100"/>
              <w:rPr>
                <w:rFonts w:ascii="宋体" w:hAnsi="宋体" w:cs="宋体"/>
                <w:color w:val="auto"/>
                <w:kern w:val="21"/>
                <w:szCs w:val="21"/>
                <w:highlight w:val="none"/>
              </w:rPr>
            </w:pPr>
            <w:r>
              <w:rPr>
                <w:rFonts w:hint="eastAsia" w:ascii="宋体" w:hAnsi="宋体" w:cs="宋体"/>
                <w:b/>
                <w:color w:val="auto"/>
                <w:kern w:val="21"/>
                <w:szCs w:val="21"/>
                <w:highlight w:val="none"/>
              </w:rPr>
              <w:t>□</w:t>
            </w:r>
            <w:r>
              <w:rPr>
                <w:rFonts w:hint="eastAsia" w:ascii="宋体" w:hAnsi="宋体" w:cs="宋体"/>
                <w:color w:val="auto"/>
                <w:kern w:val="21"/>
                <w:szCs w:val="21"/>
                <w:highlight w:val="none"/>
              </w:rPr>
              <w:t>每增加</w:t>
            </w:r>
            <w:r>
              <w:rPr>
                <w:rFonts w:ascii="宋体" w:hAnsi="宋体" w:cs="宋体"/>
                <w:color w:val="auto"/>
                <w:kern w:val="21"/>
                <w:szCs w:val="21"/>
                <w:highlight w:val="none"/>
                <w:u w:val="single"/>
              </w:rPr>
              <w:t xml:space="preserve"> 1 </w:t>
            </w:r>
            <w:r>
              <w:rPr>
                <w:rFonts w:hint="eastAsia" w:ascii="宋体" w:hAnsi="宋体" w:cs="宋体"/>
                <w:color w:val="auto"/>
                <w:kern w:val="21"/>
                <w:szCs w:val="21"/>
                <w:highlight w:val="none"/>
              </w:rPr>
              <w:t>个国内新建或改扩建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kern w:val="21"/>
                <w:szCs w:val="21"/>
                <w:highlight w:val="none"/>
              </w:rPr>
              <w:t>公路路面工程监理试验室项目中担任资格审查要求职务业绩加</w:t>
            </w:r>
            <w:r>
              <w:rPr>
                <w:rFonts w:ascii="宋体" w:hAnsi="宋体" w:cs="宋体"/>
                <w:color w:val="auto"/>
                <w:kern w:val="21"/>
                <w:szCs w:val="21"/>
                <w:highlight w:val="none"/>
                <w:u w:val="single"/>
              </w:rPr>
              <w:t xml:space="preserve">   </w:t>
            </w:r>
            <w:r>
              <w:rPr>
                <w:rFonts w:hint="eastAsia" w:ascii="宋体" w:hAnsi="宋体" w:cs="宋体"/>
                <w:color w:val="auto"/>
                <w:kern w:val="21"/>
                <w:szCs w:val="21"/>
                <w:highlight w:val="none"/>
              </w:rPr>
              <w:t>分，累计加</w:t>
            </w:r>
            <w:r>
              <w:rPr>
                <w:rFonts w:ascii="宋体" w:hAnsi="宋体" w:cs="宋体"/>
                <w:color w:val="auto"/>
                <w:kern w:val="21"/>
                <w:szCs w:val="21"/>
                <w:highlight w:val="none"/>
                <w:u w:val="single"/>
              </w:rPr>
              <w:t xml:space="preserve">   </w:t>
            </w:r>
            <w:r>
              <w:rPr>
                <w:rFonts w:hint="eastAsia" w:ascii="宋体" w:hAnsi="宋体" w:cs="宋体"/>
                <w:color w:val="auto"/>
                <w:kern w:val="21"/>
                <w:szCs w:val="21"/>
                <w:highlight w:val="none"/>
              </w:rPr>
              <w:t>分；</w:t>
            </w:r>
          </w:p>
          <w:p w14:paraId="25F6B643">
            <w:pPr>
              <w:widowControl/>
              <w:adjustRightInd w:val="0"/>
              <w:snapToGrid w:val="0"/>
              <w:spacing w:line="380" w:lineRule="exact"/>
              <w:rPr>
                <w:rFonts w:ascii="宋体" w:hAnsi="宋体" w:cs="宋体"/>
                <w:color w:val="auto"/>
                <w:kern w:val="21"/>
                <w:szCs w:val="21"/>
                <w:highlight w:val="none"/>
              </w:rPr>
            </w:pPr>
            <w:r>
              <w:rPr>
                <w:rFonts w:hint="eastAsia" w:ascii="宋体" w:hAnsi="宋体" w:cs="宋体"/>
                <w:b/>
                <w:color w:val="auto"/>
                <w:kern w:val="21"/>
                <w:szCs w:val="21"/>
                <w:highlight w:val="none"/>
              </w:rPr>
              <w:t>□</w:t>
            </w:r>
            <w:r>
              <w:rPr>
                <w:rFonts w:hint="eastAsia" w:ascii="宋体" w:hAnsi="宋体" w:cs="宋体"/>
                <w:color w:val="auto"/>
                <w:kern w:val="21"/>
                <w:szCs w:val="21"/>
                <w:highlight w:val="none"/>
              </w:rPr>
              <w:t>其他：</w:t>
            </w:r>
            <w:r>
              <w:rPr>
                <w:rFonts w:ascii="宋体" w:hAnsi="宋体" w:cs="宋体"/>
                <w:color w:val="auto"/>
                <w:kern w:val="21"/>
                <w:szCs w:val="21"/>
                <w:highlight w:val="none"/>
                <w:u w:val="single"/>
              </w:rPr>
              <w:t xml:space="preserve">    </w:t>
            </w:r>
          </w:p>
          <w:p w14:paraId="04E15DF1">
            <w:pPr>
              <w:widowControl/>
              <w:adjustRightInd w:val="0"/>
              <w:snapToGrid w:val="0"/>
              <w:spacing w:line="380" w:lineRule="exact"/>
              <w:rPr>
                <w:rFonts w:ascii="宋体" w:hAnsi="宋体" w:cs="宋体"/>
                <w:color w:val="auto"/>
                <w:kern w:val="21"/>
                <w:szCs w:val="21"/>
                <w:highlight w:val="none"/>
              </w:rPr>
            </w:pPr>
            <w:r>
              <w:rPr>
                <w:rFonts w:hint="eastAsia" w:ascii="宋体" w:hAnsi="宋体" w:cs="宋体"/>
                <w:color w:val="auto"/>
                <w:kern w:val="21"/>
                <w:szCs w:val="21"/>
                <w:highlight w:val="none"/>
              </w:rPr>
              <w:t>（</w:t>
            </w:r>
            <w:r>
              <w:rPr>
                <w:rFonts w:ascii="宋体" w:hAnsi="宋体" w:cs="宋体"/>
                <w:color w:val="auto"/>
                <w:kern w:val="21"/>
                <w:szCs w:val="21"/>
                <w:highlight w:val="none"/>
              </w:rPr>
              <w:t>1）、（2）、（3）合计得分最多至满分为止。</w:t>
            </w:r>
          </w:p>
        </w:tc>
      </w:tr>
      <w:tr w14:paraId="2950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jc w:val="center"/>
        </w:trPr>
        <w:tc>
          <w:tcPr>
            <w:tcW w:w="875" w:type="dxa"/>
            <w:vMerge w:val="continue"/>
            <w:tcBorders>
              <w:top w:val="single" w:color="auto" w:sz="4" w:space="0"/>
              <w:left w:val="single" w:color="auto" w:sz="4" w:space="0"/>
              <w:bottom w:val="single" w:color="auto" w:sz="4" w:space="0"/>
              <w:right w:val="single" w:color="auto" w:sz="4" w:space="0"/>
            </w:tcBorders>
            <w:vAlign w:val="center"/>
          </w:tcPr>
          <w:p w14:paraId="34AEA985">
            <w:pPr>
              <w:pStyle w:val="276"/>
              <w:adjustRightInd w:val="0"/>
              <w:snapToGrid w:val="0"/>
              <w:spacing w:line="400" w:lineRule="exact"/>
              <w:jc w:val="center"/>
              <w:rPr>
                <w:rFonts w:ascii="宋体" w:hAnsi="宋体" w:cs="宋体"/>
                <w:color w:val="auto"/>
                <w:szCs w:val="21"/>
                <w:highlight w:val="none"/>
              </w:rPr>
            </w:pPr>
          </w:p>
        </w:tc>
        <w:tc>
          <w:tcPr>
            <w:tcW w:w="1248" w:type="dxa"/>
            <w:gridSpan w:val="2"/>
            <w:vMerge w:val="continue"/>
            <w:tcBorders>
              <w:top w:val="single" w:color="auto" w:sz="4" w:space="0"/>
              <w:left w:val="single" w:color="auto" w:sz="4" w:space="0"/>
              <w:bottom w:val="single" w:color="auto" w:sz="4" w:space="0"/>
              <w:right w:val="single" w:color="auto" w:sz="4" w:space="0"/>
            </w:tcBorders>
            <w:vAlign w:val="center"/>
          </w:tcPr>
          <w:p w14:paraId="5684B720">
            <w:pPr>
              <w:pStyle w:val="276"/>
              <w:adjustRightInd w:val="0"/>
              <w:snapToGrid w:val="0"/>
              <w:spacing w:line="400" w:lineRule="exact"/>
              <w:jc w:val="center"/>
              <w:rPr>
                <w:rFonts w:ascii="宋体" w:hAnsi="宋体" w:cs="宋体"/>
                <w:color w:val="auto"/>
                <w:szCs w:val="21"/>
                <w:highlight w:val="none"/>
              </w:rPr>
            </w:pPr>
          </w:p>
        </w:tc>
        <w:tc>
          <w:tcPr>
            <w:tcW w:w="1069" w:type="dxa"/>
            <w:vMerge w:val="continue"/>
            <w:tcBorders>
              <w:left w:val="single" w:color="auto" w:sz="4" w:space="0"/>
            </w:tcBorders>
            <w:vAlign w:val="center"/>
          </w:tcPr>
          <w:p w14:paraId="5BE3E185">
            <w:pPr>
              <w:pStyle w:val="276"/>
              <w:adjustRightInd w:val="0"/>
              <w:snapToGrid w:val="0"/>
              <w:spacing w:line="400" w:lineRule="exact"/>
              <w:ind w:firstLine="210" w:firstLineChars="100"/>
              <w:rPr>
                <w:rFonts w:ascii="宋体" w:hAnsi="宋体" w:cs="宋体"/>
                <w:color w:val="auto"/>
                <w:szCs w:val="21"/>
                <w:highlight w:val="none"/>
              </w:rPr>
            </w:pPr>
          </w:p>
        </w:tc>
        <w:tc>
          <w:tcPr>
            <w:tcW w:w="1402" w:type="dxa"/>
            <w:vAlign w:val="center"/>
          </w:tcPr>
          <w:p w14:paraId="63561F9F">
            <w:pPr>
              <w:pStyle w:val="276"/>
              <w:adjustRightInd w:val="0"/>
              <w:snapToGrid w:val="0"/>
              <w:spacing w:line="400" w:lineRule="exact"/>
              <w:rPr>
                <w:rFonts w:ascii="宋体" w:hAnsi="宋体" w:cs="宋体"/>
                <w:color w:val="auto"/>
                <w:szCs w:val="21"/>
                <w:highlight w:val="none"/>
              </w:rPr>
            </w:pPr>
            <w:r>
              <w:rPr>
                <w:rFonts w:hint="eastAsia" w:ascii="宋体" w:hAnsi="宋体" w:cs="宋体"/>
                <w:b/>
                <w:bCs/>
                <w:color w:val="auto"/>
                <w:szCs w:val="21"/>
                <w:highlight w:val="none"/>
              </w:rPr>
              <w:sym w:font="Wingdings 2" w:char="00A3"/>
            </w:r>
            <w:r>
              <w:rPr>
                <w:rFonts w:hint="eastAsia" w:ascii="宋体" w:hAnsi="宋体" w:cs="宋体"/>
                <w:b w:val="0"/>
                <w:bCs w:val="0"/>
                <w:color w:val="auto"/>
                <w:szCs w:val="21"/>
                <w:highlight w:val="none"/>
              </w:rPr>
              <w:t>技</w:t>
            </w:r>
            <w:r>
              <w:rPr>
                <w:rFonts w:hint="eastAsia" w:ascii="宋体" w:hAnsi="宋体" w:cs="宋体"/>
                <w:color w:val="auto"/>
                <w:szCs w:val="21"/>
                <w:highlight w:val="none"/>
              </w:rPr>
              <w:t>术负责人任职资格与业绩</w:t>
            </w:r>
            <w:r>
              <w:rPr>
                <w:rFonts w:ascii="宋体" w:hAnsi="宋体" w:cs="宋体"/>
                <w:color w:val="auto"/>
                <w:szCs w:val="21"/>
                <w:highlight w:val="none"/>
                <w:u w:val="none"/>
              </w:rPr>
              <w:t>B</w:t>
            </w:r>
            <w:r>
              <w:rPr>
                <w:rFonts w:ascii="宋体" w:hAnsi="宋体" w:cs="宋体"/>
                <w:color w:val="auto"/>
                <w:szCs w:val="21"/>
                <w:highlight w:val="none"/>
                <w:u w:val="none"/>
                <w:vertAlign w:val="subscript"/>
              </w:rPr>
              <w:t>2</w:t>
            </w:r>
          </w:p>
        </w:tc>
        <w:tc>
          <w:tcPr>
            <w:tcW w:w="709" w:type="dxa"/>
            <w:vAlign w:val="center"/>
          </w:tcPr>
          <w:p w14:paraId="3CA1032E">
            <w:pPr>
              <w:pStyle w:val="276"/>
              <w:adjustRightInd w:val="0"/>
              <w:snapToGrid w:val="0"/>
              <w:spacing w:line="400" w:lineRule="exact"/>
              <w:ind w:left="105" w:hanging="105" w:hangingChars="50"/>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764" w:type="dxa"/>
            <w:vAlign w:val="center"/>
          </w:tcPr>
          <w:p w14:paraId="5964B93C">
            <w:pPr>
              <w:widowControl/>
              <w:adjustRightInd w:val="0"/>
              <w:snapToGrid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1）满足资格审查条件最低要求得</w:t>
            </w:r>
          </w:p>
          <w:p w14:paraId="7AEE8C9F">
            <w:pPr>
              <w:widowControl/>
              <w:adjustRightInd w:val="0"/>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3D8C7C2E">
            <w:pPr>
              <w:widowControl/>
              <w:adjustRightInd w:val="0"/>
              <w:snapToGrid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2）技术职称每升高一级加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198031B7">
            <w:pPr>
              <w:widowControl/>
              <w:adjustRightInd w:val="0"/>
              <w:snapToGrid w:val="0"/>
              <w:spacing w:line="380" w:lineRule="exact"/>
              <w:rPr>
                <w:rFonts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3）扣除满足资格条件最低要求的业绩</w:t>
            </w:r>
            <w:r>
              <w:rPr>
                <w:rFonts w:hint="eastAsia" w:ascii="宋体" w:hAnsi="宋体" w:cs="宋体"/>
                <w:color w:val="auto"/>
                <w:kern w:val="0"/>
                <w:szCs w:val="21"/>
                <w:highlight w:val="none"/>
              </w:rPr>
              <w:t>数量后：</w:t>
            </w:r>
          </w:p>
          <w:p w14:paraId="71B5D077">
            <w:pPr>
              <w:pStyle w:val="276"/>
              <w:adjustRightInd w:val="0"/>
              <w:snapToGrid w:val="0"/>
              <w:spacing w:line="380" w:lineRule="exact"/>
              <w:ind w:left="211" w:hanging="211" w:hangingChars="100"/>
              <w:rPr>
                <w:rFonts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每增加</w:t>
            </w:r>
            <w:r>
              <w:rPr>
                <w:rFonts w:ascii="宋体" w:hAnsi="宋体" w:cs="宋体"/>
                <w:color w:val="auto"/>
                <w:kern w:val="0"/>
                <w:szCs w:val="21"/>
                <w:highlight w:val="none"/>
                <w:u w:val="single"/>
              </w:rPr>
              <w:t xml:space="preserve"> 1 </w:t>
            </w:r>
            <w:r>
              <w:rPr>
                <w:rFonts w:hint="eastAsia" w:ascii="宋体" w:hAnsi="宋体" w:cs="宋体"/>
                <w:color w:val="auto"/>
                <w:kern w:val="0"/>
                <w:szCs w:val="21"/>
                <w:highlight w:val="none"/>
              </w:rPr>
              <w:t>个</w:t>
            </w:r>
            <w:r>
              <w:rPr>
                <w:rFonts w:hint="eastAsia" w:ascii="宋体" w:hAnsi="宋体" w:cs="宋体"/>
                <w:color w:val="auto"/>
                <w:szCs w:val="21"/>
                <w:highlight w:val="none"/>
              </w:rPr>
              <w:t>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ascii="宋体" w:hAnsi="宋体" w:cs="宋体"/>
                <w:color w:val="auto"/>
                <w:kern w:val="0"/>
                <w:szCs w:val="21"/>
                <w:highlight w:val="none"/>
              </w:rPr>
              <w:t>公路路基土建工程监理试验室资格审查要求职务业绩加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33DCDCC1">
            <w:pPr>
              <w:widowControl/>
              <w:adjustRightInd w:val="0"/>
              <w:snapToGrid w:val="0"/>
              <w:spacing w:line="400" w:lineRule="exact"/>
              <w:jc w:val="left"/>
              <w:rPr>
                <w:rFonts w:ascii="宋体" w:hAnsi="宋体" w:cs="宋体"/>
                <w:color w:val="auto"/>
                <w:szCs w:val="21"/>
                <w:highlight w:val="none"/>
                <w:u w:val="single"/>
              </w:rPr>
            </w:pPr>
            <w:r>
              <w:rPr>
                <w:rFonts w:hint="eastAsia" w:ascii="宋体" w:hAnsi="宋体" w:cs="宋体"/>
                <w:b/>
                <w:color w:val="auto"/>
                <w:szCs w:val="21"/>
                <w:highlight w:val="none"/>
              </w:rPr>
              <w:t>□</w:t>
            </w:r>
            <w:r>
              <w:rPr>
                <w:rFonts w:hint="eastAsia" w:ascii="宋体" w:hAnsi="宋体" w:cs="宋体"/>
                <w:color w:val="auto"/>
                <w:szCs w:val="21"/>
                <w:highlight w:val="none"/>
              </w:rPr>
              <w:t>每增加</w:t>
            </w:r>
            <w:r>
              <w:rPr>
                <w:rFonts w:ascii="宋体" w:hAnsi="宋体" w:cs="宋体"/>
                <w:color w:val="auto"/>
                <w:szCs w:val="21"/>
                <w:highlight w:val="none"/>
                <w:u w:val="single"/>
              </w:rPr>
              <w:t xml:space="preserve"> 1 </w:t>
            </w:r>
            <w:r>
              <w:rPr>
                <w:rFonts w:hint="eastAsia" w:ascii="宋体" w:hAnsi="宋体" w:cs="宋体"/>
                <w:color w:val="auto"/>
                <w:szCs w:val="21"/>
                <w:highlight w:val="none"/>
              </w:rPr>
              <w:t>个国内新建或改扩建</w:t>
            </w:r>
            <w:r>
              <w:rPr>
                <w:rFonts w:ascii="宋体" w:hAnsi="宋体" w:cs="宋体"/>
                <w:color w:val="auto"/>
                <w:szCs w:val="21"/>
                <w:highlight w:val="none"/>
                <w:u w:val="single"/>
              </w:rPr>
              <w:t xml:space="preserve">    </w:t>
            </w:r>
          </w:p>
          <w:p w14:paraId="037A9C1B">
            <w:pPr>
              <w:widowControl/>
              <w:adjustRightInd w:val="0"/>
              <w:snapToGrid w:val="0"/>
              <w:spacing w:line="400" w:lineRule="exact"/>
              <w:ind w:left="210" w:hanging="210" w:hangingChars="100"/>
              <w:rPr>
                <w:rFonts w:ascii="宋体" w:hAnsi="宋体" w:cs="宋体"/>
                <w:color w:val="auto"/>
                <w:kern w:val="0"/>
                <w:szCs w:val="21"/>
                <w:highlight w:val="none"/>
              </w:rPr>
            </w:pPr>
            <w:r>
              <w:rPr>
                <w:rFonts w:ascii="宋体" w:hAnsi="宋体" w:cs="宋体"/>
                <w:color w:val="auto"/>
                <w:szCs w:val="21"/>
                <w:highlight w:val="none"/>
              </w:rPr>
              <w:t xml:space="preserve">  级及以上</w:t>
            </w:r>
            <w:r>
              <w:rPr>
                <w:rFonts w:hint="eastAsia" w:ascii="宋体" w:hAnsi="宋体" w:cs="宋体"/>
                <w:color w:val="auto"/>
                <w:szCs w:val="21"/>
                <w:highlight w:val="none"/>
              </w:rPr>
              <w:t>公路路面工程监理试验室项目中担任</w:t>
            </w:r>
            <w:r>
              <w:rPr>
                <w:rFonts w:hint="eastAsia" w:ascii="宋体" w:hAnsi="宋体" w:cs="宋体"/>
                <w:color w:val="auto"/>
                <w:kern w:val="0"/>
                <w:szCs w:val="21"/>
                <w:highlight w:val="none"/>
              </w:rPr>
              <w:t>资格审查要求职务业绩加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分，累计加</w:t>
            </w:r>
            <w:r>
              <w:rPr>
                <w:rFonts w:ascii="宋体" w:hAnsi="宋体" w:cs="宋体"/>
                <w:color w:val="auto"/>
                <w:kern w:val="0"/>
                <w:szCs w:val="21"/>
                <w:highlight w:val="none"/>
                <w:u w:val="single"/>
              </w:rPr>
              <w:t xml:space="preserve">   </w:t>
            </w:r>
            <w:r>
              <w:rPr>
                <w:rFonts w:hint="eastAsia" w:ascii="宋体" w:hAnsi="宋体" w:cs="宋体"/>
                <w:color w:val="auto"/>
                <w:kern w:val="0"/>
                <w:szCs w:val="21"/>
                <w:highlight w:val="none"/>
              </w:rPr>
              <w:t>分；</w:t>
            </w:r>
          </w:p>
          <w:p w14:paraId="2E2C2F8C">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其他：</w:t>
            </w:r>
            <w:r>
              <w:rPr>
                <w:rFonts w:ascii="宋体" w:hAnsi="宋体" w:cs="宋体"/>
                <w:color w:val="auto"/>
                <w:szCs w:val="21"/>
                <w:highlight w:val="none"/>
                <w:u w:val="single"/>
              </w:rPr>
              <w:t xml:space="preserve">      </w:t>
            </w:r>
          </w:p>
          <w:p w14:paraId="671C5023">
            <w:pPr>
              <w:pStyle w:val="276"/>
              <w:adjustRightInd w:val="0"/>
              <w:snapToGrid w:val="0"/>
              <w:spacing w:line="380" w:lineRule="exact"/>
              <w:ind w:left="210" w:hanging="210" w:hangingChars="100"/>
              <w:rPr>
                <w:rFonts w:ascii="宋体" w:hAnsi="宋体" w:cs="宋体"/>
                <w:color w:val="auto"/>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szCs w:val="21"/>
                <w:highlight w:val="none"/>
              </w:rPr>
              <w:t>、</w:t>
            </w:r>
            <w:r>
              <w:rPr>
                <w:rFonts w:hint="eastAsia" w:ascii="宋体" w:hAnsi="宋体" w:cs="宋体"/>
                <w:color w:val="auto"/>
                <w:kern w:val="0"/>
                <w:szCs w:val="21"/>
                <w:highlight w:val="none"/>
              </w:rPr>
              <w:t>（</w:t>
            </w:r>
            <w:r>
              <w:rPr>
                <w:rFonts w:ascii="宋体" w:hAnsi="宋体" w:cs="宋体"/>
                <w:color w:val="auto"/>
                <w:kern w:val="0"/>
                <w:szCs w:val="21"/>
                <w:highlight w:val="none"/>
              </w:rPr>
              <w:t xml:space="preserve">2） </w:t>
            </w:r>
            <w:r>
              <w:rPr>
                <w:rFonts w:hint="eastAsia" w:ascii="宋体" w:hAnsi="宋体" w:cs="宋体"/>
                <w:color w:val="auto"/>
                <w:kern w:val="0"/>
                <w:szCs w:val="21"/>
                <w:highlight w:val="none"/>
              </w:rPr>
              <w:t>、（</w:t>
            </w:r>
            <w:r>
              <w:rPr>
                <w:rFonts w:ascii="宋体" w:hAnsi="宋体" w:cs="宋体"/>
                <w:color w:val="auto"/>
                <w:kern w:val="0"/>
                <w:szCs w:val="21"/>
                <w:highlight w:val="none"/>
              </w:rPr>
              <w:t>3）合计得分最多至满分为止。</w:t>
            </w:r>
          </w:p>
        </w:tc>
      </w:tr>
      <w:tr w14:paraId="2EFC7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75" w:type="dxa"/>
            <w:vMerge w:val="continue"/>
            <w:tcBorders>
              <w:top w:val="single" w:color="auto" w:sz="4" w:space="0"/>
              <w:left w:val="single" w:color="auto" w:sz="4" w:space="0"/>
              <w:bottom w:val="single" w:color="auto" w:sz="4" w:space="0"/>
              <w:right w:val="single" w:color="auto" w:sz="4" w:space="0"/>
            </w:tcBorders>
            <w:vAlign w:val="center"/>
          </w:tcPr>
          <w:p w14:paraId="7D914188">
            <w:pPr>
              <w:pStyle w:val="276"/>
              <w:adjustRightInd w:val="0"/>
              <w:snapToGrid w:val="0"/>
              <w:spacing w:line="400" w:lineRule="exact"/>
              <w:jc w:val="center"/>
              <w:rPr>
                <w:rFonts w:ascii="宋体" w:hAnsi="宋体" w:cs="宋体"/>
                <w:color w:val="auto"/>
                <w:szCs w:val="21"/>
                <w:highlight w:val="none"/>
              </w:rPr>
            </w:pPr>
          </w:p>
        </w:tc>
        <w:tc>
          <w:tcPr>
            <w:tcW w:w="1248" w:type="dxa"/>
            <w:gridSpan w:val="2"/>
            <w:vMerge w:val="continue"/>
            <w:tcBorders>
              <w:top w:val="single" w:color="auto" w:sz="4" w:space="0"/>
              <w:left w:val="single" w:color="auto" w:sz="4" w:space="0"/>
              <w:bottom w:val="single" w:color="auto" w:sz="4" w:space="0"/>
              <w:right w:val="single" w:color="auto" w:sz="4" w:space="0"/>
            </w:tcBorders>
            <w:vAlign w:val="center"/>
          </w:tcPr>
          <w:p w14:paraId="1F67E5D3">
            <w:pPr>
              <w:pStyle w:val="276"/>
              <w:adjustRightInd w:val="0"/>
              <w:snapToGrid w:val="0"/>
              <w:spacing w:line="400" w:lineRule="exact"/>
              <w:jc w:val="center"/>
              <w:rPr>
                <w:rFonts w:ascii="宋体" w:hAnsi="宋体" w:cs="宋体"/>
                <w:color w:val="auto"/>
                <w:szCs w:val="21"/>
                <w:highlight w:val="none"/>
              </w:rPr>
            </w:pPr>
          </w:p>
        </w:tc>
        <w:tc>
          <w:tcPr>
            <w:tcW w:w="1069" w:type="dxa"/>
            <w:vMerge w:val="continue"/>
            <w:tcBorders>
              <w:left w:val="single" w:color="auto" w:sz="4" w:space="0"/>
            </w:tcBorders>
            <w:vAlign w:val="center"/>
          </w:tcPr>
          <w:p w14:paraId="22E5601F">
            <w:pPr>
              <w:pStyle w:val="276"/>
              <w:adjustRightInd w:val="0"/>
              <w:snapToGrid w:val="0"/>
              <w:spacing w:line="400" w:lineRule="exact"/>
              <w:ind w:firstLine="210" w:firstLineChars="100"/>
              <w:rPr>
                <w:rFonts w:ascii="宋体" w:hAnsi="宋体" w:cs="宋体"/>
                <w:color w:val="auto"/>
                <w:szCs w:val="21"/>
                <w:highlight w:val="none"/>
              </w:rPr>
            </w:pPr>
          </w:p>
        </w:tc>
        <w:tc>
          <w:tcPr>
            <w:tcW w:w="1402" w:type="dxa"/>
            <w:vMerge w:val="restart"/>
            <w:vAlign w:val="center"/>
          </w:tcPr>
          <w:p w14:paraId="09BE98CF">
            <w:pPr>
              <w:pStyle w:val="276"/>
              <w:adjustRightInd w:val="0"/>
              <w:snapToGrid w:val="0"/>
              <w:spacing w:line="400" w:lineRule="exact"/>
              <w:rPr>
                <w:rFonts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color w:val="auto"/>
                <w:szCs w:val="21"/>
                <w:highlight w:val="none"/>
              </w:rPr>
              <w:t>其他主要人员</w:t>
            </w:r>
            <w:r>
              <w:rPr>
                <w:rFonts w:ascii="宋体" w:hAnsi="宋体" w:cs="宋体"/>
                <w:color w:val="auto"/>
                <w:szCs w:val="21"/>
                <w:highlight w:val="none"/>
                <w:u w:val="none"/>
              </w:rPr>
              <w:t>B</w:t>
            </w:r>
            <w:r>
              <w:rPr>
                <w:rFonts w:ascii="宋体" w:hAnsi="宋体" w:cs="宋体"/>
                <w:color w:val="auto"/>
                <w:szCs w:val="21"/>
                <w:highlight w:val="none"/>
                <w:u w:val="none"/>
                <w:vertAlign w:val="subscript"/>
              </w:rPr>
              <w:t>3</w:t>
            </w:r>
          </w:p>
        </w:tc>
        <w:tc>
          <w:tcPr>
            <w:tcW w:w="709" w:type="dxa"/>
            <w:vAlign w:val="center"/>
          </w:tcPr>
          <w:p w14:paraId="6C167023">
            <w:pPr>
              <w:pStyle w:val="276"/>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764" w:type="dxa"/>
            <w:vAlign w:val="center"/>
          </w:tcPr>
          <w:p w14:paraId="627AF4A7">
            <w:pPr>
              <w:pStyle w:val="276"/>
              <w:adjustRightInd w:val="0"/>
              <w:snapToGrid w:val="0"/>
              <w:spacing w:line="400" w:lineRule="exact"/>
              <w:rPr>
                <w:rFonts w:ascii="宋体" w:hAnsi="宋体" w:cs="宋体"/>
                <w:color w:val="auto"/>
                <w:szCs w:val="21"/>
                <w:highlight w:val="none"/>
                <w:u w:val="single"/>
              </w:rPr>
            </w:pPr>
            <w:r>
              <w:rPr>
                <w:rFonts w:ascii="宋体" w:hAnsi="宋体" w:cs="宋体"/>
                <w:color w:val="auto"/>
                <w:szCs w:val="21"/>
                <w:highlight w:val="none"/>
                <w:u w:val="single"/>
              </w:rPr>
              <w:t xml:space="preserve">            </w:t>
            </w:r>
          </w:p>
        </w:tc>
      </w:tr>
      <w:tr w14:paraId="2161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75" w:type="dxa"/>
            <w:vMerge w:val="continue"/>
            <w:tcBorders>
              <w:top w:val="single" w:color="auto" w:sz="4" w:space="0"/>
              <w:left w:val="single" w:color="auto" w:sz="4" w:space="0"/>
              <w:bottom w:val="single" w:color="auto" w:sz="4" w:space="0"/>
              <w:right w:val="single" w:color="auto" w:sz="4" w:space="0"/>
            </w:tcBorders>
            <w:vAlign w:val="center"/>
          </w:tcPr>
          <w:p w14:paraId="39E3CF26">
            <w:pPr>
              <w:pStyle w:val="276"/>
              <w:adjustRightInd w:val="0"/>
              <w:snapToGrid w:val="0"/>
              <w:spacing w:line="400" w:lineRule="exact"/>
              <w:jc w:val="center"/>
              <w:rPr>
                <w:rFonts w:ascii="宋体" w:hAnsi="宋体" w:cs="宋体"/>
                <w:color w:val="auto"/>
                <w:szCs w:val="21"/>
                <w:highlight w:val="none"/>
              </w:rPr>
            </w:pPr>
          </w:p>
        </w:tc>
        <w:tc>
          <w:tcPr>
            <w:tcW w:w="1248" w:type="dxa"/>
            <w:gridSpan w:val="2"/>
            <w:vMerge w:val="continue"/>
            <w:tcBorders>
              <w:top w:val="single" w:color="auto" w:sz="4" w:space="0"/>
              <w:left w:val="single" w:color="auto" w:sz="4" w:space="0"/>
              <w:bottom w:val="single" w:color="auto" w:sz="4" w:space="0"/>
              <w:right w:val="single" w:color="auto" w:sz="4" w:space="0"/>
            </w:tcBorders>
            <w:vAlign w:val="center"/>
          </w:tcPr>
          <w:p w14:paraId="703744A1">
            <w:pPr>
              <w:pStyle w:val="276"/>
              <w:adjustRightInd w:val="0"/>
              <w:snapToGrid w:val="0"/>
              <w:spacing w:line="400" w:lineRule="exact"/>
              <w:jc w:val="center"/>
              <w:rPr>
                <w:rFonts w:ascii="宋体" w:hAnsi="宋体" w:cs="宋体"/>
                <w:color w:val="auto"/>
                <w:szCs w:val="21"/>
                <w:highlight w:val="none"/>
              </w:rPr>
            </w:pPr>
          </w:p>
        </w:tc>
        <w:tc>
          <w:tcPr>
            <w:tcW w:w="1069" w:type="dxa"/>
            <w:vMerge w:val="continue"/>
            <w:tcBorders>
              <w:left w:val="single" w:color="auto" w:sz="4" w:space="0"/>
            </w:tcBorders>
            <w:vAlign w:val="center"/>
          </w:tcPr>
          <w:p w14:paraId="46B087C2">
            <w:pPr>
              <w:pStyle w:val="276"/>
              <w:adjustRightInd w:val="0"/>
              <w:snapToGrid w:val="0"/>
              <w:spacing w:line="400" w:lineRule="exact"/>
              <w:rPr>
                <w:rFonts w:ascii="宋体" w:hAnsi="宋体" w:cs="宋体"/>
                <w:color w:val="auto"/>
                <w:szCs w:val="21"/>
                <w:highlight w:val="none"/>
              </w:rPr>
            </w:pPr>
          </w:p>
        </w:tc>
        <w:tc>
          <w:tcPr>
            <w:tcW w:w="1402" w:type="dxa"/>
            <w:vMerge w:val="continue"/>
            <w:vAlign w:val="center"/>
          </w:tcPr>
          <w:p w14:paraId="1F0D74E0">
            <w:pPr>
              <w:pStyle w:val="276"/>
              <w:adjustRightInd w:val="0"/>
              <w:snapToGrid w:val="0"/>
              <w:spacing w:line="400" w:lineRule="exact"/>
              <w:rPr>
                <w:rFonts w:ascii="宋体" w:hAnsi="宋体" w:cs="宋体"/>
                <w:color w:val="auto"/>
                <w:szCs w:val="21"/>
                <w:highlight w:val="none"/>
              </w:rPr>
            </w:pPr>
          </w:p>
        </w:tc>
        <w:tc>
          <w:tcPr>
            <w:tcW w:w="709" w:type="dxa"/>
            <w:vAlign w:val="center"/>
          </w:tcPr>
          <w:p w14:paraId="4A94FCAE">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3764" w:type="dxa"/>
            <w:vAlign w:val="center"/>
          </w:tcPr>
          <w:p w14:paraId="47C13B3B">
            <w:pPr>
              <w:pStyle w:val="276"/>
              <w:adjustRightInd w:val="0"/>
              <w:snapToGrid w:val="0"/>
              <w:spacing w:line="400" w:lineRule="exact"/>
              <w:rPr>
                <w:rFonts w:ascii="宋体" w:hAnsi="宋体" w:cs="宋体"/>
                <w:color w:val="auto"/>
                <w:szCs w:val="21"/>
                <w:highlight w:val="none"/>
              </w:rPr>
            </w:pPr>
            <w:r>
              <w:rPr>
                <w:rFonts w:ascii="宋体" w:hAnsi="宋体" w:cs="宋体"/>
                <w:color w:val="auto"/>
                <w:szCs w:val="21"/>
                <w:highlight w:val="none"/>
                <w:u w:val="single"/>
              </w:rPr>
              <w:t xml:space="preserve">            </w:t>
            </w:r>
          </w:p>
        </w:tc>
      </w:tr>
      <w:tr w14:paraId="7CED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875" w:type="dxa"/>
            <w:tcBorders>
              <w:top w:val="single" w:color="auto" w:sz="4" w:space="0"/>
            </w:tcBorders>
            <w:vAlign w:val="center"/>
          </w:tcPr>
          <w:p w14:paraId="390FDB98">
            <w:pPr>
              <w:pStyle w:val="276"/>
              <w:adjustRightInd w:val="0"/>
              <w:snapToGrid w:val="0"/>
              <w:spacing w:line="40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2.2.4（3）</w:t>
            </w:r>
          </w:p>
        </w:tc>
        <w:tc>
          <w:tcPr>
            <w:tcW w:w="1248" w:type="dxa"/>
            <w:gridSpan w:val="2"/>
            <w:tcBorders>
              <w:top w:val="single" w:color="auto" w:sz="4" w:space="0"/>
            </w:tcBorders>
            <w:vAlign w:val="center"/>
          </w:tcPr>
          <w:p w14:paraId="41E39CA8">
            <w:pPr>
              <w:pStyle w:val="276"/>
              <w:adjustRightInd w:val="0"/>
              <w:snapToGrid w:val="0"/>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评标价</w:t>
            </w:r>
            <w:r>
              <w:rPr>
                <w:rFonts w:cs="宋体" w:asciiTheme="minorEastAsia" w:hAnsiTheme="minorEastAsia" w:eastAsiaTheme="minorEastAsia"/>
                <w:color w:val="auto"/>
                <w:szCs w:val="21"/>
                <w:highlight w:val="none"/>
              </w:rPr>
              <w:t>F</w:t>
            </w:r>
          </w:p>
        </w:tc>
        <w:tc>
          <w:tcPr>
            <w:tcW w:w="1069" w:type="dxa"/>
            <w:vAlign w:val="center"/>
          </w:tcPr>
          <w:p w14:paraId="65D84166">
            <w:pPr>
              <w:pStyle w:val="276"/>
              <w:adjustRightInd w:val="0"/>
              <w:snapToGrid w:val="0"/>
              <w:spacing w:line="400" w:lineRule="exact"/>
              <w:ind w:firstLine="210" w:firstLineChars="1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分</w:t>
            </w:r>
          </w:p>
        </w:tc>
        <w:tc>
          <w:tcPr>
            <w:tcW w:w="5875" w:type="dxa"/>
            <w:gridSpan w:val="3"/>
            <w:vAlign w:val="center"/>
          </w:tcPr>
          <w:p w14:paraId="35937960">
            <w:pPr>
              <w:pStyle w:val="276"/>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评标价得分</w:t>
            </w:r>
            <w:r>
              <w:rPr>
                <w:rFonts w:ascii="宋体" w:hAnsi="宋体" w:cs="宋体"/>
                <w:color w:val="auto"/>
                <w:szCs w:val="21"/>
                <w:highlight w:val="none"/>
              </w:rPr>
              <w:t>F计算公式：</w:t>
            </w:r>
          </w:p>
          <w:p w14:paraId="7574A787">
            <w:pPr>
              <w:pStyle w:val="276"/>
              <w:adjustRightInd w:val="0"/>
              <w:snapToGrid w:val="0"/>
              <w:spacing w:line="400" w:lineRule="exact"/>
              <w:rPr>
                <w:rFonts w:ascii="宋体" w:hAnsi="宋体" w:cs="宋体"/>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 xml:space="preserve"> </w:t>
            </w:r>
            <w:r>
              <w:rPr>
                <w:rFonts w:hint="eastAsia" w:ascii="宋体" w:hAnsi="宋体" w:cs="宋体"/>
                <w:b/>
                <w:bCs/>
                <w:color w:val="auto"/>
                <w:szCs w:val="21"/>
                <w:highlight w:val="none"/>
              </w:rPr>
              <w:t>方式一</w:t>
            </w:r>
            <w:r>
              <w:rPr>
                <w:rFonts w:hint="eastAsia" w:ascii="宋体" w:hAnsi="宋体" w:cs="宋体"/>
                <w:color w:val="auto"/>
                <w:szCs w:val="21"/>
                <w:highlight w:val="none"/>
              </w:rPr>
              <w:t>：</w:t>
            </w:r>
          </w:p>
          <w:p w14:paraId="3CD3CD1C">
            <w:pPr>
              <w:pStyle w:val="276"/>
              <w:adjustRightInd w:val="0"/>
              <w:snapToGrid w:val="0"/>
              <w:spacing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1）如果投标人的评标价＞评标基准价，则</w:t>
            </w:r>
          </w:p>
          <w:p w14:paraId="170A9D70">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评标价得分</w:t>
            </w:r>
            <w:r>
              <w:rPr>
                <w:rFonts w:ascii="宋体" w:hAnsi="宋体" w:cs="宋体"/>
                <w:color w:val="auto"/>
                <w:szCs w:val="21"/>
                <w:highlight w:val="none"/>
              </w:rPr>
              <w:t>F</w:t>
            </w:r>
            <w:r>
              <w:rPr>
                <w:rFonts w:hint="eastAsia" w:ascii="宋体" w:hAnsi="宋体" w:eastAsia="宋体" w:cs="宋体"/>
                <w:color w:val="auto"/>
                <w:szCs w:val="21"/>
                <w:highlight w:val="none"/>
              </w:rPr>
              <w:t>＝</w:t>
            </w:r>
            <w:r>
              <w:rPr>
                <w:rFonts w:ascii="宋体" w:hAnsi="宋体" w:cs="宋体"/>
                <w:color w:val="auto"/>
                <w:szCs w:val="21"/>
                <w:highlight w:val="none"/>
              </w:rPr>
              <w:t>F</w:t>
            </w:r>
            <w:r>
              <w:rPr>
                <w:rFonts w:ascii="宋体" w:hAnsi="宋体" w:cs="宋体"/>
                <w:color w:val="auto"/>
                <w:szCs w:val="21"/>
                <w:highlight w:val="none"/>
                <w:vertAlign w:val="subscript"/>
              </w:rPr>
              <w:t>0</w:t>
            </w:r>
            <w:r>
              <w:rPr>
                <w:rFonts w:hint="eastAsia" w:ascii="宋体" w:hAnsi="宋体" w:cs="宋体"/>
                <w:color w:val="auto"/>
                <w:szCs w:val="21"/>
                <w:highlight w:val="none"/>
              </w:rPr>
              <w:t>－偏差率×</w:t>
            </w:r>
            <w:r>
              <w:rPr>
                <w:rFonts w:ascii="宋体" w:hAnsi="宋体" w:cs="宋体"/>
                <w:color w:val="auto"/>
                <w:szCs w:val="21"/>
                <w:highlight w:val="none"/>
              </w:rPr>
              <w:t>100×E</w:t>
            </w:r>
            <w:r>
              <w:rPr>
                <w:rFonts w:ascii="宋体" w:hAnsi="宋体" w:cs="宋体"/>
                <w:color w:val="auto"/>
                <w:szCs w:val="21"/>
                <w:highlight w:val="none"/>
                <w:vertAlign w:val="subscript"/>
              </w:rPr>
              <w:t>1</w:t>
            </w:r>
          </w:p>
          <w:p w14:paraId="75004F87">
            <w:pPr>
              <w:pStyle w:val="276"/>
              <w:adjustRightInd w:val="0"/>
              <w:snapToGrid w:val="0"/>
              <w:spacing w:line="400" w:lineRule="exact"/>
              <w:ind w:firstLine="0" w:firstLineChars="0"/>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2）如果投标人的评标价≤评标基准价，则</w:t>
            </w:r>
          </w:p>
          <w:p w14:paraId="129299D2">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评标价得分</w:t>
            </w:r>
            <w:r>
              <w:rPr>
                <w:rFonts w:ascii="宋体" w:hAnsi="宋体" w:cs="宋体"/>
                <w:color w:val="auto"/>
                <w:szCs w:val="21"/>
                <w:highlight w:val="none"/>
              </w:rPr>
              <w:t>F</w:t>
            </w:r>
            <w:r>
              <w:rPr>
                <w:rFonts w:hint="eastAsia" w:ascii="宋体" w:hAnsi="宋体" w:eastAsia="宋体" w:cs="宋体"/>
                <w:color w:val="auto"/>
                <w:szCs w:val="21"/>
                <w:highlight w:val="none"/>
              </w:rPr>
              <w:t>＝</w:t>
            </w:r>
            <w:r>
              <w:rPr>
                <w:rFonts w:ascii="宋体" w:hAnsi="宋体" w:cs="宋体"/>
                <w:color w:val="auto"/>
                <w:szCs w:val="21"/>
                <w:highlight w:val="none"/>
              </w:rPr>
              <w:t>F</w:t>
            </w:r>
            <w:r>
              <w:rPr>
                <w:rFonts w:ascii="宋体" w:hAnsi="宋体" w:cs="宋体"/>
                <w:color w:val="auto"/>
                <w:szCs w:val="21"/>
                <w:highlight w:val="none"/>
                <w:vertAlign w:val="subscript"/>
              </w:rPr>
              <w:t>0</w:t>
            </w:r>
            <w:r>
              <w:rPr>
                <w:rFonts w:hint="eastAsia" w:ascii="宋体" w:hAnsi="宋体" w:cs="宋体"/>
                <w:color w:val="auto"/>
                <w:szCs w:val="21"/>
                <w:highlight w:val="none"/>
              </w:rPr>
              <w:t>－偏差率×</w:t>
            </w:r>
            <w:r>
              <w:rPr>
                <w:rFonts w:ascii="宋体" w:hAnsi="宋体" w:cs="宋体"/>
                <w:color w:val="auto"/>
                <w:szCs w:val="21"/>
                <w:highlight w:val="none"/>
              </w:rPr>
              <w:t>100×E</w:t>
            </w:r>
            <w:r>
              <w:rPr>
                <w:rFonts w:ascii="宋体" w:hAnsi="宋体" w:cs="宋体"/>
                <w:color w:val="auto"/>
                <w:szCs w:val="21"/>
                <w:highlight w:val="none"/>
                <w:vertAlign w:val="subscript"/>
              </w:rPr>
              <w:t>2</w:t>
            </w:r>
          </w:p>
          <w:p w14:paraId="15F483F7">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其中：</w:t>
            </w:r>
            <w:r>
              <w:rPr>
                <w:rFonts w:ascii="宋体" w:hAnsi="宋体" w:cs="宋体"/>
                <w:color w:val="auto"/>
                <w:szCs w:val="21"/>
                <w:highlight w:val="none"/>
              </w:rPr>
              <w:t>F</w:t>
            </w:r>
            <w:r>
              <w:rPr>
                <w:rFonts w:ascii="宋体" w:hAnsi="宋体" w:cs="宋体"/>
                <w:color w:val="auto"/>
                <w:szCs w:val="21"/>
                <w:highlight w:val="none"/>
                <w:vertAlign w:val="subscript"/>
              </w:rPr>
              <w:t>0</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rPr>
              <w:t>评标价所占的权重分值；</w:t>
            </w:r>
            <w:r>
              <w:rPr>
                <w:rFonts w:ascii="宋体" w:hAnsi="宋体" w:cs="宋体"/>
                <w:color w:val="auto"/>
                <w:szCs w:val="21"/>
                <w:highlight w:val="none"/>
              </w:rPr>
              <w:t>E</w:t>
            </w:r>
            <w:r>
              <w:rPr>
                <w:rFonts w:ascii="宋体" w:hAnsi="宋体" w:cs="宋体"/>
                <w:color w:val="auto"/>
                <w:szCs w:val="21"/>
                <w:highlight w:val="none"/>
                <w:vertAlign w:val="subscript"/>
              </w:rPr>
              <w:t>1</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rPr>
              <w:t>评标价每高于评标基准价一个百分点的扣分值；</w:t>
            </w:r>
            <w:r>
              <w:rPr>
                <w:rFonts w:ascii="宋体" w:hAnsi="宋体" w:cs="宋体"/>
                <w:color w:val="auto"/>
                <w:szCs w:val="21"/>
                <w:highlight w:val="none"/>
              </w:rPr>
              <w:t xml:space="preserve"> E</w:t>
            </w:r>
            <w:r>
              <w:rPr>
                <w:rFonts w:ascii="宋体" w:hAnsi="宋体" w:cs="宋体"/>
                <w:color w:val="auto"/>
                <w:szCs w:val="21"/>
                <w:highlight w:val="none"/>
                <w:vertAlign w:val="subscript"/>
              </w:rPr>
              <w:t>2</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rPr>
              <w:t>评标价每低于评标基准价一个百分点的扣分值。投标人评标价得分最低为</w:t>
            </w:r>
            <w:r>
              <w:rPr>
                <w:rFonts w:ascii="宋体" w:hAnsi="宋体" w:cs="宋体"/>
                <w:color w:val="auto"/>
                <w:szCs w:val="21"/>
                <w:highlight w:val="none"/>
              </w:rPr>
              <w:t>0分。</w:t>
            </w:r>
          </w:p>
          <w:p w14:paraId="454EA823">
            <w:pPr>
              <w:pStyle w:val="276"/>
              <w:adjustRightInd w:val="0"/>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本次招标</w:t>
            </w:r>
            <w:r>
              <w:rPr>
                <w:rFonts w:ascii="宋体" w:hAnsi="宋体" w:cs="宋体"/>
                <w:color w:val="auto"/>
                <w:szCs w:val="21"/>
                <w:highlight w:val="none"/>
              </w:rPr>
              <w:t xml:space="preserve"> E</w:t>
            </w:r>
            <w:r>
              <w:rPr>
                <w:rFonts w:ascii="宋体" w:hAnsi="宋体" w:cs="宋体"/>
                <w:color w:val="auto"/>
                <w:szCs w:val="21"/>
                <w:highlight w:val="none"/>
                <w:vertAlign w:val="subscript"/>
              </w:rPr>
              <w:t>1</w:t>
            </w:r>
            <w:r>
              <w:rPr>
                <w:rFonts w:hint="eastAsia" w:ascii="宋体" w:hAnsi="宋体" w:cs="宋体"/>
                <w:color w:val="auto"/>
                <w:szCs w:val="21"/>
                <w:highlight w:val="none"/>
              </w:rPr>
              <w:t>：</w:t>
            </w:r>
            <w:r>
              <w:rPr>
                <w:rFonts w:ascii="宋体" w:hAnsi="宋体" w:cs="宋体"/>
                <w:color w:val="auto"/>
                <w:szCs w:val="21"/>
                <w:highlight w:val="none"/>
                <w:u w:val="single"/>
              </w:rPr>
              <w:t xml:space="preserve">       </w:t>
            </w:r>
          </w:p>
          <w:p w14:paraId="134BAA7F">
            <w:pPr>
              <w:pStyle w:val="276"/>
              <w:adjustRightInd w:val="0"/>
              <w:snapToGrid w:val="0"/>
              <w:spacing w:line="400" w:lineRule="exact"/>
              <w:ind w:firstLine="1365" w:firstLineChars="650"/>
              <w:rPr>
                <w:rFonts w:ascii="宋体" w:hAnsi="宋体" w:cs="宋体"/>
                <w:color w:val="auto"/>
                <w:szCs w:val="21"/>
                <w:highlight w:val="none"/>
                <w:u w:val="single"/>
              </w:rPr>
            </w:pPr>
            <w:r>
              <w:rPr>
                <w:rFonts w:ascii="宋体" w:hAnsi="宋体" w:cs="宋体"/>
                <w:color w:val="auto"/>
                <w:szCs w:val="21"/>
                <w:highlight w:val="none"/>
              </w:rPr>
              <w:t>E</w:t>
            </w:r>
            <w:r>
              <w:rPr>
                <w:rFonts w:ascii="宋体" w:hAnsi="宋体" w:cs="宋体"/>
                <w:color w:val="auto"/>
                <w:szCs w:val="21"/>
                <w:highlight w:val="none"/>
                <w:vertAlign w:val="subscript"/>
              </w:rPr>
              <w:t>2</w:t>
            </w:r>
            <w:r>
              <w:rPr>
                <w:rFonts w:hint="eastAsia" w:ascii="宋体" w:hAnsi="宋体" w:cs="宋体"/>
                <w:color w:val="auto"/>
                <w:szCs w:val="21"/>
                <w:highlight w:val="none"/>
              </w:rPr>
              <w:t>：</w:t>
            </w:r>
            <w:r>
              <w:rPr>
                <w:rFonts w:ascii="宋体" w:hAnsi="宋体" w:cs="宋体"/>
                <w:color w:val="auto"/>
                <w:szCs w:val="21"/>
                <w:highlight w:val="none"/>
                <w:u w:val="single"/>
              </w:rPr>
              <w:t xml:space="preserve">       </w:t>
            </w:r>
            <w:r>
              <w:rPr>
                <w:rStyle w:val="58"/>
                <w:rFonts w:ascii="宋体" w:hAnsi="宋体" w:cs="宋体"/>
                <w:color w:val="auto"/>
                <w:szCs w:val="21"/>
                <w:highlight w:val="none"/>
              </w:rPr>
              <w:footnoteReference w:id="104"/>
            </w:r>
          </w:p>
          <w:p w14:paraId="1FFA26D0">
            <w:pPr>
              <w:pStyle w:val="276"/>
              <w:adjustRightInd w:val="0"/>
              <w:snapToGrid w:val="0"/>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 xml:space="preserve"> </w:t>
            </w:r>
            <w:r>
              <w:rPr>
                <w:rFonts w:hint="eastAsia" w:ascii="宋体" w:hAnsi="宋体" w:cs="宋体"/>
                <w:b/>
                <w:bCs/>
                <w:color w:val="auto"/>
                <w:szCs w:val="21"/>
                <w:highlight w:val="none"/>
              </w:rPr>
              <w:t>方式二</w:t>
            </w:r>
            <w:r>
              <w:rPr>
                <w:rStyle w:val="58"/>
                <w:rFonts w:ascii="宋体" w:hAnsi="宋体" w:cs="宋体"/>
                <w:b/>
                <w:bCs/>
                <w:color w:val="auto"/>
                <w:szCs w:val="21"/>
                <w:highlight w:val="none"/>
              </w:rPr>
              <w:footnoteReference w:id="105"/>
            </w:r>
            <w:r>
              <w:rPr>
                <w:rFonts w:hint="eastAsia" w:ascii="宋体" w:hAnsi="宋体" w:cs="宋体"/>
                <w:b/>
                <w:bCs/>
                <w:color w:val="auto"/>
                <w:szCs w:val="21"/>
                <w:highlight w:val="none"/>
              </w:rPr>
              <w:t>：</w:t>
            </w:r>
          </w:p>
          <w:p w14:paraId="371BDED7">
            <w:pPr>
              <w:pStyle w:val="276"/>
              <w:adjustRightInd w:val="0"/>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评标价得分</w:t>
            </w:r>
            <w:r>
              <w:rPr>
                <w:rFonts w:ascii="宋体" w:hAnsi="宋体" w:cs="宋体"/>
                <w:color w:val="auto"/>
                <w:szCs w:val="21"/>
                <w:highlight w:val="none"/>
              </w:rPr>
              <w:t>F</w:t>
            </w:r>
            <w:r>
              <w:rPr>
                <w:rFonts w:hint="eastAsia" w:ascii="宋体" w:hAnsi="宋体" w:eastAsia="宋体" w:cs="宋体"/>
                <w:color w:val="auto"/>
                <w:szCs w:val="21"/>
                <w:highlight w:val="none"/>
              </w:rPr>
              <w:t>＝</w:t>
            </w:r>
            <w:r>
              <w:rPr>
                <w:rFonts w:ascii="宋体" w:hAnsi="宋体" w:cs="宋体"/>
                <w:color w:val="auto"/>
                <w:szCs w:val="21"/>
                <w:highlight w:val="none"/>
              </w:rPr>
              <w:t>（评标基准价／投标人的评标价）×评标价权重分</w:t>
            </w:r>
          </w:p>
          <w:p w14:paraId="5D14995E">
            <w:pPr>
              <w:pStyle w:val="276"/>
              <w:adjustRightInd w:val="0"/>
              <w:snapToGrid w:val="0"/>
              <w:spacing w:line="400" w:lineRule="exact"/>
              <w:rPr>
                <w:rFonts w:ascii="宋体" w:hAnsi="宋体" w:cs="宋体"/>
                <w:b/>
                <w:bCs/>
                <w:color w:val="auto"/>
                <w:szCs w:val="21"/>
                <w:highlight w:val="none"/>
              </w:rPr>
            </w:pPr>
            <w:r>
              <w:rPr>
                <w:rFonts w:hint="eastAsia" w:ascii="宋体" w:hAnsi="宋体" w:cs="宋体"/>
                <w:b/>
                <w:bCs/>
                <w:color w:val="auto"/>
                <w:szCs w:val="21"/>
                <w:highlight w:val="none"/>
              </w:rPr>
              <w:t>□</w:t>
            </w:r>
            <w:r>
              <w:rPr>
                <w:rFonts w:ascii="宋体" w:hAnsi="宋体" w:cs="宋体"/>
                <w:b/>
                <w:bCs/>
                <w:color w:val="auto"/>
                <w:szCs w:val="21"/>
                <w:highlight w:val="none"/>
              </w:rPr>
              <w:t xml:space="preserve"> </w:t>
            </w:r>
            <w:r>
              <w:rPr>
                <w:rFonts w:hint="eastAsia" w:ascii="宋体" w:hAnsi="宋体" w:cs="宋体"/>
                <w:b/>
                <w:bCs/>
                <w:color w:val="auto"/>
                <w:szCs w:val="21"/>
                <w:highlight w:val="none"/>
              </w:rPr>
              <w:t>方式三：</w:t>
            </w:r>
          </w:p>
          <w:p w14:paraId="6F222893">
            <w:pPr>
              <w:widowControl/>
              <w:adjustRightInd w:val="0"/>
              <w:snapToGrid w:val="0"/>
              <w:spacing w:line="400" w:lineRule="exact"/>
              <w:rPr>
                <w:rFonts w:ascii="宋体" w:hAnsi="宋体" w:cs="宋体"/>
                <w:color w:val="auto"/>
                <w:kern w:val="0"/>
                <w:szCs w:val="21"/>
                <w:highlight w:val="none"/>
              </w:rPr>
            </w:pPr>
            <w:r>
              <w:rPr>
                <w:rFonts w:hint="eastAsia" w:ascii="宋体" w:hAnsi="宋体" w:cs="宋体"/>
                <w:color w:val="auto"/>
                <w:szCs w:val="21"/>
                <w:highlight w:val="none"/>
              </w:rPr>
              <w:t>……</w:t>
            </w:r>
          </w:p>
        </w:tc>
      </w:tr>
      <w:tr w14:paraId="4B53D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75" w:type="dxa"/>
            <w:vMerge w:val="restart"/>
            <w:vAlign w:val="center"/>
          </w:tcPr>
          <w:p w14:paraId="3164C343">
            <w:pPr>
              <w:pStyle w:val="276"/>
              <w:adjustRightInd w:val="0"/>
              <w:snapToGrid w:val="0"/>
              <w:spacing w:line="40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2.2.4（4）</w:t>
            </w:r>
          </w:p>
        </w:tc>
        <w:tc>
          <w:tcPr>
            <w:tcW w:w="482" w:type="dxa"/>
            <w:vMerge w:val="restart"/>
            <w:vAlign w:val="center"/>
          </w:tcPr>
          <w:p w14:paraId="325BAD75">
            <w:pPr>
              <w:pStyle w:val="276"/>
              <w:adjustRightInd w:val="0"/>
              <w:snapToGrid w:val="0"/>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其他因素</w:t>
            </w:r>
            <w:r>
              <w:rPr>
                <w:rStyle w:val="58"/>
                <w:rFonts w:cs="宋体" w:asciiTheme="minorEastAsia" w:hAnsiTheme="minorEastAsia" w:eastAsiaTheme="minorEastAsia"/>
                <w:color w:val="auto"/>
                <w:szCs w:val="21"/>
                <w:highlight w:val="none"/>
              </w:rPr>
              <w:footnoteReference w:id="106"/>
            </w:r>
            <w:r>
              <w:rPr>
                <w:rFonts w:cs="宋体" w:asciiTheme="minorEastAsia" w:hAnsiTheme="minorEastAsia" w:eastAsiaTheme="minorEastAsia"/>
                <w:color w:val="auto"/>
                <w:szCs w:val="21"/>
                <w:highlight w:val="none"/>
              </w:rPr>
              <w:t>D</w:t>
            </w:r>
          </w:p>
        </w:tc>
        <w:tc>
          <w:tcPr>
            <w:tcW w:w="766" w:type="dxa"/>
            <w:vMerge w:val="restart"/>
            <w:vAlign w:val="center"/>
          </w:tcPr>
          <w:p w14:paraId="4D22754F">
            <w:pPr>
              <w:pStyle w:val="276"/>
              <w:adjustRightInd w:val="0"/>
              <w:snapToGrid w:val="0"/>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□技术能力</w:t>
            </w:r>
            <w:r>
              <w:rPr>
                <w:rFonts w:cs="宋体" w:asciiTheme="minorEastAsia" w:hAnsiTheme="minorEastAsia" w:eastAsiaTheme="minorEastAsia"/>
                <w:color w:val="auto"/>
                <w:szCs w:val="21"/>
                <w:highlight w:val="none"/>
              </w:rPr>
              <w:t xml:space="preserve"> G</w:t>
            </w:r>
          </w:p>
        </w:tc>
        <w:tc>
          <w:tcPr>
            <w:tcW w:w="1069" w:type="dxa"/>
            <w:vMerge w:val="restart"/>
            <w:vAlign w:val="center"/>
          </w:tcPr>
          <w:p w14:paraId="798D6BBA">
            <w:pPr>
              <w:pStyle w:val="276"/>
              <w:adjustRightInd w:val="0"/>
              <w:snapToGrid w:val="0"/>
              <w:spacing w:line="40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分</w:t>
            </w:r>
          </w:p>
        </w:tc>
        <w:tc>
          <w:tcPr>
            <w:tcW w:w="1402" w:type="dxa"/>
            <w:vAlign w:val="center"/>
          </w:tcPr>
          <w:p w14:paraId="4855909B">
            <w:pPr>
              <w:pStyle w:val="276"/>
              <w:adjustRightInd w:val="0"/>
              <w:snapToGrid w:val="0"/>
              <w:spacing w:line="40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u w:val="single"/>
              </w:rPr>
              <w:t xml:space="preserve">       </w:t>
            </w:r>
          </w:p>
        </w:tc>
        <w:tc>
          <w:tcPr>
            <w:tcW w:w="709" w:type="dxa"/>
            <w:vAlign w:val="center"/>
          </w:tcPr>
          <w:p w14:paraId="65EC8B79">
            <w:pPr>
              <w:pStyle w:val="276"/>
              <w:adjustRightInd w:val="0"/>
              <w:snapToGrid w:val="0"/>
              <w:spacing w:line="40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分</w:t>
            </w:r>
          </w:p>
        </w:tc>
        <w:tc>
          <w:tcPr>
            <w:tcW w:w="3764" w:type="dxa"/>
            <w:vAlign w:val="center"/>
          </w:tcPr>
          <w:p w14:paraId="7663CDC1">
            <w:pPr>
              <w:pStyle w:val="276"/>
              <w:adjustRightInd w:val="0"/>
              <w:snapToGrid w:val="0"/>
              <w:spacing w:line="40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u w:val="single"/>
              </w:rPr>
              <w:t xml:space="preserve">              </w:t>
            </w:r>
          </w:p>
        </w:tc>
      </w:tr>
      <w:tr w14:paraId="773B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75" w:type="dxa"/>
            <w:vMerge w:val="continue"/>
            <w:vAlign w:val="center"/>
          </w:tcPr>
          <w:p w14:paraId="0DB5495C">
            <w:pPr>
              <w:pStyle w:val="276"/>
              <w:adjustRightInd w:val="0"/>
              <w:snapToGrid w:val="0"/>
              <w:spacing w:line="400" w:lineRule="exact"/>
              <w:jc w:val="center"/>
              <w:rPr>
                <w:rFonts w:cs="宋体" w:asciiTheme="minorEastAsia" w:hAnsiTheme="minorEastAsia" w:eastAsiaTheme="minorEastAsia"/>
                <w:color w:val="auto"/>
                <w:szCs w:val="21"/>
                <w:highlight w:val="none"/>
              </w:rPr>
            </w:pPr>
          </w:p>
        </w:tc>
        <w:tc>
          <w:tcPr>
            <w:tcW w:w="482" w:type="dxa"/>
            <w:vMerge w:val="continue"/>
            <w:vAlign w:val="center"/>
          </w:tcPr>
          <w:p w14:paraId="12EB8A5C">
            <w:pPr>
              <w:pStyle w:val="276"/>
              <w:adjustRightInd w:val="0"/>
              <w:snapToGrid w:val="0"/>
              <w:spacing w:line="400" w:lineRule="exact"/>
              <w:jc w:val="center"/>
              <w:rPr>
                <w:rFonts w:cs="宋体" w:asciiTheme="minorEastAsia" w:hAnsiTheme="minorEastAsia" w:eastAsiaTheme="minorEastAsia"/>
                <w:color w:val="auto"/>
                <w:szCs w:val="21"/>
                <w:highlight w:val="none"/>
              </w:rPr>
            </w:pPr>
          </w:p>
        </w:tc>
        <w:tc>
          <w:tcPr>
            <w:tcW w:w="766" w:type="dxa"/>
            <w:vMerge w:val="continue"/>
            <w:vAlign w:val="center"/>
          </w:tcPr>
          <w:p w14:paraId="4862B5C3">
            <w:pPr>
              <w:pStyle w:val="276"/>
              <w:adjustRightInd w:val="0"/>
              <w:snapToGrid w:val="0"/>
              <w:spacing w:line="400" w:lineRule="exact"/>
              <w:jc w:val="center"/>
              <w:rPr>
                <w:rFonts w:cs="宋体" w:asciiTheme="minorEastAsia" w:hAnsiTheme="minorEastAsia" w:eastAsiaTheme="minorEastAsia"/>
                <w:color w:val="auto"/>
                <w:szCs w:val="21"/>
                <w:highlight w:val="none"/>
              </w:rPr>
            </w:pPr>
          </w:p>
        </w:tc>
        <w:tc>
          <w:tcPr>
            <w:tcW w:w="1069" w:type="dxa"/>
            <w:vMerge w:val="continue"/>
            <w:vAlign w:val="center"/>
          </w:tcPr>
          <w:p w14:paraId="77E8A4E5">
            <w:pPr>
              <w:pStyle w:val="276"/>
              <w:adjustRightInd w:val="0"/>
              <w:snapToGrid w:val="0"/>
              <w:spacing w:line="400" w:lineRule="exact"/>
              <w:jc w:val="center"/>
              <w:rPr>
                <w:rFonts w:cs="宋体" w:asciiTheme="minorEastAsia" w:hAnsiTheme="minorEastAsia" w:eastAsiaTheme="minorEastAsia"/>
                <w:color w:val="auto"/>
                <w:szCs w:val="21"/>
                <w:highlight w:val="none"/>
              </w:rPr>
            </w:pPr>
          </w:p>
        </w:tc>
        <w:tc>
          <w:tcPr>
            <w:tcW w:w="1402" w:type="dxa"/>
            <w:vAlign w:val="center"/>
          </w:tcPr>
          <w:p w14:paraId="738738E1">
            <w:pPr>
              <w:pStyle w:val="276"/>
              <w:adjustRightInd w:val="0"/>
              <w:snapToGrid w:val="0"/>
              <w:spacing w:line="40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u w:val="single"/>
              </w:rPr>
              <w:t xml:space="preserve">       </w:t>
            </w:r>
          </w:p>
        </w:tc>
        <w:tc>
          <w:tcPr>
            <w:tcW w:w="709" w:type="dxa"/>
            <w:vAlign w:val="center"/>
          </w:tcPr>
          <w:p w14:paraId="0EB6FD73">
            <w:pPr>
              <w:pStyle w:val="276"/>
              <w:adjustRightInd w:val="0"/>
              <w:snapToGrid w:val="0"/>
              <w:spacing w:line="40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分</w:t>
            </w:r>
          </w:p>
        </w:tc>
        <w:tc>
          <w:tcPr>
            <w:tcW w:w="3764" w:type="dxa"/>
            <w:vAlign w:val="center"/>
          </w:tcPr>
          <w:p w14:paraId="2B034FDD">
            <w:pPr>
              <w:pStyle w:val="276"/>
              <w:adjustRightInd w:val="0"/>
              <w:snapToGrid w:val="0"/>
              <w:spacing w:line="40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u w:val="single"/>
              </w:rPr>
              <w:t xml:space="preserve">              </w:t>
            </w:r>
          </w:p>
        </w:tc>
      </w:tr>
      <w:tr w14:paraId="1249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75" w:type="dxa"/>
            <w:vMerge w:val="continue"/>
            <w:vAlign w:val="center"/>
          </w:tcPr>
          <w:p w14:paraId="0145A691">
            <w:pPr>
              <w:pStyle w:val="276"/>
              <w:adjustRightInd w:val="0"/>
              <w:snapToGrid w:val="0"/>
              <w:spacing w:line="400" w:lineRule="exact"/>
              <w:jc w:val="center"/>
              <w:rPr>
                <w:rFonts w:cs="宋体" w:asciiTheme="minorEastAsia" w:hAnsiTheme="minorEastAsia" w:eastAsiaTheme="minorEastAsia"/>
                <w:color w:val="auto"/>
                <w:szCs w:val="21"/>
                <w:highlight w:val="none"/>
              </w:rPr>
            </w:pPr>
          </w:p>
        </w:tc>
        <w:tc>
          <w:tcPr>
            <w:tcW w:w="482" w:type="dxa"/>
            <w:vMerge w:val="continue"/>
            <w:vAlign w:val="center"/>
          </w:tcPr>
          <w:p w14:paraId="28B5FD46">
            <w:pPr>
              <w:pStyle w:val="276"/>
              <w:adjustRightInd w:val="0"/>
              <w:snapToGrid w:val="0"/>
              <w:spacing w:line="400" w:lineRule="exact"/>
              <w:jc w:val="center"/>
              <w:rPr>
                <w:rFonts w:cs="宋体" w:asciiTheme="minorEastAsia" w:hAnsiTheme="minorEastAsia" w:eastAsiaTheme="minorEastAsia"/>
                <w:color w:val="auto"/>
                <w:szCs w:val="21"/>
                <w:highlight w:val="none"/>
              </w:rPr>
            </w:pPr>
          </w:p>
        </w:tc>
        <w:tc>
          <w:tcPr>
            <w:tcW w:w="766" w:type="dxa"/>
            <w:vMerge w:val="restart"/>
            <w:vAlign w:val="center"/>
          </w:tcPr>
          <w:p w14:paraId="76A25768">
            <w:pPr>
              <w:pStyle w:val="276"/>
              <w:adjustRightInd w:val="0"/>
              <w:snapToGrid w:val="0"/>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业绩</w:t>
            </w:r>
            <w:r>
              <w:rPr>
                <w:rFonts w:cs="宋体" w:asciiTheme="minorEastAsia" w:hAnsiTheme="minorEastAsia" w:eastAsiaTheme="minorEastAsia"/>
                <w:color w:val="auto"/>
                <w:szCs w:val="21"/>
                <w:highlight w:val="none"/>
              </w:rPr>
              <w:t>C</w:t>
            </w:r>
          </w:p>
        </w:tc>
        <w:tc>
          <w:tcPr>
            <w:tcW w:w="1069" w:type="dxa"/>
            <w:vMerge w:val="restart"/>
            <w:vAlign w:val="center"/>
          </w:tcPr>
          <w:p w14:paraId="03D9B123">
            <w:pPr>
              <w:pStyle w:val="276"/>
              <w:adjustRightInd w:val="0"/>
              <w:snapToGrid w:val="0"/>
              <w:spacing w:line="400" w:lineRule="exact"/>
              <w:ind w:left="315" w:leftChars="50" w:hanging="210" w:hangingChars="100"/>
              <w:rPr>
                <w:rFonts w:cs="宋体" w:asciiTheme="minorEastAsia" w:hAnsiTheme="minorEastAsia" w:eastAsiaTheme="minorEastAsia"/>
                <w:color w:val="auto"/>
                <w:szCs w:val="21"/>
                <w:highlight w:val="none"/>
                <w:u w:val="single"/>
              </w:rPr>
            </w:pP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分</w:t>
            </w:r>
            <w:r>
              <w:rPr>
                <w:rStyle w:val="58"/>
                <w:rFonts w:cs="宋体" w:asciiTheme="minorEastAsia" w:hAnsiTheme="minorEastAsia" w:eastAsiaTheme="minorEastAsia"/>
                <w:color w:val="auto"/>
                <w:szCs w:val="21"/>
                <w:highlight w:val="none"/>
              </w:rPr>
              <w:footnoteReference w:id="107"/>
            </w:r>
          </w:p>
        </w:tc>
        <w:tc>
          <w:tcPr>
            <w:tcW w:w="1402" w:type="dxa"/>
            <w:vAlign w:val="center"/>
          </w:tcPr>
          <w:p w14:paraId="40266BBA">
            <w:pPr>
              <w:pStyle w:val="276"/>
              <w:adjustRightInd w:val="0"/>
              <w:snapToGri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w:t>
            </w:r>
            <w:r>
              <w:rPr>
                <w:rFonts w:ascii="宋体" w:hAnsi="宋体" w:cs="宋体"/>
                <w:b/>
                <w:color w:val="auto"/>
                <w:szCs w:val="21"/>
                <w:highlight w:val="none"/>
              </w:rPr>
              <w:t>1）业绩基本要求C</w:t>
            </w:r>
            <w:r>
              <w:rPr>
                <w:rFonts w:ascii="宋体" w:hAnsi="宋体" w:cs="宋体"/>
                <w:b/>
                <w:color w:val="auto"/>
                <w:szCs w:val="21"/>
                <w:highlight w:val="none"/>
                <w:vertAlign w:val="subscript"/>
              </w:rPr>
              <w:t>0</w:t>
            </w:r>
          </w:p>
        </w:tc>
        <w:tc>
          <w:tcPr>
            <w:tcW w:w="709" w:type="dxa"/>
            <w:vAlign w:val="center"/>
          </w:tcPr>
          <w:p w14:paraId="180ECAA7">
            <w:pPr>
              <w:pStyle w:val="276"/>
              <w:adjustRightInd w:val="0"/>
              <w:snapToGrid w:val="0"/>
              <w:spacing w:line="400" w:lineRule="exact"/>
              <w:ind w:left="105" w:hanging="105" w:hangingChars="50"/>
              <w:rPr>
                <w:rFonts w:cs="宋体" w:asciiTheme="minorEastAsia" w:hAnsiTheme="minorEastAsia" w:eastAsiaTheme="minorEastAsia"/>
                <w:color w:val="auto"/>
                <w:szCs w:val="21"/>
                <w:highlight w:val="none"/>
                <w:u w:val="single"/>
              </w:rPr>
            </w:pP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分</w:t>
            </w:r>
          </w:p>
        </w:tc>
        <w:tc>
          <w:tcPr>
            <w:tcW w:w="3764" w:type="dxa"/>
            <w:vAlign w:val="center"/>
          </w:tcPr>
          <w:p w14:paraId="4EE1FB9F">
            <w:pPr>
              <w:pStyle w:val="276"/>
              <w:adjustRightInd w:val="0"/>
              <w:snapToGrid w:val="0"/>
              <w:spacing w:line="40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1）满足资格审查条件最低要求得</w:t>
            </w:r>
          </w:p>
          <w:p w14:paraId="62A6DC37">
            <w:pPr>
              <w:pStyle w:val="276"/>
              <w:adjustRightInd w:val="0"/>
              <w:snapToGrid w:val="0"/>
              <w:spacing w:line="400" w:lineRule="exact"/>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分；</w:t>
            </w:r>
          </w:p>
        </w:tc>
      </w:tr>
      <w:tr w14:paraId="35731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875" w:type="dxa"/>
            <w:vMerge w:val="continue"/>
            <w:vAlign w:val="center"/>
          </w:tcPr>
          <w:p w14:paraId="2B360B7C">
            <w:pPr>
              <w:pStyle w:val="276"/>
              <w:adjustRightInd w:val="0"/>
              <w:snapToGrid w:val="0"/>
              <w:spacing w:line="400" w:lineRule="exact"/>
              <w:jc w:val="center"/>
              <w:rPr>
                <w:rFonts w:cs="宋体" w:asciiTheme="minorEastAsia" w:hAnsiTheme="minorEastAsia" w:eastAsiaTheme="minorEastAsia"/>
                <w:color w:val="auto"/>
                <w:szCs w:val="21"/>
                <w:highlight w:val="none"/>
              </w:rPr>
            </w:pPr>
          </w:p>
        </w:tc>
        <w:tc>
          <w:tcPr>
            <w:tcW w:w="482" w:type="dxa"/>
            <w:vMerge w:val="continue"/>
            <w:vAlign w:val="center"/>
          </w:tcPr>
          <w:p w14:paraId="420A69C5">
            <w:pPr>
              <w:pStyle w:val="276"/>
              <w:adjustRightInd w:val="0"/>
              <w:snapToGrid w:val="0"/>
              <w:spacing w:line="400" w:lineRule="exact"/>
              <w:jc w:val="center"/>
              <w:rPr>
                <w:rFonts w:cs="宋体" w:asciiTheme="minorEastAsia" w:hAnsiTheme="minorEastAsia" w:eastAsiaTheme="minorEastAsia"/>
                <w:color w:val="auto"/>
                <w:szCs w:val="21"/>
                <w:highlight w:val="none"/>
              </w:rPr>
            </w:pPr>
          </w:p>
        </w:tc>
        <w:tc>
          <w:tcPr>
            <w:tcW w:w="766" w:type="dxa"/>
            <w:vMerge w:val="continue"/>
            <w:vAlign w:val="center"/>
          </w:tcPr>
          <w:p w14:paraId="579ED006">
            <w:pPr>
              <w:pStyle w:val="276"/>
              <w:adjustRightInd w:val="0"/>
              <w:snapToGrid w:val="0"/>
              <w:spacing w:line="400" w:lineRule="exact"/>
              <w:jc w:val="center"/>
              <w:rPr>
                <w:rFonts w:cs="宋体" w:asciiTheme="minorEastAsia" w:hAnsiTheme="minorEastAsia" w:eastAsiaTheme="minorEastAsia"/>
                <w:color w:val="auto"/>
                <w:szCs w:val="21"/>
                <w:highlight w:val="none"/>
              </w:rPr>
            </w:pPr>
          </w:p>
        </w:tc>
        <w:tc>
          <w:tcPr>
            <w:tcW w:w="1069" w:type="dxa"/>
            <w:vMerge w:val="continue"/>
            <w:vAlign w:val="center"/>
          </w:tcPr>
          <w:p w14:paraId="285CB8AB">
            <w:pPr>
              <w:pStyle w:val="276"/>
              <w:adjustRightInd w:val="0"/>
              <w:snapToGrid w:val="0"/>
              <w:spacing w:line="400" w:lineRule="exact"/>
              <w:ind w:left="315" w:leftChars="50" w:hanging="210" w:hangingChars="100"/>
              <w:rPr>
                <w:rFonts w:cs="宋体" w:asciiTheme="minorEastAsia" w:hAnsiTheme="minorEastAsia" w:eastAsiaTheme="minorEastAsia"/>
                <w:color w:val="auto"/>
                <w:szCs w:val="21"/>
                <w:highlight w:val="none"/>
                <w:u w:val="single"/>
              </w:rPr>
            </w:pPr>
          </w:p>
        </w:tc>
        <w:tc>
          <w:tcPr>
            <w:tcW w:w="1402" w:type="dxa"/>
            <w:vAlign w:val="center"/>
          </w:tcPr>
          <w:p w14:paraId="5176159A">
            <w:pPr>
              <w:pStyle w:val="276"/>
              <w:adjustRightInd w:val="0"/>
              <w:snapToGri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公路路基土建监理试验室业绩</w:t>
            </w:r>
            <w:r>
              <w:rPr>
                <w:rFonts w:ascii="宋体" w:hAnsi="宋体" w:cs="宋体"/>
                <w:color w:val="auto"/>
                <w:szCs w:val="21"/>
                <w:highlight w:val="none"/>
                <w:u w:val="none"/>
              </w:rPr>
              <w:t>C</w:t>
            </w:r>
            <w:r>
              <w:rPr>
                <w:rFonts w:ascii="宋体" w:hAnsi="宋体" w:cs="宋体"/>
                <w:color w:val="auto"/>
                <w:szCs w:val="21"/>
                <w:highlight w:val="none"/>
                <w:u w:val="none"/>
                <w:vertAlign w:val="subscript"/>
              </w:rPr>
              <w:t>1</w:t>
            </w:r>
          </w:p>
        </w:tc>
        <w:tc>
          <w:tcPr>
            <w:tcW w:w="709" w:type="dxa"/>
            <w:vAlign w:val="center"/>
          </w:tcPr>
          <w:p w14:paraId="73D0B5FD">
            <w:pPr>
              <w:pStyle w:val="276"/>
              <w:adjustRightInd w:val="0"/>
              <w:snapToGrid w:val="0"/>
              <w:spacing w:line="400" w:lineRule="exact"/>
              <w:ind w:left="105" w:hanging="105" w:hangingChars="50"/>
              <w:rPr>
                <w:rFonts w:cs="宋体" w:asciiTheme="minorEastAsia" w:hAnsiTheme="minorEastAsia" w:eastAsiaTheme="minorEastAsia"/>
                <w:color w:val="auto"/>
                <w:szCs w:val="21"/>
                <w:highlight w:val="none"/>
                <w:u w:val="single"/>
              </w:rPr>
            </w:pP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分</w:t>
            </w:r>
          </w:p>
        </w:tc>
        <w:tc>
          <w:tcPr>
            <w:tcW w:w="3764" w:type="dxa"/>
            <w:vAlign w:val="center"/>
          </w:tcPr>
          <w:p w14:paraId="51740B88">
            <w:pPr>
              <w:pStyle w:val="276"/>
              <w:adjustRightInd w:val="0"/>
              <w:snapToGrid w:val="0"/>
              <w:spacing w:line="400" w:lineRule="exact"/>
              <w:rPr>
                <w:rFonts w:ascii="宋体" w:hAnsi="宋体" w:cs="宋体"/>
                <w:color w:val="auto"/>
                <w:kern w:val="21"/>
                <w:szCs w:val="21"/>
                <w:highlight w:val="none"/>
              </w:rPr>
            </w:pPr>
            <w:r>
              <w:rPr>
                <w:rFonts w:hint="eastAsia" w:ascii="宋体" w:hAnsi="宋体" w:cs="宋体"/>
                <w:color w:val="auto"/>
                <w:kern w:val="21"/>
                <w:szCs w:val="21"/>
                <w:highlight w:val="none"/>
              </w:rPr>
              <w:t>（</w:t>
            </w:r>
            <w:r>
              <w:rPr>
                <w:rFonts w:ascii="宋体" w:hAnsi="宋体" w:cs="宋体"/>
                <w:color w:val="auto"/>
                <w:kern w:val="21"/>
                <w:szCs w:val="21"/>
                <w:highlight w:val="none"/>
              </w:rPr>
              <w:t>2）扣除满足资格审查条件完成数量后：</w:t>
            </w:r>
          </w:p>
          <w:p w14:paraId="6F7AAB1E">
            <w:pPr>
              <w:pStyle w:val="276"/>
              <w:adjustRightInd w:val="0"/>
              <w:snapToGrid w:val="0"/>
              <w:spacing w:line="400" w:lineRule="exact"/>
              <w:ind w:left="211" w:hanging="211" w:hangingChars="1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szCs w:val="21"/>
                <w:highlight w:val="none"/>
              </w:rPr>
              <w:t>□</w:t>
            </w:r>
            <w:r>
              <w:rPr>
                <w:rFonts w:hint="eastAsia" w:cs="宋体" w:asciiTheme="minorEastAsia" w:hAnsiTheme="minorEastAsia" w:eastAsiaTheme="minorEastAsia"/>
                <w:color w:val="auto"/>
                <w:kern w:val="0"/>
                <w:szCs w:val="21"/>
                <w:highlight w:val="none"/>
              </w:rPr>
              <w:t>每增加完成</w:t>
            </w:r>
            <w:r>
              <w:rPr>
                <w:rFonts w:cs="宋体" w:asciiTheme="minorEastAsia" w:hAnsiTheme="minorEastAsia" w:eastAsiaTheme="minorEastAsia"/>
                <w:color w:val="auto"/>
                <w:kern w:val="0"/>
                <w:szCs w:val="21"/>
                <w:highlight w:val="none"/>
                <w:u w:val="single"/>
              </w:rPr>
              <w:t xml:space="preserve"> 1 </w:t>
            </w:r>
            <w:r>
              <w:rPr>
                <w:rFonts w:hint="eastAsia" w:cs="宋体" w:asciiTheme="minorEastAsia" w:hAnsiTheme="minorEastAsia" w:eastAsiaTheme="minorEastAsia"/>
                <w:color w:val="auto"/>
                <w:kern w:val="0"/>
                <w:szCs w:val="21"/>
                <w:highlight w:val="none"/>
              </w:rPr>
              <w:t>个</w:t>
            </w:r>
            <w:r>
              <w:rPr>
                <w:rFonts w:hint="eastAsia" w:cs="宋体" w:asciiTheme="minorEastAsia" w:hAnsiTheme="minorEastAsia" w:eastAsiaTheme="minorEastAsia"/>
                <w:color w:val="auto"/>
                <w:kern w:val="0"/>
                <w:szCs w:val="21"/>
                <w:highlight w:val="none"/>
                <w:lang w:val="en-US" w:eastAsia="zh-CN"/>
              </w:rPr>
              <w:t>标段长度</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公里及以上国内</w:t>
            </w:r>
            <w:r>
              <w:rPr>
                <w:rFonts w:hint="eastAsia" w:ascii="宋体" w:hAnsi="宋体" w:cs="宋体"/>
                <w:color w:val="auto"/>
                <w:szCs w:val="21"/>
                <w:highlight w:val="none"/>
              </w:rPr>
              <w:t>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cs="宋体" w:asciiTheme="minorEastAsia" w:hAnsiTheme="minorEastAsia" w:eastAsiaTheme="minorEastAsia"/>
                <w:color w:val="auto"/>
                <w:kern w:val="0"/>
                <w:szCs w:val="21"/>
                <w:highlight w:val="none"/>
              </w:rPr>
              <w:t>公路路基土建工程监理试验室项目加</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分，累计加</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分。</w:t>
            </w:r>
          </w:p>
        </w:tc>
      </w:tr>
      <w:tr w14:paraId="7977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875" w:type="dxa"/>
            <w:vMerge w:val="continue"/>
            <w:vAlign w:val="center"/>
          </w:tcPr>
          <w:p w14:paraId="7FD7BE75">
            <w:pPr>
              <w:pStyle w:val="276"/>
              <w:adjustRightInd w:val="0"/>
              <w:snapToGrid w:val="0"/>
              <w:spacing w:line="400" w:lineRule="exact"/>
              <w:jc w:val="center"/>
              <w:rPr>
                <w:rFonts w:cs="宋体" w:asciiTheme="minorEastAsia" w:hAnsiTheme="minorEastAsia" w:eastAsiaTheme="minorEastAsia"/>
                <w:color w:val="auto"/>
                <w:szCs w:val="21"/>
                <w:highlight w:val="none"/>
              </w:rPr>
            </w:pPr>
          </w:p>
        </w:tc>
        <w:tc>
          <w:tcPr>
            <w:tcW w:w="482" w:type="dxa"/>
            <w:vMerge w:val="continue"/>
            <w:vAlign w:val="center"/>
          </w:tcPr>
          <w:p w14:paraId="5E8C2CC1">
            <w:pPr>
              <w:pStyle w:val="276"/>
              <w:adjustRightInd w:val="0"/>
              <w:snapToGrid w:val="0"/>
              <w:spacing w:line="400" w:lineRule="exact"/>
              <w:jc w:val="center"/>
              <w:rPr>
                <w:rFonts w:cs="宋体" w:asciiTheme="minorEastAsia" w:hAnsiTheme="minorEastAsia" w:eastAsiaTheme="minorEastAsia"/>
                <w:color w:val="auto"/>
                <w:szCs w:val="21"/>
                <w:highlight w:val="none"/>
              </w:rPr>
            </w:pPr>
          </w:p>
        </w:tc>
        <w:tc>
          <w:tcPr>
            <w:tcW w:w="766" w:type="dxa"/>
            <w:vMerge w:val="continue"/>
            <w:vAlign w:val="center"/>
          </w:tcPr>
          <w:p w14:paraId="7B82F7E3">
            <w:pPr>
              <w:pStyle w:val="276"/>
              <w:adjustRightInd w:val="0"/>
              <w:snapToGrid w:val="0"/>
              <w:spacing w:line="400" w:lineRule="exact"/>
              <w:jc w:val="center"/>
              <w:rPr>
                <w:rFonts w:cs="宋体" w:asciiTheme="minorEastAsia" w:hAnsiTheme="minorEastAsia" w:eastAsiaTheme="minorEastAsia"/>
                <w:color w:val="auto"/>
                <w:szCs w:val="21"/>
                <w:highlight w:val="none"/>
              </w:rPr>
            </w:pPr>
          </w:p>
        </w:tc>
        <w:tc>
          <w:tcPr>
            <w:tcW w:w="1069" w:type="dxa"/>
            <w:vMerge w:val="continue"/>
            <w:vAlign w:val="center"/>
          </w:tcPr>
          <w:p w14:paraId="3DE554DF">
            <w:pPr>
              <w:pStyle w:val="276"/>
              <w:adjustRightInd w:val="0"/>
              <w:snapToGrid w:val="0"/>
              <w:spacing w:line="400" w:lineRule="exact"/>
              <w:ind w:left="315" w:leftChars="50" w:hanging="210" w:hangingChars="100"/>
              <w:rPr>
                <w:rFonts w:cs="宋体" w:asciiTheme="minorEastAsia" w:hAnsiTheme="minorEastAsia" w:eastAsiaTheme="minorEastAsia"/>
                <w:color w:val="auto"/>
                <w:szCs w:val="21"/>
                <w:highlight w:val="none"/>
                <w:u w:val="single"/>
              </w:rPr>
            </w:pPr>
          </w:p>
        </w:tc>
        <w:tc>
          <w:tcPr>
            <w:tcW w:w="1402" w:type="dxa"/>
            <w:vAlign w:val="center"/>
          </w:tcPr>
          <w:p w14:paraId="1EC04A5D">
            <w:pPr>
              <w:pStyle w:val="276"/>
              <w:adjustRightInd w:val="0"/>
              <w:snapToGrid w:val="0"/>
              <w:spacing w:line="400" w:lineRule="exact"/>
              <w:jc w:val="left"/>
              <w:rPr>
                <w:rFonts w:ascii="宋体" w:hAnsi="宋体" w:cs="宋体"/>
                <w:b/>
                <w:color w:val="auto"/>
                <w:szCs w:val="21"/>
                <w:highlight w:val="none"/>
              </w:rPr>
            </w:pPr>
            <w:r>
              <w:rPr>
                <w:rFonts w:hint="eastAsia" w:cs="宋体" w:asciiTheme="minorEastAsia" w:hAnsiTheme="minorEastAsia" w:eastAsiaTheme="minorEastAsia"/>
                <w:b/>
                <w:color w:val="auto"/>
                <w:szCs w:val="21"/>
                <w:highlight w:val="none"/>
              </w:rPr>
              <w:t>□</w:t>
            </w: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rPr>
              <w:t>公路路面监理试验室业绩</w:t>
            </w:r>
            <w:r>
              <w:rPr>
                <w:rFonts w:cs="宋体" w:asciiTheme="minorEastAsia" w:hAnsiTheme="minorEastAsia" w:eastAsiaTheme="minorEastAsia"/>
                <w:color w:val="auto"/>
                <w:szCs w:val="21"/>
                <w:highlight w:val="none"/>
                <w:u w:val="none"/>
              </w:rPr>
              <w:t>C</w:t>
            </w:r>
            <w:r>
              <w:rPr>
                <w:rFonts w:cs="宋体" w:asciiTheme="minorEastAsia" w:hAnsiTheme="minorEastAsia" w:eastAsiaTheme="minorEastAsia"/>
                <w:color w:val="auto"/>
                <w:szCs w:val="21"/>
                <w:highlight w:val="none"/>
                <w:u w:val="none"/>
                <w:vertAlign w:val="subscript"/>
              </w:rPr>
              <w:t>2</w:t>
            </w:r>
          </w:p>
        </w:tc>
        <w:tc>
          <w:tcPr>
            <w:tcW w:w="709" w:type="dxa"/>
            <w:vAlign w:val="center"/>
          </w:tcPr>
          <w:p w14:paraId="58802104">
            <w:pPr>
              <w:pStyle w:val="276"/>
              <w:adjustRightInd w:val="0"/>
              <w:snapToGrid w:val="0"/>
              <w:spacing w:line="400" w:lineRule="exact"/>
              <w:ind w:left="105" w:hanging="105" w:hangingChars="50"/>
              <w:rPr>
                <w:rFonts w:cs="宋体" w:asciiTheme="minorEastAsia" w:hAnsiTheme="minorEastAsia" w:eastAsiaTheme="minorEastAsia"/>
                <w:color w:val="auto"/>
                <w:szCs w:val="21"/>
                <w:highlight w:val="none"/>
                <w:u w:val="single"/>
              </w:rPr>
            </w:pP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分</w:t>
            </w:r>
          </w:p>
        </w:tc>
        <w:tc>
          <w:tcPr>
            <w:tcW w:w="3764" w:type="dxa"/>
            <w:vAlign w:val="center"/>
          </w:tcPr>
          <w:p w14:paraId="1AB4B7CD">
            <w:pPr>
              <w:pStyle w:val="276"/>
              <w:adjustRightInd w:val="0"/>
              <w:snapToGrid w:val="0"/>
              <w:spacing w:line="400" w:lineRule="exact"/>
              <w:ind w:left="211" w:hanging="210" w:hangingChars="1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3</w:t>
            </w:r>
            <w:r>
              <w:rPr>
                <w:rFonts w:hint="eastAsia" w:cs="宋体" w:asciiTheme="minorEastAsia" w:hAnsiTheme="minorEastAsia" w:eastAsiaTheme="minorEastAsia"/>
                <w:color w:val="auto"/>
                <w:kern w:val="0"/>
                <w:szCs w:val="21"/>
                <w:highlight w:val="none"/>
              </w:rPr>
              <w:t>）扣除满足资格审查条件完成数量后：</w:t>
            </w:r>
          </w:p>
          <w:p w14:paraId="1C328907">
            <w:pPr>
              <w:pStyle w:val="276"/>
              <w:adjustRightInd w:val="0"/>
              <w:snapToGrid w:val="0"/>
              <w:spacing w:line="400" w:lineRule="exact"/>
              <w:ind w:left="211" w:leftChars="0" w:hanging="211" w:hangingChars="100"/>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color w:val="auto"/>
                <w:szCs w:val="21"/>
                <w:highlight w:val="none"/>
              </w:rPr>
              <w:t>□</w:t>
            </w:r>
            <w:r>
              <w:rPr>
                <w:rFonts w:hint="eastAsia" w:cs="宋体" w:asciiTheme="minorEastAsia" w:hAnsiTheme="minorEastAsia" w:eastAsiaTheme="minorEastAsia"/>
                <w:color w:val="auto"/>
                <w:kern w:val="0"/>
                <w:szCs w:val="21"/>
                <w:highlight w:val="none"/>
              </w:rPr>
              <w:t>每增加完成</w:t>
            </w:r>
            <w:r>
              <w:rPr>
                <w:rFonts w:cs="宋体" w:asciiTheme="minorEastAsia" w:hAnsiTheme="minorEastAsia" w:eastAsiaTheme="minorEastAsia"/>
                <w:color w:val="auto"/>
                <w:kern w:val="0"/>
                <w:szCs w:val="21"/>
                <w:highlight w:val="none"/>
                <w:u w:val="single"/>
              </w:rPr>
              <w:t>1</w:t>
            </w:r>
            <w:r>
              <w:rPr>
                <w:rFonts w:hint="eastAsia" w:cs="宋体" w:asciiTheme="minorEastAsia" w:hAnsiTheme="minorEastAsia" w:eastAsiaTheme="minorEastAsia"/>
                <w:color w:val="auto"/>
                <w:kern w:val="0"/>
                <w:szCs w:val="21"/>
                <w:highlight w:val="none"/>
              </w:rPr>
              <w:t>个</w:t>
            </w:r>
            <w:r>
              <w:rPr>
                <w:rFonts w:hint="eastAsia" w:cs="宋体" w:asciiTheme="minorEastAsia" w:hAnsiTheme="minorEastAsia" w:eastAsiaTheme="minorEastAsia"/>
                <w:color w:val="auto"/>
                <w:kern w:val="0"/>
                <w:szCs w:val="21"/>
                <w:highlight w:val="none"/>
                <w:lang w:val="en-US" w:eastAsia="zh-CN"/>
              </w:rPr>
              <w:t>标段长度</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 xml:space="preserve">  </w:t>
            </w: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kern w:val="0"/>
                <w:szCs w:val="21"/>
                <w:highlight w:val="none"/>
              </w:rPr>
              <w:t>公里及以上国内</w:t>
            </w:r>
            <w:r>
              <w:rPr>
                <w:rFonts w:hint="eastAsia" w:ascii="宋体" w:hAnsi="宋体" w:cs="宋体"/>
                <w:color w:val="auto"/>
                <w:szCs w:val="21"/>
                <w:highlight w:val="none"/>
              </w:rPr>
              <w:t>新建或改扩建</w:t>
            </w:r>
            <w:r>
              <w:rPr>
                <w:rFonts w:ascii="宋体" w:hAnsi="宋体" w:cs="宋体"/>
                <w:color w:val="auto"/>
                <w:szCs w:val="21"/>
                <w:highlight w:val="none"/>
                <w:u w:val="single"/>
              </w:rPr>
              <w:t xml:space="preserve">   </w:t>
            </w:r>
            <w:r>
              <w:rPr>
                <w:rFonts w:ascii="宋体" w:hAnsi="宋体" w:cs="宋体"/>
                <w:color w:val="auto"/>
                <w:szCs w:val="21"/>
                <w:highlight w:val="none"/>
              </w:rPr>
              <w:t>级及以上</w:t>
            </w:r>
            <w:r>
              <w:rPr>
                <w:rFonts w:hint="eastAsia" w:cs="宋体" w:asciiTheme="minorEastAsia" w:hAnsiTheme="minorEastAsia" w:eastAsiaTheme="minorEastAsia"/>
                <w:color w:val="auto"/>
                <w:kern w:val="0"/>
                <w:szCs w:val="21"/>
                <w:highlight w:val="none"/>
              </w:rPr>
              <w:t>公路路面工程监理试验室项目加</w:t>
            </w:r>
            <w:r>
              <w:rPr>
                <w:rFonts w:hint="eastAsia"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color w:val="auto"/>
                <w:kern w:val="0"/>
                <w:szCs w:val="21"/>
                <w:highlight w:val="none"/>
                <w:u w:val="single"/>
                <w:lang w:val="en-US" w:eastAsia="zh-CN"/>
              </w:rPr>
              <w:t xml:space="preserve"> </w:t>
            </w:r>
            <w:r>
              <w:rPr>
                <w:rFonts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color w:val="auto"/>
                <w:kern w:val="0"/>
                <w:szCs w:val="21"/>
                <w:highlight w:val="none"/>
              </w:rPr>
              <w:t>分，累计加</w:t>
            </w:r>
            <w:r>
              <w:rPr>
                <w:rFonts w:cs="宋体" w:asciiTheme="minorEastAsia" w:hAnsiTheme="minorEastAsia" w:eastAsiaTheme="minorEastAsia"/>
                <w:color w:val="auto"/>
                <w:szCs w:val="21"/>
                <w:highlight w:val="none"/>
                <w:u w:val="single"/>
              </w:rPr>
              <w:t xml:space="preserve">   </w:t>
            </w:r>
            <w:r>
              <w:rPr>
                <w:rFonts w:cs="宋体" w:asciiTheme="minorEastAsia" w:hAnsiTheme="minorEastAsia" w:eastAsiaTheme="minorEastAsia"/>
                <w:color w:val="auto"/>
                <w:kern w:val="0"/>
                <w:szCs w:val="21"/>
                <w:highlight w:val="none"/>
                <w:u w:val="single"/>
              </w:rPr>
              <w:t xml:space="preserve"> </w:t>
            </w:r>
            <w:r>
              <w:rPr>
                <w:rFonts w:hint="eastAsia" w:cs="宋体" w:asciiTheme="minorEastAsia" w:hAnsiTheme="minorEastAsia" w:eastAsiaTheme="minorEastAsia"/>
                <w:color w:val="auto"/>
                <w:kern w:val="0"/>
                <w:szCs w:val="21"/>
                <w:highlight w:val="none"/>
              </w:rPr>
              <w:t>分。</w:t>
            </w:r>
          </w:p>
        </w:tc>
      </w:tr>
      <w:tr w14:paraId="5770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875" w:type="dxa"/>
            <w:vMerge w:val="continue"/>
            <w:vAlign w:val="center"/>
          </w:tcPr>
          <w:p w14:paraId="46E03E51">
            <w:pPr>
              <w:pStyle w:val="276"/>
              <w:adjustRightInd w:val="0"/>
              <w:snapToGrid w:val="0"/>
              <w:spacing w:line="400" w:lineRule="exact"/>
              <w:jc w:val="center"/>
              <w:rPr>
                <w:rFonts w:cs="宋体" w:asciiTheme="minorEastAsia" w:hAnsiTheme="minorEastAsia" w:eastAsiaTheme="minorEastAsia"/>
                <w:color w:val="auto"/>
                <w:szCs w:val="21"/>
                <w:highlight w:val="none"/>
              </w:rPr>
            </w:pPr>
          </w:p>
        </w:tc>
        <w:tc>
          <w:tcPr>
            <w:tcW w:w="482" w:type="dxa"/>
            <w:vMerge w:val="continue"/>
            <w:vAlign w:val="center"/>
          </w:tcPr>
          <w:p w14:paraId="4CE43529">
            <w:pPr>
              <w:pStyle w:val="276"/>
              <w:adjustRightInd w:val="0"/>
              <w:snapToGrid w:val="0"/>
              <w:spacing w:line="400" w:lineRule="exact"/>
              <w:jc w:val="center"/>
              <w:rPr>
                <w:rFonts w:cs="宋体" w:asciiTheme="minorEastAsia" w:hAnsiTheme="minorEastAsia" w:eastAsiaTheme="minorEastAsia"/>
                <w:color w:val="auto"/>
                <w:szCs w:val="21"/>
                <w:highlight w:val="none"/>
              </w:rPr>
            </w:pPr>
          </w:p>
        </w:tc>
        <w:tc>
          <w:tcPr>
            <w:tcW w:w="766" w:type="dxa"/>
            <w:vMerge w:val="continue"/>
            <w:vAlign w:val="center"/>
          </w:tcPr>
          <w:p w14:paraId="2C3E2053">
            <w:pPr>
              <w:pStyle w:val="276"/>
              <w:adjustRightInd w:val="0"/>
              <w:snapToGrid w:val="0"/>
              <w:spacing w:line="400" w:lineRule="exact"/>
              <w:jc w:val="center"/>
              <w:rPr>
                <w:rFonts w:cs="宋体" w:asciiTheme="minorEastAsia" w:hAnsiTheme="minorEastAsia" w:eastAsiaTheme="minorEastAsia"/>
                <w:color w:val="auto"/>
                <w:szCs w:val="21"/>
                <w:highlight w:val="none"/>
              </w:rPr>
            </w:pPr>
          </w:p>
        </w:tc>
        <w:tc>
          <w:tcPr>
            <w:tcW w:w="1069" w:type="dxa"/>
            <w:vMerge w:val="continue"/>
            <w:vAlign w:val="center"/>
          </w:tcPr>
          <w:p w14:paraId="22B4012E">
            <w:pPr>
              <w:pStyle w:val="276"/>
              <w:adjustRightInd w:val="0"/>
              <w:snapToGrid w:val="0"/>
              <w:spacing w:line="400" w:lineRule="exact"/>
              <w:ind w:left="315" w:leftChars="50" w:hanging="210" w:hangingChars="100"/>
              <w:rPr>
                <w:rFonts w:cs="宋体" w:asciiTheme="minorEastAsia" w:hAnsiTheme="minorEastAsia" w:eastAsiaTheme="minorEastAsia"/>
                <w:color w:val="auto"/>
                <w:szCs w:val="21"/>
                <w:highlight w:val="none"/>
              </w:rPr>
            </w:pPr>
          </w:p>
        </w:tc>
        <w:tc>
          <w:tcPr>
            <w:tcW w:w="1402" w:type="dxa"/>
            <w:vAlign w:val="center"/>
          </w:tcPr>
          <w:p w14:paraId="66F5359C">
            <w:pPr>
              <w:pStyle w:val="276"/>
              <w:adjustRightInd w:val="0"/>
              <w:snapToGrid w:val="0"/>
              <w:spacing w:line="400" w:lineRule="exact"/>
              <w:jc w:val="left"/>
              <w:rPr>
                <w:rFonts w:ascii="宋体" w:hAnsi="宋体" w:cs="宋体"/>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4）其他</w:t>
            </w:r>
            <w:r>
              <w:rPr>
                <w:rFonts w:cs="宋体" w:asciiTheme="minorEastAsia" w:hAnsiTheme="minorEastAsia" w:eastAsiaTheme="minorEastAsia"/>
                <w:color w:val="auto"/>
                <w:szCs w:val="21"/>
                <w:highlight w:val="none"/>
                <w:u w:val="none"/>
              </w:rPr>
              <w:t>C</w:t>
            </w:r>
            <w:r>
              <w:rPr>
                <w:rFonts w:cs="宋体" w:asciiTheme="minorEastAsia" w:hAnsiTheme="minorEastAsia" w:eastAsiaTheme="minorEastAsia"/>
                <w:color w:val="auto"/>
                <w:szCs w:val="21"/>
                <w:highlight w:val="none"/>
                <w:u w:val="none"/>
                <w:vertAlign w:val="subscript"/>
              </w:rPr>
              <w:t>3</w:t>
            </w:r>
            <w:r>
              <w:rPr>
                <w:rFonts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u w:val="single"/>
              </w:rPr>
              <w:t xml:space="preserve">       </w:t>
            </w:r>
          </w:p>
        </w:tc>
        <w:tc>
          <w:tcPr>
            <w:tcW w:w="709" w:type="dxa"/>
            <w:vAlign w:val="center"/>
          </w:tcPr>
          <w:p w14:paraId="79ED5EA9">
            <w:pPr>
              <w:pStyle w:val="276"/>
              <w:adjustRightInd w:val="0"/>
              <w:snapToGrid w:val="0"/>
              <w:spacing w:line="400" w:lineRule="exact"/>
              <w:ind w:left="105" w:hanging="105" w:hangingChars="5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分</w:t>
            </w:r>
          </w:p>
        </w:tc>
        <w:tc>
          <w:tcPr>
            <w:tcW w:w="3764" w:type="dxa"/>
            <w:vAlign w:val="center"/>
          </w:tcPr>
          <w:p w14:paraId="43AD54EE">
            <w:pPr>
              <w:pStyle w:val="276"/>
              <w:adjustRightInd w:val="0"/>
              <w:snapToGrid w:val="0"/>
              <w:spacing w:line="37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u w:val="single"/>
              </w:rPr>
              <w:t xml:space="preserve">        </w:t>
            </w:r>
          </w:p>
        </w:tc>
      </w:tr>
      <w:tr w14:paraId="5B9F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75" w:type="dxa"/>
            <w:vMerge w:val="continue"/>
            <w:vAlign w:val="center"/>
          </w:tcPr>
          <w:p w14:paraId="062D7891">
            <w:pPr>
              <w:pStyle w:val="276"/>
              <w:adjustRightInd w:val="0"/>
              <w:snapToGrid w:val="0"/>
              <w:spacing w:line="400" w:lineRule="exact"/>
              <w:jc w:val="center"/>
              <w:rPr>
                <w:rFonts w:cs="宋体" w:asciiTheme="minorEastAsia" w:hAnsiTheme="minorEastAsia" w:eastAsiaTheme="minorEastAsia"/>
                <w:color w:val="auto"/>
                <w:szCs w:val="21"/>
                <w:highlight w:val="none"/>
              </w:rPr>
            </w:pPr>
          </w:p>
        </w:tc>
        <w:tc>
          <w:tcPr>
            <w:tcW w:w="482" w:type="dxa"/>
            <w:vMerge w:val="continue"/>
            <w:vAlign w:val="center"/>
          </w:tcPr>
          <w:p w14:paraId="68E51CF9">
            <w:pPr>
              <w:pStyle w:val="276"/>
              <w:adjustRightInd w:val="0"/>
              <w:snapToGrid w:val="0"/>
              <w:spacing w:line="400" w:lineRule="exact"/>
              <w:jc w:val="center"/>
              <w:rPr>
                <w:rFonts w:cs="宋体" w:asciiTheme="minorEastAsia" w:hAnsiTheme="minorEastAsia" w:eastAsiaTheme="minorEastAsia"/>
                <w:color w:val="auto"/>
                <w:szCs w:val="21"/>
                <w:highlight w:val="none"/>
              </w:rPr>
            </w:pPr>
          </w:p>
        </w:tc>
        <w:tc>
          <w:tcPr>
            <w:tcW w:w="766" w:type="dxa"/>
            <w:vMerge w:val="continue"/>
            <w:vAlign w:val="center"/>
          </w:tcPr>
          <w:p w14:paraId="291421B0">
            <w:pPr>
              <w:pStyle w:val="276"/>
              <w:adjustRightInd w:val="0"/>
              <w:snapToGrid w:val="0"/>
              <w:spacing w:line="400" w:lineRule="exact"/>
              <w:jc w:val="center"/>
              <w:rPr>
                <w:rFonts w:cs="宋体" w:asciiTheme="minorEastAsia" w:hAnsiTheme="minorEastAsia" w:eastAsiaTheme="minorEastAsia"/>
                <w:color w:val="auto"/>
                <w:szCs w:val="21"/>
                <w:highlight w:val="none"/>
              </w:rPr>
            </w:pPr>
          </w:p>
        </w:tc>
        <w:tc>
          <w:tcPr>
            <w:tcW w:w="1069" w:type="dxa"/>
            <w:vMerge w:val="continue"/>
            <w:vAlign w:val="center"/>
          </w:tcPr>
          <w:p w14:paraId="4AE36406">
            <w:pPr>
              <w:pStyle w:val="276"/>
              <w:adjustRightInd w:val="0"/>
              <w:snapToGrid w:val="0"/>
              <w:spacing w:line="400" w:lineRule="exact"/>
              <w:ind w:left="315" w:leftChars="50" w:hanging="210" w:hangingChars="100"/>
              <w:rPr>
                <w:rFonts w:cs="宋体" w:asciiTheme="minorEastAsia" w:hAnsiTheme="minorEastAsia" w:eastAsiaTheme="minorEastAsia"/>
                <w:color w:val="auto"/>
                <w:szCs w:val="21"/>
                <w:highlight w:val="none"/>
              </w:rPr>
            </w:pPr>
          </w:p>
        </w:tc>
        <w:tc>
          <w:tcPr>
            <w:tcW w:w="5875" w:type="dxa"/>
            <w:gridSpan w:val="3"/>
            <w:vAlign w:val="center"/>
          </w:tcPr>
          <w:p w14:paraId="61B6723D">
            <w:pPr>
              <w:pStyle w:val="276"/>
              <w:adjustRightInd w:val="0"/>
              <w:snapToGrid w:val="0"/>
              <w:spacing w:line="370" w:lineRule="exact"/>
              <w:jc w:val="left"/>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kern w:val="0"/>
                <w:szCs w:val="21"/>
                <w:highlight w:val="none"/>
              </w:rPr>
              <w:t>满足资格审查条件</w:t>
            </w:r>
            <w:r>
              <w:rPr>
                <w:rFonts w:cs="宋体" w:asciiTheme="minorEastAsia" w:hAnsiTheme="minorEastAsia" w:eastAsiaTheme="minorEastAsia"/>
                <w:color w:val="auto"/>
                <w:kern w:val="0"/>
                <w:szCs w:val="21"/>
                <w:highlight w:val="none"/>
              </w:rPr>
              <w:t>最低要求得分</w:t>
            </w:r>
            <w:r>
              <w:rPr>
                <w:rFonts w:hint="eastAsia" w:cs="宋体" w:asciiTheme="minorEastAsia" w:hAnsiTheme="minorEastAsia" w:eastAsiaTheme="minorEastAsia"/>
                <w:color w:val="auto"/>
                <w:szCs w:val="21"/>
                <w:highlight w:val="none"/>
              </w:rPr>
              <w:t>与扣除</w:t>
            </w:r>
            <w:r>
              <w:rPr>
                <w:rFonts w:cs="宋体" w:asciiTheme="minorEastAsia" w:hAnsiTheme="minorEastAsia" w:eastAsiaTheme="minorEastAsia"/>
                <w:color w:val="auto"/>
                <w:szCs w:val="21"/>
                <w:highlight w:val="none"/>
              </w:rPr>
              <w:t>满足资格审查条件完成数量后的</w:t>
            </w:r>
            <w:r>
              <w:rPr>
                <w:rFonts w:hint="eastAsia" w:cs="宋体" w:asciiTheme="minorEastAsia" w:hAnsiTheme="minorEastAsia" w:eastAsiaTheme="minorEastAsia"/>
                <w:color w:val="auto"/>
                <w:szCs w:val="21"/>
                <w:highlight w:val="none"/>
              </w:rPr>
              <w:t>所有</w:t>
            </w:r>
            <w:r>
              <w:rPr>
                <w:rFonts w:cs="宋体" w:asciiTheme="minorEastAsia" w:hAnsiTheme="minorEastAsia" w:eastAsiaTheme="minorEastAsia"/>
                <w:color w:val="auto"/>
                <w:szCs w:val="21"/>
                <w:highlight w:val="none"/>
              </w:rPr>
              <w:t>加分项</w:t>
            </w:r>
            <w:r>
              <w:rPr>
                <w:rFonts w:hint="eastAsia" w:cs="宋体" w:asciiTheme="minorEastAsia" w:hAnsiTheme="minorEastAsia" w:eastAsiaTheme="minorEastAsia"/>
                <w:color w:val="auto"/>
                <w:szCs w:val="21"/>
                <w:highlight w:val="none"/>
              </w:rPr>
              <w:t>合计得分最多至满分</w:t>
            </w:r>
            <w:r>
              <w:rPr>
                <w:rFonts w:hint="eastAsia" w:cs="宋体" w:asciiTheme="minorEastAsia" w:hAnsiTheme="minorEastAsia" w:eastAsiaTheme="minorEastAsia"/>
                <w:color w:val="auto"/>
                <w:kern w:val="0"/>
                <w:szCs w:val="21"/>
                <w:highlight w:val="none"/>
              </w:rPr>
              <w:t>为止。</w:t>
            </w:r>
          </w:p>
        </w:tc>
      </w:tr>
      <w:tr w14:paraId="6C9B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restart"/>
            <w:vAlign w:val="center"/>
          </w:tcPr>
          <w:p w14:paraId="300C21BB">
            <w:pPr>
              <w:pStyle w:val="276"/>
              <w:adjustRightInd w:val="0"/>
              <w:snapToGrid w:val="0"/>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cs="宋体" w:asciiTheme="minorEastAsia" w:hAnsiTheme="minorEastAsia" w:eastAsiaTheme="minorEastAsia"/>
                <w:color w:val="auto"/>
                <w:szCs w:val="21"/>
                <w:highlight w:val="none"/>
              </w:rPr>
              <w:t>2.2.4（4）</w:t>
            </w:r>
          </w:p>
        </w:tc>
        <w:tc>
          <w:tcPr>
            <w:tcW w:w="482" w:type="dxa"/>
            <w:vMerge w:val="restart"/>
            <w:vAlign w:val="center"/>
          </w:tcPr>
          <w:p w14:paraId="02AF417B">
            <w:pPr>
              <w:pStyle w:val="276"/>
              <w:adjustRightInd w:val="0"/>
              <w:snapToGrid w:val="0"/>
              <w:spacing w:line="400" w:lineRule="exact"/>
              <w:jc w:val="center"/>
              <w:rPr>
                <w:rFonts w:cs="宋体" w:asciiTheme="minorEastAsia" w:hAnsiTheme="minorEastAsia" w:eastAsiaTheme="minorEastAsia"/>
                <w:color w:val="auto"/>
                <w:kern w:val="2"/>
                <w:sz w:val="21"/>
                <w:szCs w:val="21"/>
                <w:highlight w:val="none"/>
                <w:lang w:val="en-US" w:eastAsia="zh-CN" w:bidi="ar-SA"/>
              </w:rPr>
            </w:pPr>
            <w:r>
              <w:rPr>
                <w:rFonts w:hint="eastAsia" w:cs="宋体" w:asciiTheme="minorEastAsia" w:hAnsiTheme="minorEastAsia" w:eastAsiaTheme="minorEastAsia"/>
                <w:color w:val="auto"/>
                <w:szCs w:val="21"/>
                <w:highlight w:val="none"/>
              </w:rPr>
              <w:t>其他因素</w:t>
            </w:r>
            <w:r>
              <w:rPr>
                <w:rFonts w:cs="宋体" w:asciiTheme="minorEastAsia" w:hAnsiTheme="minorEastAsia" w:eastAsiaTheme="minorEastAsia"/>
                <w:color w:val="auto"/>
                <w:szCs w:val="21"/>
                <w:highlight w:val="none"/>
              </w:rPr>
              <w:t>D</w:t>
            </w:r>
          </w:p>
        </w:tc>
        <w:tc>
          <w:tcPr>
            <w:tcW w:w="766" w:type="dxa"/>
            <w:vMerge w:val="restart"/>
            <w:vAlign w:val="center"/>
          </w:tcPr>
          <w:p w14:paraId="4C977DA0">
            <w:pPr>
              <w:pStyle w:val="276"/>
              <w:adjustRightInd w:val="0"/>
              <w:snapToGrid w:val="0"/>
              <w:spacing w:line="400" w:lineRule="exact"/>
              <w:jc w:val="center"/>
              <w:rPr>
                <w:rFonts w:cs="宋体" w:asciiTheme="minorEastAsia" w:hAnsiTheme="minorEastAsia" w:eastAsiaTheme="minorEastAsia"/>
                <w:color w:val="auto"/>
                <w:szCs w:val="21"/>
                <w:highlight w:val="none"/>
              </w:rPr>
            </w:pPr>
            <w:r>
              <w:rPr>
                <w:rFonts w:hint="eastAsia" w:ascii="宋体" w:hAnsi="宋体" w:cs="宋体"/>
                <w:color w:val="auto"/>
                <w:szCs w:val="21"/>
                <w:highlight w:val="none"/>
              </w:rPr>
              <w:t>履约信誉</w:t>
            </w:r>
            <w:r>
              <w:rPr>
                <w:rStyle w:val="58"/>
                <w:rFonts w:ascii="宋体" w:hAnsi="宋体" w:cs="宋体"/>
                <w:color w:val="auto"/>
                <w:szCs w:val="21"/>
                <w:highlight w:val="none"/>
              </w:rPr>
              <w:footnoteReference w:id="108"/>
            </w:r>
            <w:r>
              <w:rPr>
                <w:rFonts w:ascii="宋体" w:hAnsi="宋体" w:cs="宋体"/>
                <w:color w:val="auto"/>
                <w:szCs w:val="21"/>
                <w:highlight w:val="none"/>
                <w:u w:val="none"/>
              </w:rPr>
              <w:t>H</w:t>
            </w:r>
          </w:p>
        </w:tc>
        <w:tc>
          <w:tcPr>
            <w:tcW w:w="1069" w:type="dxa"/>
            <w:vMerge w:val="restart"/>
            <w:vAlign w:val="center"/>
          </w:tcPr>
          <w:p w14:paraId="125FF4EA">
            <w:pPr>
              <w:pStyle w:val="276"/>
              <w:adjustRightInd w:val="0"/>
              <w:snapToGrid w:val="0"/>
              <w:spacing w:line="400" w:lineRule="exact"/>
              <w:ind w:left="315" w:leftChars="100" w:hanging="105" w:hangingChars="50"/>
              <w:rPr>
                <w:rFonts w:cs="宋体" w:asciiTheme="minorEastAsia" w:hAnsiTheme="minorEastAsia" w:eastAsiaTheme="minorEastAsia"/>
                <w:color w:val="auto"/>
                <w:szCs w:val="21"/>
                <w:highlight w:val="none"/>
                <w:u w:val="singl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402" w:type="dxa"/>
            <w:vAlign w:val="center"/>
          </w:tcPr>
          <w:p w14:paraId="7B2530DD">
            <w:pPr>
              <w:pStyle w:val="276"/>
              <w:adjustRightInd w:val="0"/>
              <w:snapToGrid w:val="0"/>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投标人在四川省</w:t>
            </w:r>
            <w:r>
              <w:rPr>
                <w:rFonts w:hint="eastAsia" w:cs="宋体" w:asciiTheme="minorEastAsia" w:hAnsiTheme="minorEastAsia" w:eastAsiaTheme="minorEastAsia"/>
                <w:color w:val="auto"/>
                <w:szCs w:val="21"/>
                <w:highlight w:val="none"/>
                <w:lang w:val="en-US" w:eastAsia="zh-CN"/>
              </w:rPr>
              <w:t>交通运输厅公布的</w:t>
            </w:r>
            <w:r>
              <w:rPr>
                <w:rFonts w:hint="eastAsia" w:ascii="宋体" w:hAnsi="宋体" w:cs="宋体"/>
                <w:bCs/>
                <w:color w:val="auto"/>
                <w:kern w:val="0"/>
                <w:szCs w:val="21"/>
                <w:highlight w:val="none"/>
              </w:rPr>
              <w:t>信用评价等级</w:t>
            </w:r>
            <w:r>
              <w:rPr>
                <w:rFonts w:cs="宋体" w:asciiTheme="minorEastAsia" w:hAnsiTheme="minorEastAsia" w:eastAsiaTheme="minorEastAsia"/>
                <w:color w:val="auto"/>
                <w:szCs w:val="21"/>
                <w:highlight w:val="none"/>
                <w:u w:val="none"/>
              </w:rPr>
              <w:t>H</w:t>
            </w:r>
            <w:r>
              <w:rPr>
                <w:rFonts w:cs="宋体" w:asciiTheme="minorEastAsia" w:hAnsiTheme="minorEastAsia" w:eastAsiaTheme="minorEastAsia"/>
                <w:color w:val="auto"/>
                <w:szCs w:val="21"/>
                <w:highlight w:val="none"/>
                <w:u w:val="none"/>
                <w:vertAlign w:val="subscript"/>
              </w:rPr>
              <w:t>1</w:t>
            </w:r>
          </w:p>
        </w:tc>
        <w:tc>
          <w:tcPr>
            <w:tcW w:w="709" w:type="dxa"/>
            <w:vAlign w:val="center"/>
          </w:tcPr>
          <w:p w14:paraId="61C7699C">
            <w:pPr>
              <w:pStyle w:val="276"/>
              <w:adjustRightInd w:val="0"/>
              <w:snapToGrid w:val="0"/>
              <w:spacing w:line="400" w:lineRule="exact"/>
              <w:rPr>
                <w:rFonts w:cs="宋体" w:asciiTheme="minorEastAsia" w:hAnsiTheme="minorEastAsia" w:eastAsiaTheme="minorEastAsia"/>
                <w:color w:val="auto"/>
                <w:szCs w:val="21"/>
                <w:highlight w:val="none"/>
                <w:u w:val="single"/>
              </w:rPr>
            </w:pP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分</w:t>
            </w:r>
          </w:p>
        </w:tc>
        <w:tc>
          <w:tcPr>
            <w:tcW w:w="3764" w:type="dxa"/>
            <w:vAlign w:val="center"/>
          </w:tcPr>
          <w:p w14:paraId="6ECE075F">
            <w:pPr>
              <w:adjustRightInd w:val="0"/>
              <w:snapToGrid w:val="0"/>
              <w:spacing w:line="400" w:lineRule="exact"/>
              <w:ind w:firstLine="0" w:firstLineChars="0"/>
              <w:rPr>
                <w:rFonts w:hint="eastAsia" w:cs="宋体" w:asciiTheme="minorEastAsia" w:hAnsiTheme="minorEastAsia" w:eastAsiaTheme="minorEastAsia"/>
                <w:bCs/>
                <w:color w:val="auto"/>
                <w:kern w:val="0"/>
                <w:szCs w:val="21"/>
                <w:highlight w:val="none"/>
                <w:lang w:val="en-US" w:eastAsia="zh-CN"/>
              </w:rPr>
            </w:pPr>
            <w:r>
              <w:rPr>
                <w:rFonts w:hint="eastAsia" w:cs="宋体" w:asciiTheme="minorEastAsia" w:hAnsiTheme="minorEastAsia" w:eastAsiaTheme="minorEastAsia"/>
                <w:bCs/>
                <w:color w:val="auto"/>
                <w:kern w:val="0"/>
                <w:szCs w:val="21"/>
                <w:highlight w:val="none"/>
              </w:rPr>
              <w:t>投标截止</w:t>
            </w:r>
            <w:r>
              <w:rPr>
                <w:rFonts w:hint="eastAsia" w:cs="宋体" w:asciiTheme="minorEastAsia" w:hAnsiTheme="minorEastAsia" w:eastAsiaTheme="minorEastAsia"/>
                <w:bCs/>
                <w:color w:val="auto"/>
                <w:kern w:val="0"/>
                <w:szCs w:val="21"/>
                <w:highlight w:val="none"/>
                <w:lang w:val="en-US" w:eastAsia="zh-CN"/>
              </w:rPr>
              <w:t>时间</w:t>
            </w:r>
            <w:r>
              <w:rPr>
                <w:rFonts w:hint="eastAsia" w:cs="宋体" w:asciiTheme="minorEastAsia" w:hAnsiTheme="minorEastAsia" w:eastAsiaTheme="minorEastAsia"/>
                <w:bCs/>
                <w:color w:val="auto"/>
                <w:kern w:val="0"/>
                <w:szCs w:val="21"/>
                <w:highlight w:val="none"/>
              </w:rPr>
              <w:t>在四川省交通运输厅网站公布的</w:t>
            </w:r>
            <w:r>
              <w:rPr>
                <w:rFonts w:hint="eastAsia" w:cs="宋体" w:asciiTheme="minorEastAsia" w:hAnsiTheme="minorEastAsia" w:eastAsiaTheme="minorEastAsia"/>
                <w:bCs/>
                <w:color w:val="auto"/>
                <w:kern w:val="0"/>
                <w:szCs w:val="21"/>
                <w:highlight w:val="none"/>
                <w:lang w:val="en-US" w:eastAsia="zh-CN"/>
              </w:rPr>
              <w:t>：</w:t>
            </w:r>
            <w:r>
              <w:rPr>
                <w:rFonts w:hint="eastAsia" w:ascii="宋体" w:hAnsi="宋体" w:eastAsia="宋体" w:cs="宋体"/>
                <w:b w:val="0"/>
                <w:bCs/>
                <w:color w:val="auto"/>
                <w:sz w:val="21"/>
                <w:szCs w:val="21"/>
                <w:highlight w:val="none"/>
                <w:u w:val="single"/>
              </w:rPr>
              <w:sym w:font="Wingdings 2" w:char="00A3"/>
            </w:r>
            <w:r>
              <w:rPr>
                <w:rFonts w:hint="eastAsia" w:ascii="宋体" w:hAnsi="宋体"/>
                <w:b w:val="0"/>
                <w:bCs/>
                <w:color w:val="auto"/>
                <w:sz w:val="21"/>
                <w:szCs w:val="21"/>
                <w:highlight w:val="none"/>
                <w:u w:val="single"/>
                <w:lang w:val="en-US" w:eastAsia="zh-CN"/>
              </w:rPr>
              <w:t xml:space="preserve"> </w:t>
            </w:r>
            <w:r>
              <w:rPr>
                <w:rFonts w:hint="eastAsia" w:ascii="宋体" w:hAnsi="宋体"/>
                <w:color w:val="auto"/>
                <w:sz w:val="21"/>
                <w:szCs w:val="21"/>
                <w:highlight w:val="none"/>
                <w:u w:val="single"/>
              </w:rPr>
              <w:t>四川省重点公路建设从业单位信用评价等级</w:t>
            </w:r>
            <w:r>
              <w:rPr>
                <w:rFonts w:hint="eastAsia" w:ascii="宋体" w:hAnsi="宋体"/>
                <w:color w:val="auto"/>
                <w:sz w:val="21"/>
                <w:szCs w:val="21"/>
                <w:highlight w:val="none"/>
                <w:u w:val="single"/>
                <w:lang w:eastAsia="zh-CN"/>
              </w:rPr>
              <w:t>；</w:t>
            </w:r>
            <w:r>
              <w:rPr>
                <w:rFonts w:hint="eastAsia" w:ascii="宋体" w:hAnsi="宋体" w:eastAsia="宋体" w:cs="宋体"/>
                <w:b w:val="0"/>
                <w:bCs/>
                <w:color w:val="auto"/>
                <w:sz w:val="21"/>
                <w:szCs w:val="21"/>
                <w:highlight w:val="none"/>
                <w:u w:val="single"/>
              </w:rPr>
              <w:sym w:font="Wingdings 2" w:char="00A3"/>
            </w:r>
            <w:r>
              <w:rPr>
                <w:rFonts w:hint="eastAsia" w:ascii="宋体" w:hAnsi="宋体" w:cs="宋体"/>
                <w:b w:val="0"/>
                <w:bCs/>
                <w:color w:val="auto"/>
                <w:sz w:val="21"/>
                <w:szCs w:val="21"/>
                <w:highlight w:val="none"/>
                <w:u w:val="single"/>
                <w:lang w:val="en-US" w:eastAsia="zh-CN"/>
              </w:rPr>
              <w:t>或；</w:t>
            </w:r>
            <w:r>
              <w:rPr>
                <w:rFonts w:hint="eastAsia" w:ascii="宋体" w:hAnsi="宋体"/>
                <w:b w:val="0"/>
                <w:bCs/>
                <w:color w:val="auto"/>
                <w:sz w:val="21"/>
                <w:szCs w:val="21"/>
                <w:highlight w:val="none"/>
                <w:u w:val="single"/>
              </w:rPr>
              <w:sym w:font="Wingdings 2" w:char="00A3"/>
            </w:r>
            <w:r>
              <w:rPr>
                <w:rFonts w:hint="eastAsia" w:ascii="宋体" w:hAnsi="宋体"/>
                <w:b w:val="0"/>
                <w:bCs/>
                <w:color w:val="auto"/>
                <w:sz w:val="21"/>
                <w:szCs w:val="21"/>
                <w:highlight w:val="none"/>
                <w:u w:val="single"/>
                <w:lang w:val="en-US" w:eastAsia="zh-CN"/>
              </w:rPr>
              <w:t xml:space="preserve"> </w:t>
            </w:r>
            <w:r>
              <w:rPr>
                <w:rFonts w:hint="eastAsia" w:ascii="宋体" w:hAnsi="宋体"/>
                <w:color w:val="auto"/>
                <w:sz w:val="21"/>
                <w:szCs w:val="21"/>
                <w:highlight w:val="none"/>
                <w:u w:val="single"/>
              </w:rPr>
              <w:t>四川省</w:t>
            </w:r>
            <w:r>
              <w:rPr>
                <w:rFonts w:hint="eastAsia" w:ascii="宋体" w:hAnsi="宋体"/>
                <w:color w:val="auto"/>
                <w:sz w:val="21"/>
                <w:szCs w:val="21"/>
                <w:highlight w:val="none"/>
                <w:u w:val="single"/>
                <w:lang w:val="en-US" w:eastAsia="zh-CN"/>
              </w:rPr>
              <w:t>农村公路建设从业单位信用评价等级</w:t>
            </w:r>
            <w:r>
              <w:rPr>
                <w:rFonts w:hint="eastAsia" w:ascii="宋体" w:hAnsi="宋体"/>
                <w:color w:val="auto"/>
                <w:sz w:val="21"/>
                <w:szCs w:val="21"/>
                <w:highlight w:val="none"/>
                <w:u w:val="none"/>
                <w:lang w:val="en-US" w:eastAsia="zh-CN"/>
              </w:rPr>
              <w:t>。</w:t>
            </w:r>
          </w:p>
          <w:p w14:paraId="32911543">
            <w:pPr>
              <w:keepNext w:val="0"/>
              <w:keepLines w:val="0"/>
              <w:pageBreakBefore w:val="0"/>
              <w:widowControl/>
              <w:kinsoku/>
              <w:wordWrap/>
              <w:overflowPunct/>
              <w:topLinePunct w:val="0"/>
              <w:autoSpaceDE/>
              <w:autoSpaceDN/>
              <w:bidi w:val="0"/>
              <w:spacing w:line="400" w:lineRule="exact"/>
              <w:ind w:firstLine="210" w:firstLineChars="100"/>
              <w:textAlignment w:val="auto"/>
              <w:rPr>
                <w:rFonts w:hint="eastAsia"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AA</w:t>
            </w:r>
            <w:r>
              <w:rPr>
                <w:rFonts w:hint="eastAsia" w:cs="宋体" w:asciiTheme="minorEastAsia" w:hAnsiTheme="minorEastAsia" w:eastAsiaTheme="minorEastAsia"/>
                <w:bCs/>
                <w:color w:val="auto"/>
                <w:kern w:val="0"/>
                <w:szCs w:val="21"/>
                <w:highlight w:val="none"/>
              </w:rPr>
              <w:t>级及以上得</w:t>
            </w:r>
            <w:r>
              <w:rPr>
                <w:rFonts w:hint="eastAsia" w:cs="宋体" w:asciiTheme="minorEastAsia" w:hAnsiTheme="minorEastAsia" w:eastAsiaTheme="minorEastAsia"/>
                <w:bCs/>
                <w:color w:val="auto"/>
                <w:kern w:val="0"/>
                <w:szCs w:val="21"/>
                <w:highlight w:val="none"/>
                <w:lang w:val="en-US" w:eastAsia="zh-CN"/>
              </w:rPr>
              <w:t>分：</w:t>
            </w:r>
            <w:r>
              <w:rPr>
                <w:rFonts w:hint="eastAsia" w:cs="宋体" w:asciiTheme="minorEastAsia" w:hAnsiTheme="minorEastAsia" w:eastAsiaTheme="minorEastAsia"/>
                <w:bCs/>
                <w:color w:val="auto"/>
                <w:kern w:val="0"/>
                <w:szCs w:val="21"/>
                <w:highlight w:val="none"/>
                <w:u w:val="single"/>
                <w:lang w:val="en-US" w:eastAsia="zh-CN"/>
              </w:rPr>
              <w:t>信用评价等级</w:t>
            </w:r>
            <w:r>
              <w:rPr>
                <w:rFonts w:hint="eastAsia" w:cs="宋体" w:asciiTheme="minorEastAsia" w:hAnsiTheme="minorEastAsia" w:eastAsiaTheme="minorEastAsia"/>
                <w:bCs/>
                <w:color w:val="auto"/>
                <w:kern w:val="0"/>
                <w:szCs w:val="21"/>
                <w:highlight w:val="none"/>
                <w:u w:val="single"/>
              </w:rPr>
              <w:t>权重</w:t>
            </w:r>
            <w:r>
              <w:rPr>
                <w:rFonts w:hint="eastAsia" w:cs="宋体" w:asciiTheme="minorEastAsia" w:hAnsiTheme="minorEastAsia" w:eastAsiaTheme="minorEastAsia"/>
                <w:bCs/>
                <w:color w:val="auto"/>
                <w:kern w:val="0"/>
                <w:szCs w:val="21"/>
                <w:highlight w:val="none"/>
                <w:u w:val="single"/>
                <w:lang w:val="en-US" w:eastAsia="zh-CN"/>
              </w:rPr>
              <w:t>分值</w:t>
            </w:r>
            <w:r>
              <w:rPr>
                <w:rFonts w:hint="eastAsia" w:cs="宋体" w:asciiTheme="minorEastAsia" w:hAnsiTheme="minorEastAsia" w:eastAsiaTheme="minorEastAsia"/>
                <w:bCs/>
                <w:color w:val="auto"/>
                <w:kern w:val="0"/>
                <w:szCs w:val="21"/>
                <w:highlight w:val="none"/>
                <w:u w:val="single"/>
              </w:rPr>
              <w:t>×</w:t>
            </w:r>
            <w:r>
              <w:rPr>
                <w:rFonts w:cs="宋体" w:asciiTheme="minorEastAsia" w:hAnsiTheme="minorEastAsia" w:eastAsiaTheme="minorEastAsia"/>
                <w:bCs/>
                <w:color w:val="auto"/>
                <w:kern w:val="0"/>
                <w:szCs w:val="21"/>
                <w:highlight w:val="none"/>
                <w:u w:val="single"/>
              </w:rPr>
              <w:t>1.0</w:t>
            </w:r>
            <w:r>
              <w:rPr>
                <w:rFonts w:hint="eastAsia" w:cs="宋体" w:asciiTheme="minorEastAsia" w:hAnsiTheme="minorEastAsia" w:eastAsiaTheme="minorEastAsia"/>
                <w:bCs/>
                <w:color w:val="auto"/>
                <w:kern w:val="0"/>
                <w:szCs w:val="21"/>
                <w:highlight w:val="none"/>
              </w:rPr>
              <w:t>，</w:t>
            </w:r>
          </w:p>
          <w:p w14:paraId="342DF612">
            <w:pPr>
              <w:keepNext w:val="0"/>
              <w:keepLines w:val="0"/>
              <w:pageBreakBefore w:val="0"/>
              <w:widowControl/>
              <w:kinsoku/>
              <w:wordWrap/>
              <w:overflowPunct/>
              <w:topLinePunct w:val="0"/>
              <w:autoSpaceDE/>
              <w:autoSpaceDN/>
              <w:bidi w:val="0"/>
              <w:spacing w:line="400" w:lineRule="exac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A</w:t>
            </w:r>
            <w:r>
              <w:rPr>
                <w:rFonts w:hint="eastAsia" w:cs="宋体" w:asciiTheme="minorEastAsia" w:hAnsiTheme="minorEastAsia" w:eastAsiaTheme="minorEastAsia"/>
                <w:bCs/>
                <w:color w:val="auto"/>
                <w:kern w:val="0"/>
                <w:szCs w:val="21"/>
                <w:highlight w:val="none"/>
              </w:rPr>
              <w:t>级得</w:t>
            </w:r>
            <w:r>
              <w:rPr>
                <w:rFonts w:hint="eastAsia" w:cs="宋体" w:asciiTheme="minorEastAsia" w:hAnsiTheme="minorEastAsia" w:eastAsiaTheme="minorEastAsia"/>
                <w:bCs/>
                <w:color w:val="auto"/>
                <w:kern w:val="0"/>
                <w:szCs w:val="21"/>
                <w:highlight w:val="none"/>
                <w:lang w:val="en-US" w:eastAsia="zh-CN"/>
              </w:rPr>
              <w:t>分：</w:t>
            </w:r>
            <w:r>
              <w:rPr>
                <w:rFonts w:hint="eastAsia" w:cs="宋体" w:asciiTheme="minorEastAsia" w:hAnsiTheme="minorEastAsia" w:eastAsiaTheme="minorEastAsia"/>
                <w:bCs/>
                <w:color w:val="auto"/>
                <w:kern w:val="0"/>
                <w:szCs w:val="21"/>
                <w:highlight w:val="none"/>
                <w:u w:val="single"/>
                <w:lang w:val="en-US" w:eastAsia="zh-CN"/>
              </w:rPr>
              <w:t>信用评价等级</w:t>
            </w:r>
            <w:r>
              <w:rPr>
                <w:rFonts w:hint="eastAsia" w:cs="宋体" w:asciiTheme="minorEastAsia" w:hAnsiTheme="minorEastAsia" w:eastAsiaTheme="minorEastAsia"/>
                <w:bCs/>
                <w:color w:val="auto"/>
                <w:kern w:val="0"/>
                <w:szCs w:val="21"/>
                <w:highlight w:val="none"/>
                <w:u w:val="single"/>
              </w:rPr>
              <w:t>权重</w:t>
            </w:r>
            <w:r>
              <w:rPr>
                <w:rFonts w:hint="eastAsia" w:cs="宋体" w:asciiTheme="minorEastAsia" w:hAnsiTheme="minorEastAsia" w:eastAsiaTheme="minorEastAsia"/>
                <w:bCs/>
                <w:color w:val="auto"/>
                <w:kern w:val="0"/>
                <w:szCs w:val="21"/>
                <w:highlight w:val="none"/>
                <w:u w:val="single"/>
                <w:lang w:val="en-US" w:eastAsia="zh-CN"/>
              </w:rPr>
              <w:t>分值</w:t>
            </w:r>
            <w:r>
              <w:rPr>
                <w:rFonts w:hint="eastAsia" w:cs="宋体" w:asciiTheme="minorEastAsia" w:hAnsiTheme="minorEastAsia" w:eastAsiaTheme="minorEastAsia"/>
                <w:bCs/>
                <w:color w:val="auto"/>
                <w:kern w:val="0"/>
                <w:szCs w:val="21"/>
                <w:highlight w:val="none"/>
                <w:u w:val="single"/>
              </w:rPr>
              <w:t>×</w:t>
            </w:r>
            <w:r>
              <w:rPr>
                <w:rFonts w:cs="宋体" w:asciiTheme="minorEastAsia" w:hAnsiTheme="minorEastAsia" w:eastAsiaTheme="minorEastAsia"/>
                <w:bCs/>
                <w:color w:val="auto"/>
                <w:kern w:val="0"/>
                <w:szCs w:val="21"/>
                <w:highlight w:val="none"/>
                <w:u w:val="single"/>
              </w:rPr>
              <w:t>0.8</w:t>
            </w:r>
            <w:r>
              <w:rPr>
                <w:rFonts w:cs="宋体" w:asciiTheme="minorEastAsia" w:hAnsiTheme="minorEastAsia" w:eastAsiaTheme="minorEastAsia"/>
                <w:bCs/>
                <w:color w:val="auto"/>
                <w:kern w:val="0"/>
                <w:szCs w:val="21"/>
                <w:highlight w:val="none"/>
              </w:rPr>
              <w:t>，</w:t>
            </w:r>
          </w:p>
          <w:p w14:paraId="00A6F6A1">
            <w:pPr>
              <w:keepNext w:val="0"/>
              <w:keepLines w:val="0"/>
              <w:pageBreakBefore w:val="0"/>
              <w:widowControl/>
              <w:kinsoku/>
              <w:wordWrap/>
              <w:overflowPunct/>
              <w:topLinePunct w:val="0"/>
              <w:autoSpaceDE/>
              <w:autoSpaceDN/>
              <w:bidi w:val="0"/>
              <w:spacing w:line="400" w:lineRule="exact"/>
              <w:ind w:firstLine="210" w:firstLineChars="100"/>
              <w:textAlignment w:val="auto"/>
              <w:rPr>
                <w:rFonts w:cs="宋体" w:asciiTheme="minorEastAsia" w:hAnsiTheme="minorEastAsia" w:eastAsiaTheme="minorEastAsia"/>
                <w:bCs/>
                <w:color w:val="auto"/>
                <w:kern w:val="0"/>
                <w:szCs w:val="21"/>
                <w:highlight w:val="none"/>
              </w:rPr>
            </w:pPr>
            <w:r>
              <w:rPr>
                <w:rFonts w:cs="宋体" w:asciiTheme="minorEastAsia" w:hAnsiTheme="minorEastAsia" w:eastAsiaTheme="minorEastAsia"/>
                <w:bCs/>
                <w:color w:val="auto"/>
                <w:kern w:val="0"/>
                <w:szCs w:val="21"/>
                <w:highlight w:val="none"/>
              </w:rPr>
              <w:t>B级得</w:t>
            </w:r>
            <w:r>
              <w:rPr>
                <w:rFonts w:hint="eastAsia" w:cs="宋体" w:asciiTheme="minorEastAsia" w:hAnsiTheme="minorEastAsia" w:eastAsiaTheme="minorEastAsia"/>
                <w:bCs/>
                <w:color w:val="auto"/>
                <w:kern w:val="0"/>
                <w:szCs w:val="21"/>
                <w:highlight w:val="none"/>
                <w:lang w:val="en-US" w:eastAsia="zh-CN"/>
              </w:rPr>
              <w:t>分：</w:t>
            </w:r>
            <w:r>
              <w:rPr>
                <w:rFonts w:hint="eastAsia" w:cs="宋体" w:asciiTheme="minorEastAsia" w:hAnsiTheme="minorEastAsia" w:eastAsiaTheme="minorEastAsia"/>
                <w:bCs/>
                <w:color w:val="auto"/>
                <w:kern w:val="0"/>
                <w:szCs w:val="21"/>
                <w:highlight w:val="none"/>
                <w:u w:val="single"/>
                <w:lang w:val="en-US" w:eastAsia="zh-CN"/>
              </w:rPr>
              <w:t>信用评价等级</w:t>
            </w:r>
            <w:r>
              <w:rPr>
                <w:rFonts w:hint="eastAsia" w:cs="宋体" w:asciiTheme="minorEastAsia" w:hAnsiTheme="minorEastAsia" w:eastAsiaTheme="minorEastAsia"/>
                <w:bCs/>
                <w:color w:val="auto"/>
                <w:kern w:val="0"/>
                <w:szCs w:val="21"/>
                <w:highlight w:val="none"/>
                <w:u w:val="single"/>
              </w:rPr>
              <w:t>权重</w:t>
            </w:r>
            <w:r>
              <w:rPr>
                <w:rFonts w:hint="eastAsia" w:cs="宋体" w:asciiTheme="minorEastAsia" w:hAnsiTheme="minorEastAsia" w:eastAsiaTheme="minorEastAsia"/>
                <w:bCs/>
                <w:color w:val="auto"/>
                <w:kern w:val="0"/>
                <w:szCs w:val="21"/>
                <w:highlight w:val="none"/>
                <w:u w:val="single"/>
                <w:lang w:val="en-US" w:eastAsia="zh-CN"/>
              </w:rPr>
              <w:t>分值</w:t>
            </w:r>
            <w:r>
              <w:rPr>
                <w:rFonts w:hint="eastAsia" w:cs="宋体" w:asciiTheme="minorEastAsia" w:hAnsiTheme="minorEastAsia" w:eastAsiaTheme="minorEastAsia"/>
                <w:bCs/>
                <w:color w:val="auto"/>
                <w:kern w:val="0"/>
                <w:szCs w:val="21"/>
                <w:highlight w:val="none"/>
                <w:u w:val="single"/>
              </w:rPr>
              <w:t>×</w:t>
            </w:r>
            <w:r>
              <w:rPr>
                <w:rFonts w:cs="宋体" w:asciiTheme="minorEastAsia" w:hAnsiTheme="minorEastAsia" w:eastAsiaTheme="minorEastAsia"/>
                <w:bCs/>
                <w:color w:val="auto"/>
                <w:kern w:val="0"/>
                <w:szCs w:val="21"/>
                <w:highlight w:val="none"/>
                <w:u w:val="single"/>
              </w:rPr>
              <w:t>0.6</w:t>
            </w:r>
            <w:r>
              <w:rPr>
                <w:rFonts w:cs="宋体" w:asciiTheme="minorEastAsia" w:hAnsiTheme="minorEastAsia" w:eastAsiaTheme="minorEastAsia"/>
                <w:bCs/>
                <w:color w:val="auto"/>
                <w:kern w:val="0"/>
                <w:szCs w:val="21"/>
                <w:highlight w:val="none"/>
              </w:rPr>
              <w:t>，</w:t>
            </w:r>
          </w:p>
          <w:p w14:paraId="4D7E7393">
            <w:pPr>
              <w:widowControl/>
              <w:adjustRightInd w:val="0"/>
              <w:snapToGrid w:val="0"/>
              <w:spacing w:line="400" w:lineRule="exact"/>
              <w:ind w:firstLine="210" w:firstLineChars="100"/>
              <w:rPr>
                <w:rFonts w:hint="eastAsia" w:ascii="宋体" w:hAnsi="宋体" w:cs="宋体"/>
                <w:bCs/>
                <w:color w:val="auto"/>
                <w:kern w:val="0"/>
                <w:szCs w:val="21"/>
                <w:highlight w:val="none"/>
              </w:rPr>
            </w:pPr>
            <w:r>
              <w:rPr>
                <w:rFonts w:cs="宋体" w:asciiTheme="minorEastAsia" w:hAnsiTheme="minorEastAsia" w:eastAsiaTheme="minorEastAsia"/>
                <w:bCs/>
                <w:color w:val="auto"/>
                <w:kern w:val="0"/>
                <w:szCs w:val="21"/>
                <w:highlight w:val="none"/>
              </w:rPr>
              <w:t>C级得</w:t>
            </w:r>
            <w:r>
              <w:rPr>
                <w:rFonts w:hint="eastAsia" w:cs="宋体" w:asciiTheme="minorEastAsia" w:hAnsiTheme="minorEastAsia" w:eastAsiaTheme="minorEastAsia"/>
                <w:bCs/>
                <w:color w:val="auto"/>
                <w:kern w:val="0"/>
                <w:szCs w:val="21"/>
                <w:highlight w:val="none"/>
                <w:lang w:val="en-US" w:eastAsia="zh-CN"/>
              </w:rPr>
              <w:t>分：</w:t>
            </w:r>
            <w:r>
              <w:rPr>
                <w:rFonts w:hint="eastAsia" w:cs="宋体" w:asciiTheme="minorEastAsia" w:hAnsiTheme="minorEastAsia" w:eastAsiaTheme="minorEastAsia"/>
                <w:bCs/>
                <w:color w:val="auto"/>
                <w:kern w:val="0"/>
                <w:szCs w:val="21"/>
                <w:highlight w:val="none"/>
                <w:u w:val="single"/>
                <w:lang w:val="en-US" w:eastAsia="zh-CN"/>
              </w:rPr>
              <w:t xml:space="preserve"> </w:t>
            </w:r>
            <w:r>
              <w:rPr>
                <w:rFonts w:cs="宋体" w:asciiTheme="minorEastAsia" w:hAnsiTheme="minorEastAsia" w:eastAsiaTheme="minorEastAsia"/>
                <w:bCs/>
                <w:color w:val="auto"/>
                <w:kern w:val="0"/>
                <w:szCs w:val="21"/>
                <w:highlight w:val="none"/>
                <w:u w:val="single"/>
              </w:rPr>
              <w:t>0</w:t>
            </w:r>
            <w:r>
              <w:rPr>
                <w:rFonts w:hint="eastAsia" w:cs="宋体" w:asciiTheme="minorEastAsia" w:hAnsiTheme="minorEastAsia" w:eastAsiaTheme="minorEastAsia"/>
                <w:bCs/>
                <w:color w:val="auto"/>
                <w:kern w:val="0"/>
                <w:szCs w:val="21"/>
                <w:highlight w:val="none"/>
                <w:u w:val="single"/>
                <w:lang w:val="en-US" w:eastAsia="zh-CN"/>
              </w:rPr>
              <w:t xml:space="preserve"> </w:t>
            </w:r>
            <w:r>
              <w:rPr>
                <w:rFonts w:ascii="宋体" w:hAnsi="宋体"/>
                <w:color w:val="auto"/>
                <w:szCs w:val="21"/>
                <w:highlight w:val="none"/>
              </w:rPr>
              <w:t>。</w:t>
            </w:r>
          </w:p>
          <w:p w14:paraId="26468A8A">
            <w:pPr>
              <w:pStyle w:val="276"/>
              <w:adjustRightInd w:val="0"/>
              <w:snapToGrid w:val="0"/>
              <w:spacing w:line="400" w:lineRule="exact"/>
              <w:rPr>
                <w:rFonts w:cs="宋体" w:asciiTheme="minorEastAsia" w:hAnsiTheme="minorEastAsia" w:eastAsiaTheme="minorEastAsia"/>
                <w:color w:val="auto"/>
                <w:spacing w:val="-8"/>
                <w:kern w:val="0"/>
                <w:szCs w:val="21"/>
                <w:highlight w:val="none"/>
              </w:rPr>
            </w:pPr>
            <w:r>
              <w:rPr>
                <w:rFonts w:hint="eastAsia" w:ascii="宋体" w:hAnsi="宋体" w:cs="宋体"/>
                <w:bCs/>
                <w:color w:val="auto"/>
                <w:kern w:val="0"/>
                <w:szCs w:val="21"/>
                <w:highlight w:val="none"/>
              </w:rPr>
              <w:t>注：</w:t>
            </w:r>
            <w:r>
              <w:rPr>
                <w:rFonts w:hint="eastAsia" w:ascii="宋体" w:hAnsi="宋体" w:cs="宋体"/>
                <w:szCs w:val="21"/>
              </w:rPr>
              <w:t>允许联合体投标时，以联合体形式投标的，投标人</w:t>
            </w:r>
            <w:r>
              <w:rPr>
                <w:rFonts w:ascii="宋体" w:hAnsi="宋体" w:cs="宋体"/>
                <w:szCs w:val="21"/>
              </w:rPr>
              <w:t>在</w:t>
            </w:r>
            <w:r>
              <w:rPr>
                <w:rFonts w:hint="eastAsia" w:ascii="宋体" w:hAnsi="宋体" w:cs="宋体"/>
                <w:szCs w:val="21"/>
                <w:lang w:val="en-US" w:eastAsia="zh-CN"/>
              </w:rPr>
              <w:t>上述同一信用评价体系的</w:t>
            </w:r>
            <w:r>
              <w:rPr>
                <w:rFonts w:hint="eastAsia" w:ascii="宋体" w:hAnsi="宋体" w:cs="宋体"/>
                <w:szCs w:val="21"/>
              </w:rPr>
              <w:t>信用</w:t>
            </w:r>
            <w:r>
              <w:rPr>
                <w:rFonts w:ascii="宋体" w:hAnsi="宋体" w:cs="宋体"/>
                <w:szCs w:val="21"/>
              </w:rPr>
              <w:t>评价等级</w:t>
            </w:r>
            <w:r>
              <w:rPr>
                <w:rFonts w:hint="eastAsia" w:ascii="宋体" w:hAnsi="宋体" w:cs="宋体"/>
                <w:szCs w:val="21"/>
              </w:rPr>
              <w:t>以联合体中信用评价等级低的为准</w:t>
            </w:r>
            <w:r>
              <w:rPr>
                <w:rFonts w:hint="eastAsia" w:ascii="宋体" w:hAnsi="宋体" w:cs="宋体"/>
                <w:bCs/>
                <w:color w:val="auto"/>
                <w:kern w:val="0"/>
                <w:szCs w:val="21"/>
                <w:highlight w:val="none"/>
              </w:rPr>
              <w:t>。</w:t>
            </w:r>
          </w:p>
        </w:tc>
      </w:tr>
      <w:tr w14:paraId="3DEA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75" w:type="dxa"/>
            <w:vMerge w:val="continue"/>
            <w:vAlign w:val="center"/>
          </w:tcPr>
          <w:p w14:paraId="4A6209ED">
            <w:pPr>
              <w:pStyle w:val="276"/>
              <w:adjustRightInd w:val="0"/>
              <w:snapToGrid w:val="0"/>
              <w:spacing w:line="400" w:lineRule="exact"/>
              <w:jc w:val="center"/>
              <w:rPr>
                <w:rFonts w:ascii="宋体" w:hAnsi="宋体" w:cs="宋体"/>
                <w:color w:val="auto"/>
                <w:szCs w:val="21"/>
                <w:highlight w:val="none"/>
              </w:rPr>
            </w:pPr>
          </w:p>
        </w:tc>
        <w:tc>
          <w:tcPr>
            <w:tcW w:w="482" w:type="dxa"/>
            <w:vMerge w:val="continue"/>
            <w:vAlign w:val="center"/>
          </w:tcPr>
          <w:p w14:paraId="6BA28F5B">
            <w:pPr>
              <w:pStyle w:val="276"/>
              <w:adjustRightInd w:val="0"/>
              <w:snapToGrid w:val="0"/>
              <w:spacing w:line="400" w:lineRule="exact"/>
              <w:jc w:val="center"/>
              <w:rPr>
                <w:rFonts w:cs="宋体" w:asciiTheme="minorEastAsia" w:hAnsiTheme="minorEastAsia" w:eastAsiaTheme="minorEastAsia"/>
                <w:color w:val="auto"/>
                <w:szCs w:val="21"/>
                <w:highlight w:val="none"/>
              </w:rPr>
            </w:pPr>
          </w:p>
        </w:tc>
        <w:tc>
          <w:tcPr>
            <w:tcW w:w="766" w:type="dxa"/>
            <w:vMerge w:val="continue"/>
            <w:vAlign w:val="center"/>
          </w:tcPr>
          <w:p w14:paraId="0DB1FD89">
            <w:pPr>
              <w:pStyle w:val="276"/>
              <w:adjustRightInd w:val="0"/>
              <w:snapToGrid w:val="0"/>
              <w:spacing w:line="400" w:lineRule="exact"/>
              <w:jc w:val="center"/>
              <w:rPr>
                <w:rFonts w:cs="宋体" w:asciiTheme="minorEastAsia" w:hAnsiTheme="minorEastAsia" w:eastAsiaTheme="minorEastAsia"/>
                <w:color w:val="auto"/>
                <w:szCs w:val="21"/>
                <w:highlight w:val="none"/>
              </w:rPr>
            </w:pPr>
          </w:p>
        </w:tc>
        <w:tc>
          <w:tcPr>
            <w:tcW w:w="1069" w:type="dxa"/>
            <w:vMerge w:val="continue"/>
            <w:vAlign w:val="center"/>
          </w:tcPr>
          <w:p w14:paraId="15FDFE82">
            <w:pPr>
              <w:pStyle w:val="276"/>
              <w:adjustRightInd w:val="0"/>
              <w:snapToGrid w:val="0"/>
              <w:spacing w:line="400" w:lineRule="exact"/>
              <w:ind w:left="315" w:hanging="315" w:hangingChars="150"/>
              <w:rPr>
                <w:rFonts w:cs="宋体" w:asciiTheme="minorEastAsia" w:hAnsiTheme="minorEastAsia" w:eastAsiaTheme="minorEastAsia"/>
                <w:color w:val="auto"/>
                <w:szCs w:val="21"/>
                <w:highlight w:val="none"/>
              </w:rPr>
            </w:pPr>
          </w:p>
        </w:tc>
        <w:tc>
          <w:tcPr>
            <w:tcW w:w="1402" w:type="dxa"/>
            <w:vAlign w:val="center"/>
          </w:tcPr>
          <w:p w14:paraId="5D8BED45">
            <w:pPr>
              <w:pStyle w:val="276"/>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bCs/>
                <w:color w:val="auto"/>
                <w:szCs w:val="21"/>
                <w:highlight w:val="none"/>
              </w:rPr>
              <w:t>□</w:t>
            </w:r>
            <w:r>
              <w:rPr>
                <w:rFonts w:cs="宋体" w:asciiTheme="minorEastAsia" w:hAnsiTheme="minorEastAsia" w:eastAsiaTheme="minorEastAsia"/>
                <w:color w:val="auto"/>
                <w:szCs w:val="21"/>
                <w:highlight w:val="none"/>
                <w:u w:val="single"/>
              </w:rPr>
              <w:t xml:space="preserve">         </w:t>
            </w:r>
          </w:p>
        </w:tc>
        <w:tc>
          <w:tcPr>
            <w:tcW w:w="709" w:type="dxa"/>
            <w:vAlign w:val="center"/>
          </w:tcPr>
          <w:p w14:paraId="3708B7D1">
            <w:pPr>
              <w:pStyle w:val="276"/>
              <w:adjustRightInd w:val="0"/>
              <w:snapToGrid w:val="0"/>
              <w:spacing w:line="400" w:lineRule="exact"/>
              <w:ind w:left="105" w:hanging="105" w:hangingChars="50"/>
              <w:rPr>
                <w:rFonts w:cs="宋体" w:asciiTheme="minorEastAsia" w:hAnsiTheme="minorEastAsia" w:eastAsiaTheme="minorEastAsia"/>
                <w:color w:val="auto"/>
                <w:szCs w:val="21"/>
                <w:highlight w:val="none"/>
                <w:u w:val="single"/>
              </w:rPr>
            </w:pP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分</w:t>
            </w:r>
          </w:p>
        </w:tc>
        <w:tc>
          <w:tcPr>
            <w:tcW w:w="3764" w:type="dxa"/>
            <w:vAlign w:val="center"/>
          </w:tcPr>
          <w:p w14:paraId="0F1254DF">
            <w:pPr>
              <w:pStyle w:val="276"/>
              <w:adjustRightInd w:val="0"/>
              <w:snapToGrid w:val="0"/>
              <w:spacing w:line="400" w:lineRule="exact"/>
              <w:jc w:val="left"/>
              <w:rPr>
                <w:rFonts w:cs="宋体" w:asciiTheme="minorEastAsia" w:hAnsiTheme="minorEastAsia" w:eastAsiaTheme="minorEastAsia"/>
                <w:color w:val="auto"/>
                <w:kern w:val="0"/>
                <w:szCs w:val="21"/>
                <w:highlight w:val="none"/>
              </w:rPr>
            </w:pPr>
            <w:r>
              <w:rPr>
                <w:rFonts w:cs="宋体" w:asciiTheme="minorEastAsia" w:hAnsiTheme="minorEastAsia" w:eastAsiaTheme="minorEastAsia"/>
                <w:color w:val="auto"/>
                <w:szCs w:val="21"/>
                <w:highlight w:val="none"/>
                <w:u w:val="single"/>
              </w:rPr>
              <w:t xml:space="preserve">        </w:t>
            </w:r>
          </w:p>
        </w:tc>
      </w:tr>
      <w:tr w14:paraId="650DE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 w:type="dxa"/>
            <w:vMerge w:val="continue"/>
            <w:vAlign w:val="center"/>
          </w:tcPr>
          <w:p w14:paraId="3CB5E1A0">
            <w:pPr>
              <w:pStyle w:val="276"/>
              <w:adjustRightInd w:val="0"/>
              <w:snapToGrid w:val="0"/>
              <w:spacing w:line="400" w:lineRule="exact"/>
              <w:jc w:val="center"/>
              <w:rPr>
                <w:rFonts w:cs="宋体" w:asciiTheme="minorEastAsia" w:hAnsiTheme="minorEastAsia" w:eastAsiaTheme="minorEastAsia"/>
                <w:color w:val="auto"/>
                <w:szCs w:val="21"/>
                <w:highlight w:val="none"/>
              </w:rPr>
            </w:pPr>
          </w:p>
        </w:tc>
        <w:tc>
          <w:tcPr>
            <w:tcW w:w="482" w:type="dxa"/>
            <w:vMerge w:val="continue"/>
            <w:vAlign w:val="center"/>
          </w:tcPr>
          <w:p w14:paraId="7019ECE3">
            <w:pPr>
              <w:pStyle w:val="276"/>
              <w:adjustRightInd w:val="0"/>
              <w:snapToGrid w:val="0"/>
              <w:spacing w:line="400" w:lineRule="exact"/>
              <w:jc w:val="center"/>
              <w:rPr>
                <w:rFonts w:cs="宋体" w:asciiTheme="minorEastAsia" w:hAnsiTheme="minorEastAsia" w:eastAsiaTheme="minorEastAsia"/>
                <w:color w:val="auto"/>
                <w:szCs w:val="21"/>
                <w:highlight w:val="none"/>
              </w:rPr>
            </w:pPr>
          </w:p>
        </w:tc>
        <w:tc>
          <w:tcPr>
            <w:tcW w:w="766" w:type="dxa"/>
            <w:vMerge w:val="restart"/>
            <w:vAlign w:val="center"/>
          </w:tcPr>
          <w:p w14:paraId="6337596A">
            <w:pPr>
              <w:pStyle w:val="276"/>
              <w:adjustRightInd w:val="0"/>
              <w:snapToGrid w:val="0"/>
              <w:spacing w:line="400" w:lineRule="exact"/>
              <w:rPr>
                <w:rFonts w:cs="宋体" w:asciiTheme="minorEastAsia" w:hAnsiTheme="minorEastAsia" w:eastAsiaTheme="minorEastAsia"/>
                <w:color w:val="auto"/>
                <w:szCs w:val="21"/>
                <w:highlight w:val="none"/>
              </w:rPr>
            </w:pPr>
            <w:r>
              <w:rPr>
                <w:rFonts w:hint="eastAsia" w:ascii="宋体" w:hAnsi="宋体" w:cs="宋体"/>
                <w:color w:val="auto"/>
                <w:szCs w:val="21"/>
                <w:highlight w:val="none"/>
              </w:rPr>
              <w:t>……</w:t>
            </w:r>
          </w:p>
        </w:tc>
        <w:tc>
          <w:tcPr>
            <w:tcW w:w="1069" w:type="dxa"/>
            <w:vMerge w:val="restart"/>
            <w:vAlign w:val="center"/>
          </w:tcPr>
          <w:p w14:paraId="73031C49">
            <w:pPr>
              <w:pStyle w:val="276"/>
              <w:adjustRightInd w:val="0"/>
              <w:snapToGrid w:val="0"/>
              <w:spacing w:line="400" w:lineRule="exact"/>
              <w:rPr>
                <w:rFonts w:cs="宋体" w:asciiTheme="minorEastAsia" w:hAnsiTheme="minorEastAsia" w:eastAsiaTheme="minorEastAsia"/>
                <w:color w:val="auto"/>
                <w:szCs w:val="21"/>
                <w:highlight w:val="none"/>
              </w:rPr>
            </w:pP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c>
          <w:tcPr>
            <w:tcW w:w="1402" w:type="dxa"/>
            <w:vAlign w:val="center"/>
          </w:tcPr>
          <w:p w14:paraId="4BAC14FB">
            <w:pPr>
              <w:pStyle w:val="276"/>
              <w:adjustRightInd w:val="0"/>
              <w:snapToGrid w:val="0"/>
              <w:spacing w:line="400" w:lineRule="exact"/>
              <w:rPr>
                <w:rFonts w:cs="宋体" w:asciiTheme="minorEastAsia" w:hAnsiTheme="minorEastAsia" w:eastAsiaTheme="minorEastAsia"/>
                <w:color w:val="auto"/>
                <w:szCs w:val="21"/>
                <w:highlight w:val="none"/>
              </w:rPr>
            </w:pPr>
            <w:r>
              <w:rPr>
                <w:rFonts w:hint="eastAsia" w:ascii="宋体" w:hAnsi="宋体" w:cs="宋体"/>
                <w:color w:val="auto"/>
                <w:szCs w:val="21"/>
                <w:highlight w:val="none"/>
              </w:rPr>
              <w:t>……</w:t>
            </w:r>
          </w:p>
        </w:tc>
        <w:tc>
          <w:tcPr>
            <w:tcW w:w="709" w:type="dxa"/>
            <w:vAlign w:val="center"/>
          </w:tcPr>
          <w:p w14:paraId="302BE850">
            <w:pPr>
              <w:pStyle w:val="276"/>
              <w:adjustRightInd w:val="0"/>
              <w:snapToGrid w:val="0"/>
              <w:spacing w:line="40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分</w:t>
            </w:r>
          </w:p>
        </w:tc>
        <w:tc>
          <w:tcPr>
            <w:tcW w:w="3764" w:type="dxa"/>
            <w:vAlign w:val="center"/>
          </w:tcPr>
          <w:p w14:paraId="67784F8A">
            <w:pPr>
              <w:pStyle w:val="276"/>
              <w:adjustRightInd w:val="0"/>
              <w:snapToGrid w:val="0"/>
              <w:spacing w:line="40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u w:val="single"/>
              </w:rPr>
              <w:t xml:space="preserve">        </w:t>
            </w:r>
          </w:p>
        </w:tc>
      </w:tr>
      <w:tr w14:paraId="01AED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875" w:type="dxa"/>
            <w:vMerge w:val="continue"/>
            <w:vAlign w:val="center"/>
          </w:tcPr>
          <w:p w14:paraId="6E0F47AD">
            <w:pPr>
              <w:pStyle w:val="276"/>
              <w:adjustRightInd w:val="0"/>
              <w:snapToGrid w:val="0"/>
              <w:spacing w:line="400" w:lineRule="exact"/>
              <w:jc w:val="center"/>
              <w:rPr>
                <w:rFonts w:cs="宋体" w:asciiTheme="minorEastAsia" w:hAnsiTheme="minorEastAsia" w:eastAsiaTheme="minorEastAsia"/>
                <w:color w:val="auto"/>
                <w:szCs w:val="21"/>
                <w:highlight w:val="none"/>
              </w:rPr>
            </w:pPr>
          </w:p>
        </w:tc>
        <w:tc>
          <w:tcPr>
            <w:tcW w:w="482" w:type="dxa"/>
            <w:vMerge w:val="continue"/>
            <w:vAlign w:val="center"/>
          </w:tcPr>
          <w:p w14:paraId="2D64BCFA">
            <w:pPr>
              <w:pStyle w:val="276"/>
              <w:adjustRightInd w:val="0"/>
              <w:snapToGrid w:val="0"/>
              <w:spacing w:line="400" w:lineRule="exact"/>
              <w:jc w:val="center"/>
              <w:rPr>
                <w:rFonts w:cs="宋体" w:asciiTheme="minorEastAsia" w:hAnsiTheme="minorEastAsia" w:eastAsiaTheme="minorEastAsia"/>
                <w:color w:val="auto"/>
                <w:szCs w:val="21"/>
                <w:highlight w:val="none"/>
              </w:rPr>
            </w:pPr>
          </w:p>
        </w:tc>
        <w:tc>
          <w:tcPr>
            <w:tcW w:w="766" w:type="dxa"/>
            <w:vMerge w:val="continue"/>
            <w:vAlign w:val="center"/>
          </w:tcPr>
          <w:p w14:paraId="0930A5FC">
            <w:pPr>
              <w:pStyle w:val="276"/>
              <w:adjustRightInd w:val="0"/>
              <w:snapToGrid w:val="0"/>
              <w:spacing w:line="400" w:lineRule="exact"/>
              <w:jc w:val="center"/>
              <w:rPr>
                <w:rFonts w:cs="宋体" w:asciiTheme="minorEastAsia" w:hAnsiTheme="minorEastAsia" w:eastAsiaTheme="minorEastAsia"/>
                <w:color w:val="auto"/>
                <w:szCs w:val="21"/>
                <w:highlight w:val="none"/>
              </w:rPr>
            </w:pPr>
          </w:p>
        </w:tc>
        <w:tc>
          <w:tcPr>
            <w:tcW w:w="1069" w:type="dxa"/>
            <w:vMerge w:val="continue"/>
            <w:vAlign w:val="center"/>
          </w:tcPr>
          <w:p w14:paraId="364D558C">
            <w:pPr>
              <w:pStyle w:val="276"/>
              <w:adjustRightInd w:val="0"/>
              <w:snapToGrid w:val="0"/>
              <w:spacing w:line="400" w:lineRule="exact"/>
              <w:rPr>
                <w:rFonts w:cs="宋体" w:asciiTheme="minorEastAsia" w:hAnsiTheme="minorEastAsia" w:eastAsiaTheme="minorEastAsia"/>
                <w:color w:val="auto"/>
                <w:szCs w:val="21"/>
                <w:highlight w:val="none"/>
              </w:rPr>
            </w:pPr>
          </w:p>
        </w:tc>
        <w:tc>
          <w:tcPr>
            <w:tcW w:w="1402" w:type="dxa"/>
            <w:vAlign w:val="center"/>
          </w:tcPr>
          <w:p w14:paraId="75BEA775">
            <w:pPr>
              <w:pStyle w:val="276"/>
              <w:adjustRightInd w:val="0"/>
              <w:snapToGrid w:val="0"/>
              <w:spacing w:line="400" w:lineRule="exact"/>
              <w:rPr>
                <w:rFonts w:cs="宋体" w:asciiTheme="minorEastAsia" w:hAnsiTheme="minorEastAsia" w:eastAsiaTheme="minorEastAsia"/>
                <w:color w:val="auto"/>
                <w:szCs w:val="21"/>
                <w:highlight w:val="none"/>
              </w:rPr>
            </w:pPr>
            <w:r>
              <w:rPr>
                <w:rFonts w:hint="eastAsia" w:ascii="宋体" w:hAnsi="宋体" w:cs="宋体"/>
                <w:color w:val="auto"/>
                <w:szCs w:val="21"/>
                <w:highlight w:val="none"/>
              </w:rPr>
              <w:t>……</w:t>
            </w:r>
          </w:p>
        </w:tc>
        <w:tc>
          <w:tcPr>
            <w:tcW w:w="709" w:type="dxa"/>
            <w:vAlign w:val="center"/>
          </w:tcPr>
          <w:p w14:paraId="457DC8BD">
            <w:pPr>
              <w:pStyle w:val="276"/>
              <w:adjustRightInd w:val="0"/>
              <w:snapToGrid w:val="0"/>
              <w:spacing w:line="40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分</w:t>
            </w:r>
          </w:p>
        </w:tc>
        <w:tc>
          <w:tcPr>
            <w:tcW w:w="3764" w:type="dxa"/>
            <w:vAlign w:val="center"/>
          </w:tcPr>
          <w:p w14:paraId="30B8E038">
            <w:pPr>
              <w:pStyle w:val="276"/>
              <w:adjustRightInd w:val="0"/>
              <w:snapToGrid w:val="0"/>
              <w:spacing w:line="40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u w:val="single"/>
              </w:rPr>
              <w:t xml:space="preserve">        </w:t>
            </w:r>
          </w:p>
        </w:tc>
      </w:tr>
      <w:tr w14:paraId="0EA74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067" w:type="dxa"/>
            <w:gridSpan w:val="7"/>
            <w:vAlign w:val="center"/>
          </w:tcPr>
          <w:p w14:paraId="4CC83E4D">
            <w:pPr>
              <w:adjustRightInd w:val="0"/>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需要</w:t>
            </w:r>
            <w:r>
              <w:rPr>
                <w:rFonts w:ascii="宋体" w:hAnsi="宋体" w:cs="宋体"/>
                <w:color w:val="auto"/>
                <w:szCs w:val="21"/>
                <w:highlight w:val="none"/>
              </w:rPr>
              <w:t>补充的其他内容：</w:t>
            </w:r>
          </w:p>
          <w:p w14:paraId="78204792">
            <w:pPr>
              <w:pStyle w:val="276"/>
              <w:adjustRightInd w:val="0"/>
              <w:snapToGrid w:val="0"/>
              <w:spacing w:line="400" w:lineRule="exact"/>
              <w:rPr>
                <w:rFonts w:cs="宋体" w:asciiTheme="minorEastAsia" w:hAnsiTheme="minorEastAsia" w:eastAsiaTheme="minorEastAsia"/>
                <w:color w:val="auto"/>
                <w:szCs w:val="21"/>
                <w:highlight w:val="none"/>
                <w:u w:val="single"/>
              </w:rPr>
            </w:pPr>
            <w:r>
              <w:rPr>
                <w:rFonts w:hint="eastAsia" w:ascii="宋体" w:hAnsi="宋体" w:cs="宋体"/>
                <w:color w:val="auto"/>
                <w:szCs w:val="21"/>
                <w:highlight w:val="none"/>
              </w:rPr>
              <w:t>……</w:t>
            </w:r>
          </w:p>
        </w:tc>
      </w:tr>
    </w:tbl>
    <w:p w14:paraId="1ECD0B8F">
      <w:pPr>
        <w:pStyle w:val="5"/>
        <w:rPr>
          <w:rStyle w:val="146"/>
          <w:b/>
          <w:bCs/>
        </w:rPr>
      </w:pPr>
      <w:r>
        <w:rPr>
          <w:rFonts w:ascii="宋体" w:hAnsi="宋体" w:eastAsia="宋体" w:cs="宋体"/>
          <w:color w:val="auto"/>
          <w:sz w:val="30"/>
          <w:szCs w:val="30"/>
          <w:highlight w:val="none"/>
        </w:rPr>
        <w:br w:type="page"/>
      </w:r>
      <w:bookmarkStart w:id="426" w:name="_Toc74760874"/>
      <w:bookmarkStart w:id="427" w:name="_Toc28187727"/>
      <w:r>
        <w:rPr>
          <w:rStyle w:val="146"/>
          <w:rFonts w:hint="default" w:ascii="Arial" w:hAnsi="Arial" w:eastAsia="黑体" w:cs="Times New Roman"/>
          <w:b/>
          <w:bCs/>
          <w:sz w:val="28"/>
          <w:szCs w:val="32"/>
        </w:rPr>
        <w:t>评标办法</w:t>
      </w:r>
      <w:bookmarkEnd w:id="425"/>
      <w:r>
        <w:rPr>
          <w:rStyle w:val="146"/>
          <w:rFonts w:hint="default" w:ascii="Arial" w:hAnsi="Arial" w:eastAsia="黑体" w:cs="Times New Roman"/>
          <w:b/>
          <w:bCs/>
          <w:sz w:val="28"/>
          <w:szCs w:val="32"/>
        </w:rPr>
        <w:t>（正文）</w:t>
      </w:r>
      <w:bookmarkEnd w:id="426"/>
      <w:bookmarkEnd w:id="427"/>
    </w:p>
    <w:p w14:paraId="190E74C8">
      <w:pPr>
        <w:pStyle w:val="5"/>
        <w:numPr>
          <w:ilvl w:val="-1"/>
          <w:numId w:val="0"/>
        </w:numPr>
      </w:pPr>
      <w:bookmarkStart w:id="428" w:name="_Toc523921672"/>
      <w:bookmarkStart w:id="429" w:name="_Toc74760875"/>
      <w:r>
        <w:rPr>
          <w:rFonts w:hint="eastAsia"/>
          <w:lang w:val="en-US" w:eastAsia="zh-CN"/>
        </w:rPr>
        <w:t xml:space="preserve">1. </w:t>
      </w:r>
      <w:r>
        <w:rPr>
          <w:rFonts w:hint="eastAsia"/>
        </w:rPr>
        <w:t>评标方法</w:t>
      </w:r>
      <w:bookmarkEnd w:id="428"/>
      <w:bookmarkEnd w:id="429"/>
    </w:p>
    <w:p w14:paraId="1677B2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本次评标采用综合评估法。评标委员会对满足招标文件实质性要求的投标文件，按照本章第</w:t>
      </w:r>
      <w:r>
        <w:rPr>
          <w:rFonts w:ascii="宋体" w:hAnsi="宋体" w:cs="宋体"/>
          <w:color w:val="auto"/>
          <w:sz w:val="24"/>
          <w:highlight w:val="none"/>
        </w:rPr>
        <w:t>2.2款规定的评分标准进行打分，并按得分由高到低顺序推荐中标候选人，或根据招标人授权直接确定中标人，但投标报价低于成本的除外。综合评分相等时，评标委员会按照评标办法前附表规定的优先次序推荐中标候选人或确定中标人。</w:t>
      </w:r>
    </w:p>
    <w:p w14:paraId="216E1B16">
      <w:pPr>
        <w:pStyle w:val="5"/>
      </w:pPr>
      <w:bookmarkStart w:id="430" w:name="_Toc74760876"/>
      <w:bookmarkStart w:id="431" w:name="_Toc523921673"/>
      <w:r>
        <w:rPr>
          <w:rFonts w:hint="eastAsia"/>
          <w:lang w:val="en-US" w:eastAsia="zh-CN"/>
        </w:rPr>
        <w:t xml:space="preserve">2. </w:t>
      </w:r>
      <w:r>
        <w:rPr>
          <w:rFonts w:hint="eastAsia"/>
        </w:rPr>
        <w:t>评审标准</w:t>
      </w:r>
      <w:bookmarkEnd w:id="430"/>
      <w:bookmarkEnd w:id="431"/>
    </w:p>
    <w:p w14:paraId="43C35F2F">
      <w:pPr>
        <w:pStyle w:val="6"/>
        <w:rPr>
          <w:b w:val="0"/>
          <w:bCs w:val="0"/>
        </w:rPr>
      </w:pPr>
      <w:bookmarkStart w:id="432" w:name="_Toc74760877"/>
      <w:bookmarkStart w:id="433" w:name="_Toc523921674"/>
      <w:r>
        <w:rPr>
          <w:rFonts w:hint="eastAsia"/>
          <w:b w:val="0"/>
          <w:bCs w:val="0"/>
        </w:rPr>
        <w:t>2.1</w:t>
      </w:r>
      <w:r>
        <w:rPr>
          <w:rFonts w:hint="eastAsia"/>
          <w:b w:val="0"/>
          <w:bCs w:val="0"/>
          <w:lang w:val="en-US" w:eastAsia="zh-CN"/>
        </w:rPr>
        <w:t xml:space="preserve"> </w:t>
      </w:r>
      <w:r>
        <w:rPr>
          <w:rFonts w:hint="eastAsia"/>
          <w:b w:val="0"/>
          <w:bCs w:val="0"/>
        </w:rPr>
        <w:t>初步评审标准</w:t>
      </w:r>
      <w:bookmarkEnd w:id="432"/>
      <w:bookmarkEnd w:id="433"/>
    </w:p>
    <w:p w14:paraId="4CD1A39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2.1.1 </w:t>
      </w:r>
      <w:r>
        <w:rPr>
          <w:rFonts w:hint="eastAsia" w:ascii="宋体" w:hAnsi="宋体" w:cs="宋体"/>
          <w:color w:val="auto"/>
          <w:sz w:val="24"/>
          <w:highlight w:val="none"/>
        </w:rPr>
        <w:t>形式评审标准：见评标办法前附表。</w:t>
      </w:r>
    </w:p>
    <w:p w14:paraId="7406F5B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2.1.2 </w:t>
      </w:r>
      <w:r>
        <w:rPr>
          <w:rFonts w:hint="eastAsia" w:ascii="宋体" w:hAnsi="宋体" w:cs="宋体"/>
          <w:color w:val="auto"/>
          <w:sz w:val="24"/>
          <w:highlight w:val="none"/>
        </w:rPr>
        <w:t>资格评审标准：见评标办法前附表。</w:t>
      </w:r>
    </w:p>
    <w:p w14:paraId="73A11AC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2.1.3 </w:t>
      </w:r>
      <w:r>
        <w:rPr>
          <w:rFonts w:hint="eastAsia" w:ascii="宋体" w:hAnsi="宋体" w:cs="宋体"/>
          <w:color w:val="auto"/>
          <w:sz w:val="24"/>
          <w:highlight w:val="none"/>
        </w:rPr>
        <w:t>响应性评审标准：见评标办法前附表。</w:t>
      </w:r>
    </w:p>
    <w:p w14:paraId="624AC7C8">
      <w:pPr>
        <w:pStyle w:val="6"/>
        <w:rPr>
          <w:rFonts w:hint="eastAsia" w:ascii="Calibri" w:hAnsi="Calibri"/>
          <w:b w:val="0"/>
          <w:bCs w:val="0"/>
          <w:sz w:val="28"/>
          <w:szCs w:val="32"/>
        </w:rPr>
      </w:pPr>
      <w:bookmarkStart w:id="434" w:name="_Toc523921675"/>
      <w:bookmarkStart w:id="435" w:name="_Toc74760878"/>
      <w:r>
        <w:rPr>
          <w:rFonts w:hint="eastAsia" w:ascii="Calibri" w:hAnsi="Calibri"/>
          <w:b w:val="0"/>
          <w:bCs w:val="0"/>
          <w:sz w:val="28"/>
          <w:szCs w:val="32"/>
        </w:rPr>
        <w:t>2.2</w:t>
      </w:r>
      <w:r>
        <w:rPr>
          <w:rFonts w:hint="eastAsia"/>
          <w:b w:val="0"/>
          <w:bCs w:val="0"/>
          <w:sz w:val="28"/>
          <w:szCs w:val="32"/>
          <w:lang w:val="en-US" w:eastAsia="zh-CN"/>
        </w:rPr>
        <w:t xml:space="preserve"> </w:t>
      </w:r>
      <w:r>
        <w:rPr>
          <w:rFonts w:hint="eastAsia" w:ascii="Calibri" w:hAnsi="Calibri"/>
          <w:b w:val="0"/>
          <w:bCs w:val="0"/>
          <w:sz w:val="28"/>
          <w:szCs w:val="32"/>
        </w:rPr>
        <w:t>分值构成与评分标准</w:t>
      </w:r>
      <w:bookmarkEnd w:id="434"/>
      <w:bookmarkEnd w:id="435"/>
    </w:p>
    <w:p w14:paraId="278895E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2.2.1分值构成</w:t>
      </w:r>
    </w:p>
    <w:p w14:paraId="41B726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1）技术建议书：见评标办法前附表；</w:t>
      </w:r>
    </w:p>
    <w:p w14:paraId="14EAE3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2）主要人员：见评标办法前附表；</w:t>
      </w:r>
    </w:p>
    <w:p w14:paraId="070F16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3）评标价：见评标办法前附表；</w:t>
      </w:r>
    </w:p>
    <w:p w14:paraId="013F3C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4）其他评分因素：见评标办法前附表。</w:t>
      </w:r>
    </w:p>
    <w:p w14:paraId="64030EE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2.2.2  </w:t>
      </w:r>
      <w:r>
        <w:rPr>
          <w:rFonts w:hint="eastAsia" w:ascii="宋体" w:hAnsi="宋体" w:cs="宋体"/>
          <w:color w:val="auto"/>
          <w:sz w:val="24"/>
          <w:highlight w:val="none"/>
        </w:rPr>
        <w:t>评标基准价计算</w:t>
      </w:r>
    </w:p>
    <w:p w14:paraId="19A7CE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评标基准价计算方法：见评标办法前附表。</w:t>
      </w:r>
    </w:p>
    <w:p w14:paraId="11B3EC8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2.2.3评标价的偏差率计算</w:t>
      </w:r>
    </w:p>
    <w:p w14:paraId="57F5CF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评标价的偏差率计算公式：见评标办法前附表。</w:t>
      </w:r>
    </w:p>
    <w:p w14:paraId="1A30CBB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2.2.4 </w:t>
      </w:r>
      <w:r>
        <w:rPr>
          <w:rFonts w:hint="eastAsia" w:ascii="宋体" w:hAnsi="宋体" w:cs="宋体"/>
          <w:color w:val="auto"/>
          <w:sz w:val="24"/>
          <w:highlight w:val="none"/>
        </w:rPr>
        <w:t>评分标准</w:t>
      </w:r>
    </w:p>
    <w:p w14:paraId="0AF9A5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1）技术建议书评分标准：见评标办法前附表；</w:t>
      </w:r>
    </w:p>
    <w:p w14:paraId="6B2DC2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2）主要人员评分标准：见评标办法前附表；</w:t>
      </w:r>
    </w:p>
    <w:p w14:paraId="772071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3）评标价评分标准：见评标办法前附表；</w:t>
      </w:r>
    </w:p>
    <w:p w14:paraId="4215CA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4）其他因素评分标准：见评标办法前附表。</w:t>
      </w:r>
      <w:bookmarkStart w:id="436" w:name="_Toc523921676"/>
    </w:p>
    <w:p w14:paraId="5D2A8101">
      <w:pPr>
        <w:pStyle w:val="5"/>
        <w:rPr>
          <w:rFonts w:hint="eastAsia" w:ascii="Arial" w:hAnsi="Arial"/>
          <w:b/>
          <w:sz w:val="28"/>
          <w:szCs w:val="32"/>
        </w:rPr>
      </w:pPr>
      <w:bookmarkStart w:id="437" w:name="_Toc74760879"/>
      <w:r>
        <w:rPr>
          <w:rFonts w:hint="eastAsia" w:ascii="Arial" w:hAnsi="Arial"/>
          <w:b/>
          <w:sz w:val="28"/>
          <w:szCs w:val="32"/>
        </w:rPr>
        <w:t>3</w:t>
      </w:r>
      <w:r>
        <w:rPr>
          <w:rFonts w:hint="eastAsia" w:ascii="Arial" w:hAnsi="Arial"/>
          <w:b/>
          <w:sz w:val="28"/>
          <w:szCs w:val="32"/>
          <w:lang w:val="en-US" w:eastAsia="zh-CN"/>
        </w:rPr>
        <w:t xml:space="preserve">. </w:t>
      </w:r>
      <w:r>
        <w:rPr>
          <w:rFonts w:hint="eastAsia" w:ascii="Arial" w:hAnsi="Arial"/>
          <w:b/>
          <w:sz w:val="28"/>
          <w:szCs w:val="32"/>
        </w:rPr>
        <w:t>评标程序</w:t>
      </w:r>
      <w:bookmarkEnd w:id="436"/>
      <w:bookmarkEnd w:id="437"/>
    </w:p>
    <w:p w14:paraId="2336AFBB">
      <w:pPr>
        <w:pStyle w:val="6"/>
        <w:rPr>
          <w:rFonts w:hint="eastAsia" w:ascii="Calibri" w:hAnsi="Calibri"/>
          <w:b w:val="0"/>
          <w:bCs w:val="0"/>
          <w:sz w:val="28"/>
          <w:szCs w:val="32"/>
        </w:rPr>
      </w:pPr>
      <w:bookmarkStart w:id="438" w:name="_Toc74760880"/>
      <w:bookmarkStart w:id="439" w:name="_Toc523921677"/>
      <w:r>
        <w:rPr>
          <w:rFonts w:hint="eastAsia" w:ascii="Calibri" w:hAnsi="Calibri"/>
          <w:b w:val="0"/>
          <w:bCs w:val="0"/>
          <w:sz w:val="28"/>
          <w:szCs w:val="32"/>
        </w:rPr>
        <w:t>3.1 第一个信封初步评审</w:t>
      </w:r>
      <w:bookmarkEnd w:id="438"/>
      <w:bookmarkEnd w:id="439"/>
      <w:r>
        <w:rPr>
          <w:rFonts w:hint="eastAsia" w:ascii="Calibri" w:hAnsi="Calibri"/>
          <w:b w:val="0"/>
          <w:bCs w:val="0"/>
          <w:sz w:val="28"/>
          <w:szCs w:val="32"/>
        </w:rPr>
        <w:t xml:space="preserve"> </w:t>
      </w:r>
    </w:p>
    <w:p w14:paraId="3EED524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3.1.1评标委员会依据本章第2.1款规定的标准对投标文件第一个信封（商务及技术文件）进行初步评审。有一项不符合评审标准的，评标委员会应否决其投标。</w:t>
      </w:r>
    </w:p>
    <w:p w14:paraId="6B819E6D">
      <w:pPr>
        <w:pStyle w:val="6"/>
        <w:rPr>
          <w:rFonts w:hint="eastAsia" w:ascii="Calibri" w:hAnsi="Calibri"/>
          <w:b w:val="0"/>
          <w:bCs w:val="0"/>
          <w:sz w:val="28"/>
          <w:szCs w:val="32"/>
        </w:rPr>
      </w:pPr>
      <w:bookmarkStart w:id="440" w:name="_Toc523921678"/>
      <w:bookmarkStart w:id="441" w:name="_Toc74760881"/>
      <w:r>
        <w:rPr>
          <w:rFonts w:hint="eastAsia" w:ascii="Calibri" w:hAnsi="Calibri"/>
          <w:b w:val="0"/>
          <w:bCs w:val="0"/>
          <w:sz w:val="28"/>
          <w:szCs w:val="32"/>
        </w:rPr>
        <w:t>3.2 第一个信封详细评审</w:t>
      </w:r>
      <w:bookmarkEnd w:id="440"/>
      <w:bookmarkEnd w:id="441"/>
    </w:p>
    <w:p w14:paraId="1CA7792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3.2.1 </w:t>
      </w:r>
      <w:r>
        <w:rPr>
          <w:rFonts w:hint="eastAsia" w:ascii="宋体" w:hAnsi="宋体" w:cs="宋体"/>
          <w:color w:val="auto"/>
          <w:sz w:val="24"/>
          <w:highlight w:val="none"/>
        </w:rPr>
        <w:t>评标委员会按本章第</w:t>
      </w:r>
      <w:r>
        <w:rPr>
          <w:rFonts w:ascii="宋体" w:hAnsi="宋体" w:cs="宋体"/>
          <w:color w:val="auto"/>
          <w:sz w:val="24"/>
          <w:highlight w:val="none"/>
        </w:rPr>
        <w:t>2.2款规定的量化因素和分值进行打分，并计算出各投标人的商务和技术得分。</w:t>
      </w:r>
    </w:p>
    <w:p w14:paraId="3455FD0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1）按本章第2.2.4项（1）目规定的评审因素和分值对技术建议书部分计算出得分A；</w:t>
      </w:r>
    </w:p>
    <w:p w14:paraId="4C887D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2）按本章第2.2.4项（2）目规定的评审因素和分值对主要人员部分计算出得分B；</w:t>
      </w:r>
    </w:p>
    <w:p w14:paraId="3BE7A428">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w:t>
      </w:r>
      <w:r>
        <w:rPr>
          <w:rFonts w:ascii="宋体" w:hAnsi="宋体" w:cs="宋体"/>
          <w:color w:val="auto"/>
          <w:sz w:val="24"/>
          <w:highlight w:val="none"/>
        </w:rPr>
        <w:t>3）按本章第2.2.4项（4）目规定的评审因素和分值对其他部分计算出得分D</w:t>
      </w:r>
      <w:r>
        <w:rPr>
          <w:rFonts w:hint="eastAsia" w:ascii="宋体" w:hAnsi="宋体" w:cs="宋体"/>
          <w:color w:val="auto"/>
          <w:sz w:val="24"/>
          <w:highlight w:val="none"/>
          <w:lang w:eastAsia="zh-CN"/>
        </w:rPr>
        <w:t>。</w:t>
      </w:r>
    </w:p>
    <w:p w14:paraId="59F6896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3.2.2 </w:t>
      </w:r>
      <w:r>
        <w:rPr>
          <w:rFonts w:hint="eastAsia" w:ascii="宋体" w:hAnsi="宋体" w:cs="宋体"/>
          <w:color w:val="auto"/>
          <w:sz w:val="24"/>
          <w:highlight w:val="none"/>
        </w:rPr>
        <w:t>投标人的商务和技术得分分值计算保留小数点后位数：见评标办法前附表。</w:t>
      </w:r>
    </w:p>
    <w:p w14:paraId="3962721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3.2.3 </w:t>
      </w:r>
      <w:r>
        <w:rPr>
          <w:rFonts w:hint="eastAsia" w:ascii="宋体" w:hAnsi="宋体" w:cs="宋体"/>
          <w:color w:val="auto"/>
          <w:sz w:val="24"/>
          <w:highlight w:val="none"/>
        </w:rPr>
        <w:t>投标人的商务和技术得分</w:t>
      </w:r>
      <w:r>
        <w:rPr>
          <w:rFonts w:ascii="宋体" w:hAnsi="宋体" w:cs="宋体"/>
          <w:color w:val="auto"/>
          <w:sz w:val="24"/>
          <w:highlight w:val="none"/>
        </w:rPr>
        <w:t>=A＋B＋D。</w:t>
      </w:r>
    </w:p>
    <w:p w14:paraId="6B14236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3.2.4</w:t>
      </w: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投标人投标文件第一个信封（商务及技术文件）通过初步评审、详细评审的均进入第二个信封（报价文件）评审。</w:t>
      </w:r>
    </w:p>
    <w:p w14:paraId="04F8799C">
      <w:pPr>
        <w:pStyle w:val="6"/>
        <w:rPr>
          <w:rFonts w:hint="eastAsia" w:ascii="Calibri" w:hAnsi="Calibri"/>
          <w:b w:val="0"/>
          <w:bCs w:val="0"/>
          <w:sz w:val="28"/>
          <w:szCs w:val="32"/>
        </w:rPr>
      </w:pPr>
      <w:bookmarkStart w:id="442" w:name="_Toc74760882"/>
      <w:bookmarkStart w:id="443" w:name="_Toc523921679"/>
      <w:r>
        <w:rPr>
          <w:rFonts w:hint="eastAsia" w:ascii="Calibri" w:hAnsi="Calibri"/>
          <w:b w:val="0"/>
          <w:bCs w:val="0"/>
          <w:sz w:val="28"/>
          <w:szCs w:val="32"/>
        </w:rPr>
        <w:t>3.3 第二个信封开标</w:t>
      </w:r>
      <w:bookmarkEnd w:id="442"/>
      <w:bookmarkEnd w:id="443"/>
      <w:r>
        <w:rPr>
          <w:rFonts w:hint="eastAsia" w:ascii="Calibri" w:hAnsi="Calibri"/>
          <w:b w:val="0"/>
          <w:bCs w:val="0"/>
          <w:sz w:val="28"/>
          <w:szCs w:val="32"/>
        </w:rPr>
        <w:t xml:space="preserve"> </w:t>
      </w:r>
    </w:p>
    <w:p w14:paraId="623AFB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第一个信封（商务及技术文件）评审结束后，招标人将按照第二章“投标人须知”第</w:t>
      </w:r>
      <w:r>
        <w:rPr>
          <w:rFonts w:ascii="宋体" w:hAnsi="宋体" w:cs="宋体"/>
          <w:color w:val="auto"/>
          <w:sz w:val="24"/>
          <w:highlight w:val="none"/>
        </w:rPr>
        <w:t>5.1款规定的时间和地点对通过投标文件第一个信封（商务及技术文件）评审的投标文件第二个信封（报价文件）进行开标。</w:t>
      </w:r>
    </w:p>
    <w:p w14:paraId="697643AA">
      <w:pPr>
        <w:pStyle w:val="6"/>
        <w:rPr>
          <w:rFonts w:hint="eastAsia" w:ascii="Calibri" w:hAnsi="Calibri"/>
          <w:b w:val="0"/>
          <w:bCs w:val="0"/>
          <w:sz w:val="28"/>
          <w:szCs w:val="32"/>
        </w:rPr>
      </w:pPr>
      <w:bookmarkStart w:id="444" w:name="_Toc74760883"/>
      <w:bookmarkStart w:id="445" w:name="_Toc523921680"/>
      <w:r>
        <w:rPr>
          <w:rFonts w:hint="eastAsia" w:ascii="Calibri" w:hAnsi="Calibri"/>
          <w:b w:val="0"/>
          <w:bCs w:val="0"/>
          <w:sz w:val="28"/>
          <w:szCs w:val="32"/>
        </w:rPr>
        <w:t>3.4 第二个信封初步评审</w:t>
      </w:r>
      <w:bookmarkEnd w:id="444"/>
      <w:bookmarkEnd w:id="445"/>
      <w:r>
        <w:rPr>
          <w:rFonts w:hint="eastAsia" w:ascii="Calibri" w:hAnsi="Calibri"/>
          <w:b w:val="0"/>
          <w:bCs w:val="0"/>
          <w:sz w:val="28"/>
          <w:szCs w:val="32"/>
        </w:rPr>
        <w:t xml:space="preserve"> </w:t>
      </w:r>
    </w:p>
    <w:p w14:paraId="5031D51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3.4.1 评标委员会依据本章第2.1.1项、第2.1.3项规定的评审标准对投标文件第二个信封（报价文件）进行初步评审。有一项不符合评审标准的，评标委员会应否决其投标。 </w:t>
      </w:r>
    </w:p>
    <w:p w14:paraId="7F97DE1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3.4.2</w:t>
      </w: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投标报价有算术错误的，评标委员会按评标办法前附表原则对投标报价进行修正，修正的价格经投标人书面确认后具有约束力。投标人不接受修正价格的，评</w:t>
      </w:r>
      <w:r>
        <w:rPr>
          <w:rFonts w:hint="eastAsia" w:ascii="宋体" w:hAnsi="宋体" w:cs="宋体"/>
          <w:color w:val="auto"/>
          <w:sz w:val="24"/>
          <w:highlight w:val="none"/>
        </w:rPr>
        <w:t>标委员会应否决其投标。</w:t>
      </w:r>
      <w:r>
        <w:rPr>
          <w:rFonts w:ascii="宋体" w:hAnsi="宋体" w:cs="宋体"/>
          <w:color w:val="auto"/>
          <w:sz w:val="24"/>
          <w:highlight w:val="none"/>
        </w:rPr>
        <w:t xml:space="preserve"> </w:t>
      </w:r>
    </w:p>
    <w:p w14:paraId="396D7D2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3.4.3 修正后的最终投标报价若超过最高投标限价（如有），评标委员会应否决其投标。  </w:t>
      </w:r>
    </w:p>
    <w:p w14:paraId="6E4C368F">
      <w:pPr>
        <w:pStyle w:val="6"/>
        <w:rPr>
          <w:rFonts w:hint="eastAsia" w:ascii="Calibri" w:hAnsi="Calibri"/>
          <w:b w:val="0"/>
          <w:bCs w:val="0"/>
          <w:sz w:val="28"/>
          <w:szCs w:val="32"/>
        </w:rPr>
      </w:pPr>
      <w:bookmarkStart w:id="446" w:name="_Toc74760884"/>
      <w:bookmarkStart w:id="447" w:name="_Toc523921681"/>
      <w:r>
        <w:rPr>
          <w:rFonts w:hint="eastAsia" w:ascii="Calibri" w:hAnsi="Calibri"/>
          <w:b w:val="0"/>
          <w:bCs w:val="0"/>
          <w:sz w:val="28"/>
          <w:szCs w:val="32"/>
        </w:rPr>
        <w:t>3.5 第二个信封详细评审</w:t>
      </w:r>
      <w:bookmarkEnd w:id="446"/>
      <w:bookmarkEnd w:id="447"/>
      <w:r>
        <w:rPr>
          <w:rFonts w:hint="eastAsia" w:ascii="Calibri" w:hAnsi="Calibri"/>
          <w:b w:val="0"/>
          <w:bCs w:val="0"/>
          <w:sz w:val="28"/>
          <w:szCs w:val="32"/>
        </w:rPr>
        <w:t xml:space="preserve"> </w:t>
      </w:r>
    </w:p>
    <w:p w14:paraId="75BF5F1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3.5.1 </w:t>
      </w:r>
      <w:r>
        <w:rPr>
          <w:rFonts w:hint="eastAsia" w:ascii="宋体" w:hAnsi="宋体" w:cs="宋体"/>
          <w:color w:val="auto"/>
          <w:sz w:val="24"/>
          <w:highlight w:val="none"/>
        </w:rPr>
        <w:t>评标委员会按本章第</w:t>
      </w:r>
      <w:r>
        <w:rPr>
          <w:rFonts w:ascii="宋体" w:hAnsi="宋体" w:cs="宋体"/>
          <w:color w:val="auto"/>
          <w:sz w:val="24"/>
          <w:highlight w:val="none"/>
        </w:rPr>
        <w:t>2.2.4项（3）目规定的评审因素和分值对评标价计算出得分F，评标价得分分值计算保留</w:t>
      </w:r>
      <w:r>
        <w:rPr>
          <w:rFonts w:hint="eastAsia" w:ascii="宋体" w:hAnsi="宋体" w:cs="宋体"/>
          <w:color w:val="auto"/>
          <w:sz w:val="24"/>
          <w:highlight w:val="none"/>
        </w:rPr>
        <w:t>小数点后位数：见评标办法前附表。</w:t>
      </w:r>
      <w:r>
        <w:rPr>
          <w:rFonts w:ascii="宋体" w:hAnsi="宋体" w:cs="宋体"/>
          <w:color w:val="auto"/>
          <w:sz w:val="24"/>
          <w:highlight w:val="none"/>
        </w:rPr>
        <w:t xml:space="preserve"> </w:t>
      </w:r>
    </w:p>
    <w:p w14:paraId="3D7826B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3.5.2 </w:t>
      </w:r>
      <w:r>
        <w:rPr>
          <w:rFonts w:hint="eastAsia" w:ascii="宋体" w:hAnsi="宋体" w:cs="宋体"/>
          <w:color w:val="auto"/>
          <w:sz w:val="24"/>
          <w:highlight w:val="none"/>
        </w:rPr>
        <w:t>投标人综合得分</w:t>
      </w:r>
      <w:r>
        <w:rPr>
          <w:rFonts w:ascii="宋体" w:hAnsi="宋体" w:cs="宋体"/>
          <w:color w:val="auto"/>
          <w:sz w:val="24"/>
          <w:highlight w:val="none"/>
        </w:rPr>
        <w:t>=投标人的商务和技术得分</w:t>
      </w:r>
      <w:r>
        <w:rPr>
          <w:rFonts w:hint="eastAsia" w:ascii="宋体" w:hAnsi="宋体" w:eastAsia="宋体" w:cs="宋体"/>
          <w:color w:val="auto"/>
          <w:sz w:val="24"/>
          <w:highlight w:val="none"/>
        </w:rPr>
        <w:t>＋</w:t>
      </w:r>
      <w:r>
        <w:rPr>
          <w:rFonts w:ascii="宋体" w:hAnsi="宋体" w:cs="宋体"/>
          <w:color w:val="auto"/>
          <w:sz w:val="24"/>
          <w:highlight w:val="none"/>
        </w:rPr>
        <w:t>F。</w:t>
      </w:r>
    </w:p>
    <w:p w14:paraId="3912F2B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3.5.3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 </w:t>
      </w:r>
    </w:p>
    <w:p w14:paraId="0B84383A">
      <w:pPr>
        <w:pStyle w:val="6"/>
        <w:rPr>
          <w:rFonts w:hint="eastAsia" w:ascii="Calibri" w:hAnsi="Calibri"/>
          <w:b w:val="0"/>
          <w:bCs w:val="0"/>
          <w:sz w:val="28"/>
          <w:szCs w:val="32"/>
        </w:rPr>
      </w:pPr>
      <w:bookmarkStart w:id="448" w:name="_Toc74760885"/>
      <w:bookmarkStart w:id="449" w:name="_Toc523921682"/>
      <w:r>
        <w:rPr>
          <w:rFonts w:hint="eastAsia" w:ascii="Calibri" w:hAnsi="Calibri"/>
          <w:b w:val="0"/>
          <w:bCs w:val="0"/>
          <w:sz w:val="28"/>
          <w:szCs w:val="32"/>
        </w:rPr>
        <w:t>3.6 投标文件相关信息的核查</w:t>
      </w:r>
      <w:bookmarkEnd w:id="448"/>
      <w:bookmarkEnd w:id="449"/>
      <w:r>
        <w:rPr>
          <w:rFonts w:hint="eastAsia" w:ascii="Calibri" w:hAnsi="Calibri"/>
          <w:b w:val="0"/>
          <w:bCs w:val="0"/>
          <w:sz w:val="28"/>
          <w:szCs w:val="32"/>
        </w:rPr>
        <w:t xml:space="preserve"> </w:t>
      </w:r>
    </w:p>
    <w:p w14:paraId="18B7771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3.6.1 </w:t>
      </w:r>
      <w:r>
        <w:rPr>
          <w:rFonts w:hint="eastAsia" w:ascii="宋体" w:hAnsi="宋体" w:cs="宋体"/>
          <w:color w:val="auto"/>
          <w:sz w:val="24"/>
          <w:highlight w:val="none"/>
        </w:rPr>
        <w:t>在评标过程中，评标委员会应</w:t>
      </w:r>
      <w:r>
        <w:rPr>
          <w:rFonts w:hint="eastAsia" w:ascii="宋体" w:hAnsi="宋体" w:cs="宋体"/>
          <w:color w:val="auto"/>
          <w:sz w:val="24"/>
          <w:highlight w:val="none"/>
          <w:lang w:val="en-US" w:eastAsia="zh-CN"/>
        </w:rPr>
        <w:t>按招标文件</w:t>
      </w:r>
      <w:r>
        <w:rPr>
          <w:rFonts w:hint="eastAsia" w:ascii="宋体" w:hAnsi="宋体" w:cs="宋体"/>
          <w:color w:val="auto"/>
          <w:sz w:val="24"/>
          <w:highlight w:val="none"/>
        </w:rPr>
        <w:t>第七章“投标文件格式”中</w:t>
      </w:r>
      <w:r>
        <w:rPr>
          <w:rFonts w:hint="eastAsia" w:ascii="宋体" w:hAnsi="宋体" w:cs="宋体"/>
          <w:color w:val="auto"/>
          <w:sz w:val="24"/>
          <w:highlight w:val="none"/>
          <w:lang w:val="en-US" w:eastAsia="zh-CN"/>
        </w:rPr>
        <w:t>的要求</w:t>
      </w:r>
      <w:r>
        <w:rPr>
          <w:rFonts w:hint="eastAsia" w:ascii="宋体" w:hAnsi="宋体" w:cs="宋体"/>
          <w:color w:val="auto"/>
          <w:sz w:val="24"/>
          <w:highlight w:val="none"/>
        </w:rPr>
        <w:t>对投标人投标文件</w:t>
      </w:r>
      <w:r>
        <w:rPr>
          <w:rFonts w:hint="eastAsia" w:ascii="宋体" w:hAnsi="宋体" w:cs="宋体"/>
          <w:color w:val="auto"/>
          <w:sz w:val="24"/>
          <w:highlight w:val="none"/>
          <w:lang w:val="en-US" w:eastAsia="zh-CN"/>
        </w:rPr>
        <w:t>中</w:t>
      </w:r>
      <w:r>
        <w:rPr>
          <w:rFonts w:hint="eastAsia" w:ascii="宋体" w:hAnsi="宋体" w:cs="宋体"/>
          <w:color w:val="auto"/>
          <w:sz w:val="24"/>
          <w:highlight w:val="none"/>
        </w:rPr>
        <w:t>提供的信息与招标文件要求的网站上公开发布的相关信息进行核实</w:t>
      </w:r>
      <w:r>
        <w:rPr>
          <w:rFonts w:hint="eastAsia" w:ascii="宋体" w:hAnsi="宋体" w:cs="宋体"/>
          <w:color w:val="auto"/>
          <w:sz w:val="24"/>
          <w:highlight w:val="none"/>
          <w:lang w:eastAsia="zh-CN"/>
        </w:rPr>
        <w:t>，</w:t>
      </w:r>
      <w:r>
        <w:rPr>
          <w:rFonts w:hint="eastAsia" w:ascii="宋体" w:hAnsi="宋体"/>
          <w:color w:val="auto"/>
          <w:sz w:val="24"/>
          <w:highlight w:val="none"/>
        </w:rPr>
        <w:t>信用等级</w:t>
      </w:r>
      <w:bookmarkStart w:id="450" w:name="_Hlk93736682"/>
      <w:r>
        <w:rPr>
          <w:rFonts w:hint="eastAsia" w:ascii="宋体" w:hAnsi="宋体"/>
          <w:color w:val="auto"/>
          <w:sz w:val="24"/>
          <w:highlight w:val="none"/>
        </w:rPr>
        <w:t>信息应以“信用交通·四川”上查询结果为准</w:t>
      </w:r>
      <w:bookmarkEnd w:id="450"/>
      <w:r>
        <w:rPr>
          <w:rFonts w:hint="eastAsia" w:ascii="宋体" w:hAnsi="宋体"/>
          <w:color w:val="auto"/>
          <w:kern w:val="0"/>
          <w:sz w:val="24"/>
          <w:highlight w:val="none"/>
        </w:rPr>
        <w:t>。若投标文件</w:t>
      </w:r>
      <w:r>
        <w:rPr>
          <w:rFonts w:hint="eastAsia" w:ascii="宋体" w:hAnsi="宋体"/>
          <w:color w:val="auto"/>
          <w:kern w:val="0"/>
          <w:sz w:val="24"/>
          <w:highlight w:val="none"/>
          <w:lang w:val="en-US" w:eastAsia="zh-CN"/>
        </w:rPr>
        <w:t>提供</w:t>
      </w:r>
      <w:r>
        <w:rPr>
          <w:rFonts w:hint="eastAsia" w:ascii="宋体" w:hAnsi="宋体"/>
          <w:color w:val="auto"/>
          <w:kern w:val="0"/>
          <w:sz w:val="24"/>
          <w:highlight w:val="none"/>
        </w:rPr>
        <w:t>的信息与</w:t>
      </w:r>
      <w:bookmarkStart w:id="451" w:name="_Hlk93736699"/>
      <w:r>
        <w:rPr>
          <w:rFonts w:hint="eastAsia" w:ascii="宋体" w:hAnsi="宋体"/>
          <w:color w:val="auto"/>
          <w:kern w:val="0"/>
          <w:sz w:val="24"/>
          <w:highlight w:val="none"/>
        </w:rPr>
        <w:t>上述</w:t>
      </w:r>
      <w:r>
        <w:rPr>
          <w:rFonts w:ascii="宋体" w:hAnsi="宋体"/>
          <w:color w:val="auto"/>
          <w:kern w:val="0"/>
          <w:sz w:val="24"/>
          <w:highlight w:val="none"/>
        </w:rPr>
        <w:t>信息发布平台</w:t>
      </w:r>
      <w:bookmarkEnd w:id="451"/>
      <w:r>
        <w:rPr>
          <w:rFonts w:hint="eastAsia" w:ascii="宋体" w:hAnsi="宋体"/>
          <w:color w:val="auto"/>
          <w:kern w:val="0"/>
          <w:sz w:val="24"/>
          <w:highlight w:val="none"/>
        </w:rPr>
        <w:t>发布的信息不符，使得投标人的资格条件不符合招标文件规定的，评标委员会应否决其投标</w:t>
      </w:r>
      <w:r>
        <w:rPr>
          <w:rFonts w:hint="eastAsia" w:ascii="宋体" w:hAnsi="宋体" w:cs="宋体"/>
          <w:color w:val="auto"/>
          <w:sz w:val="24"/>
          <w:highlight w:val="none"/>
        </w:rPr>
        <w:t>。</w:t>
      </w:r>
      <w:r>
        <w:rPr>
          <w:rFonts w:ascii="宋体" w:hAnsi="宋体" w:cs="宋体"/>
          <w:color w:val="auto"/>
          <w:sz w:val="24"/>
          <w:highlight w:val="none"/>
        </w:rPr>
        <w:t xml:space="preserve"> </w:t>
      </w:r>
    </w:p>
    <w:p w14:paraId="7BF8989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3.6.2 评标委员会应对在评标过程中发现的投标人与投标人之间、投标人与招标人之间存在的串通投标的情形进行评审和认定。投标人存在串通投标、弄虚作假、行贿等违法行为的，评标委员会应否决其投标。 </w:t>
      </w:r>
    </w:p>
    <w:p w14:paraId="69E128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 xml:space="preserve">1）有下列情形之一的，属于投标人相互串通投标： </w:t>
      </w:r>
    </w:p>
    <w:p w14:paraId="178B906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a.投标人之间协商投标报价等投标文件的实质性内容； </w:t>
      </w:r>
    </w:p>
    <w:p w14:paraId="6E9C3F6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b.投标人之间约定中标人； </w:t>
      </w:r>
    </w:p>
    <w:p w14:paraId="0428153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c.投标人之间约定部分投标人放弃投标或中标； </w:t>
      </w:r>
    </w:p>
    <w:p w14:paraId="66B1F0E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d.属于同一集团、协会、商会等组织成员的投标人按照该组织要求协同投标；</w:t>
      </w:r>
    </w:p>
    <w:p w14:paraId="4F3B204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e.投标人之间为谋取中标或排斥特定投标人而采取的其他联合行动。 </w:t>
      </w:r>
    </w:p>
    <w:p w14:paraId="4FD6D3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 xml:space="preserve">2）有下列情形之一的，视为投标人相互串通投标： </w:t>
      </w:r>
    </w:p>
    <w:p w14:paraId="338F560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a.不同投标人的投标文件由同一单位或个人编制； </w:t>
      </w:r>
    </w:p>
    <w:p w14:paraId="51E5104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b.不同投标人委托同一单位或个人办理投标事宜； </w:t>
      </w:r>
    </w:p>
    <w:p w14:paraId="6810AD5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c.不同投标人的投标文件载明的项目管理成员为同一人； </w:t>
      </w:r>
    </w:p>
    <w:p w14:paraId="430AB1A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d.不同投标人的投标文件异常一致或投标报价呈规律性差异； </w:t>
      </w:r>
    </w:p>
    <w:p w14:paraId="0E57774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e.不同投标人的投标文件相互混装； </w:t>
      </w:r>
    </w:p>
    <w:p w14:paraId="1F17D0A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f.不同投标人的投标保证金从同一单位或个人的账户转出</w:t>
      </w:r>
      <w:r>
        <w:rPr>
          <w:rFonts w:hint="eastAsia" w:ascii="宋体" w:hAnsi="宋体" w:cs="宋体"/>
          <w:color w:val="auto"/>
          <w:sz w:val="24"/>
          <w:highlight w:val="none"/>
          <w:lang w:eastAsia="zh-CN"/>
        </w:rPr>
        <w:t>；</w:t>
      </w:r>
      <w:r>
        <w:rPr>
          <w:rFonts w:ascii="宋体" w:hAnsi="宋体" w:cs="宋体"/>
          <w:color w:val="auto"/>
          <w:sz w:val="24"/>
          <w:highlight w:val="none"/>
        </w:rPr>
        <w:t xml:space="preserve"> </w:t>
      </w:r>
    </w:p>
    <w:p w14:paraId="6CE93C87">
      <w:pPr>
        <w:widowControl/>
        <w:snapToGrid w:val="0"/>
        <w:spacing w:line="360" w:lineRule="auto"/>
        <w:ind w:firstLine="480" w:firstLineChars="200"/>
        <w:jc w:val="left"/>
        <w:rPr>
          <w:rFonts w:ascii="宋体" w:hAnsi="宋体"/>
          <w:kern w:val="0"/>
          <w:sz w:val="24"/>
        </w:rPr>
      </w:pPr>
      <w:r>
        <w:rPr>
          <w:rFonts w:ascii="宋体" w:hAnsi="宋体"/>
          <w:kern w:val="0"/>
          <w:sz w:val="24"/>
        </w:rPr>
        <w:t>g.对同一标段不同投标人电子投标文件的文件制作机器码或文件创建标识码相同；</w:t>
      </w:r>
    </w:p>
    <w:p w14:paraId="70CB9A0C">
      <w:pPr>
        <w:widowControl/>
        <w:snapToGrid w:val="0"/>
        <w:spacing w:line="360" w:lineRule="auto"/>
        <w:ind w:firstLine="480"/>
        <w:jc w:val="left"/>
        <w:rPr>
          <w:rFonts w:ascii="宋体" w:hAnsi="宋体"/>
          <w:kern w:val="0"/>
          <w:sz w:val="24"/>
        </w:rPr>
      </w:pPr>
      <w:r>
        <w:rPr>
          <w:rFonts w:ascii="宋体" w:hAnsi="宋体"/>
          <w:kern w:val="0"/>
          <w:sz w:val="24"/>
        </w:rPr>
        <w:t>h.不同投标人从同一投标单位或同一自然人的互联网协议地址上传投标文件、购买电子保函或参加投标活动的人员为同一标段其他投标人的在职人员</w:t>
      </w:r>
      <w:r>
        <w:rPr>
          <w:rFonts w:hint="eastAsia" w:ascii="宋体" w:hAnsi="宋体"/>
          <w:kern w:val="0"/>
          <w:sz w:val="24"/>
        </w:rPr>
        <w:t>；</w:t>
      </w:r>
    </w:p>
    <w:p w14:paraId="4D8EA316">
      <w:pPr>
        <w:spacing w:line="360" w:lineRule="auto"/>
        <w:ind w:firstLine="480" w:firstLineChars="200"/>
        <w:rPr>
          <w:rFonts w:hint="eastAsia" w:ascii="宋体" w:hAnsi="宋体" w:cs="宋体"/>
          <w:color w:val="auto"/>
          <w:sz w:val="24"/>
          <w:highlight w:val="none"/>
        </w:rPr>
      </w:pPr>
      <w:r>
        <w:rPr>
          <w:rFonts w:hint="eastAsia" w:ascii="宋体" w:hAnsi="宋体"/>
          <w:kern w:val="0"/>
          <w:sz w:val="24"/>
        </w:rPr>
        <w:t>j.</w:t>
      </w:r>
      <w:r>
        <w:rPr>
          <w:rFonts w:ascii="宋体" w:hAnsi="宋体"/>
          <w:kern w:val="0"/>
          <w:sz w:val="24"/>
        </w:rPr>
        <w:t>不同投标人通过同一单位或者个人账户购买电子保函的。</w:t>
      </w:r>
    </w:p>
    <w:p w14:paraId="31469D7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 xml:space="preserve">3）有下列情形之一的，属于招标人与投标人串通投标： </w:t>
      </w:r>
    </w:p>
    <w:p w14:paraId="2CC1D35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a.招标人在开标前开启投标文件并将有关信息泄露给其他投标人</w:t>
      </w:r>
      <w:r>
        <w:rPr>
          <w:rFonts w:hint="eastAsia" w:ascii="宋体" w:hAnsi="宋体" w:cs="宋体"/>
          <w:color w:val="auto"/>
          <w:sz w:val="24"/>
          <w:highlight w:val="none"/>
        </w:rPr>
        <w:t>；</w:t>
      </w:r>
      <w:r>
        <w:rPr>
          <w:rFonts w:ascii="宋体" w:hAnsi="宋体" w:cs="宋体"/>
          <w:color w:val="auto"/>
          <w:sz w:val="24"/>
          <w:highlight w:val="none"/>
        </w:rPr>
        <w:t xml:space="preserve"> </w:t>
      </w:r>
    </w:p>
    <w:p w14:paraId="0E50433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b.招标人直接或间接向投标人泄露</w:t>
      </w:r>
      <w:r>
        <w:rPr>
          <w:rFonts w:hint="eastAsia" w:ascii="宋体" w:hAnsi="宋体" w:cs="宋体"/>
          <w:color w:val="auto"/>
          <w:sz w:val="24"/>
          <w:highlight w:val="none"/>
        </w:rPr>
        <w:t>标底、评标委员会成员等信息；</w:t>
      </w:r>
      <w:r>
        <w:rPr>
          <w:rFonts w:ascii="宋体" w:hAnsi="宋体" w:cs="宋体"/>
          <w:color w:val="auto"/>
          <w:sz w:val="24"/>
          <w:highlight w:val="none"/>
        </w:rPr>
        <w:t xml:space="preserve"> </w:t>
      </w:r>
    </w:p>
    <w:p w14:paraId="359A8CF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c.招标人明示或暗示投标人压低或抬高投标报价； </w:t>
      </w:r>
    </w:p>
    <w:p w14:paraId="3273074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d.招标人授意投标人撤换、修改投标文件； </w:t>
      </w:r>
    </w:p>
    <w:p w14:paraId="4E914B1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e.招标人明示或暗示投标人为特定投标人中标提供方便； </w:t>
      </w:r>
    </w:p>
    <w:p w14:paraId="572FE31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f.招标人与投标人为谋求特定投标人中标而采取的其他串通行为。 </w:t>
      </w:r>
    </w:p>
    <w:p w14:paraId="4C6858BA">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kern w:val="0"/>
          <w:sz w:val="24"/>
          <w:highlight w:val="none"/>
        </w:rPr>
        <w:t>有下列情形之一的，属于电子招标投标交易平台运营机构或其人员与投标人串通投标：</w:t>
      </w:r>
    </w:p>
    <w:p w14:paraId="054FBF80">
      <w:pPr>
        <w:widowControl/>
        <w:spacing w:line="360" w:lineRule="auto"/>
        <w:ind w:firstLine="480"/>
        <w:jc w:val="left"/>
        <w:rPr>
          <w:rFonts w:ascii="宋体" w:hAnsi="宋体" w:cs="宋体"/>
          <w:color w:val="auto"/>
          <w:kern w:val="0"/>
          <w:sz w:val="24"/>
          <w:highlight w:val="none"/>
        </w:rPr>
      </w:pPr>
      <w:r>
        <w:rPr>
          <w:rFonts w:ascii="宋体" w:hAnsi="宋体" w:cs="宋体"/>
          <w:color w:val="auto"/>
          <w:kern w:val="0"/>
          <w:sz w:val="24"/>
          <w:highlight w:val="none"/>
        </w:rPr>
        <w:t>a.电子招标投标交易平台运营机构或其人员在开标前开启投标文件并将有关信息泄露给其他投标人</w:t>
      </w:r>
      <w:r>
        <w:rPr>
          <w:rFonts w:hint="eastAsia" w:ascii="宋体" w:hAnsi="宋体" w:cs="宋体"/>
          <w:color w:val="auto"/>
          <w:kern w:val="0"/>
          <w:sz w:val="24"/>
          <w:highlight w:val="none"/>
        </w:rPr>
        <w:t>；</w:t>
      </w:r>
    </w:p>
    <w:p w14:paraId="72ECD415">
      <w:pPr>
        <w:widowControl/>
        <w:spacing w:line="360" w:lineRule="auto"/>
        <w:ind w:firstLine="480"/>
        <w:jc w:val="left"/>
        <w:rPr>
          <w:rFonts w:ascii="宋体" w:hAnsi="宋体" w:cs="宋体"/>
          <w:color w:val="auto"/>
          <w:kern w:val="0"/>
          <w:sz w:val="24"/>
          <w:highlight w:val="none"/>
        </w:rPr>
      </w:pPr>
      <w:r>
        <w:rPr>
          <w:rFonts w:ascii="宋体" w:hAnsi="宋体" w:cs="宋体"/>
          <w:color w:val="auto"/>
          <w:kern w:val="0"/>
          <w:sz w:val="24"/>
          <w:highlight w:val="none"/>
        </w:rPr>
        <w:t>b.电子招标投标交易平台运营机构或其人员直接或者间接向投标人泄露标底、评标委员会成员等信息；</w:t>
      </w:r>
    </w:p>
    <w:p w14:paraId="04868942">
      <w:pPr>
        <w:widowControl/>
        <w:spacing w:line="360" w:lineRule="auto"/>
        <w:ind w:firstLine="480"/>
        <w:jc w:val="left"/>
        <w:rPr>
          <w:rFonts w:ascii="宋体" w:hAnsi="宋体" w:cs="宋体"/>
          <w:color w:val="auto"/>
          <w:kern w:val="0"/>
          <w:sz w:val="24"/>
          <w:highlight w:val="none"/>
        </w:rPr>
      </w:pPr>
      <w:r>
        <w:rPr>
          <w:rFonts w:ascii="宋体" w:hAnsi="宋体" w:cs="宋体"/>
          <w:color w:val="auto"/>
          <w:kern w:val="0"/>
          <w:sz w:val="24"/>
          <w:highlight w:val="none"/>
        </w:rPr>
        <w:t>c.电子招标投标交易平台运营机构或其人员明示或者暗示投标人压低或者抬高投标报价；</w:t>
      </w:r>
    </w:p>
    <w:p w14:paraId="1D70C304">
      <w:pPr>
        <w:widowControl/>
        <w:spacing w:line="360" w:lineRule="auto"/>
        <w:ind w:firstLine="480"/>
        <w:jc w:val="left"/>
        <w:rPr>
          <w:rFonts w:ascii="宋体" w:hAnsi="宋体" w:cs="宋体"/>
          <w:color w:val="auto"/>
          <w:kern w:val="0"/>
          <w:sz w:val="24"/>
          <w:highlight w:val="none"/>
        </w:rPr>
      </w:pPr>
      <w:r>
        <w:rPr>
          <w:rFonts w:ascii="宋体" w:hAnsi="宋体" w:cs="宋体"/>
          <w:color w:val="auto"/>
          <w:kern w:val="0"/>
          <w:sz w:val="24"/>
          <w:highlight w:val="none"/>
        </w:rPr>
        <w:t>d.电子招标投标交易平台运营机构或其人员授意投标人撤换、修改投标文件；</w:t>
      </w:r>
    </w:p>
    <w:p w14:paraId="132FDC4B">
      <w:pPr>
        <w:widowControl/>
        <w:spacing w:line="360" w:lineRule="auto"/>
        <w:ind w:firstLine="480"/>
        <w:jc w:val="left"/>
        <w:rPr>
          <w:rFonts w:ascii="宋体" w:hAnsi="宋体" w:cs="宋体"/>
          <w:color w:val="auto"/>
          <w:kern w:val="0"/>
          <w:sz w:val="24"/>
          <w:highlight w:val="none"/>
        </w:rPr>
      </w:pPr>
      <w:r>
        <w:rPr>
          <w:rFonts w:ascii="宋体" w:hAnsi="宋体" w:cs="宋体"/>
          <w:color w:val="auto"/>
          <w:kern w:val="0"/>
          <w:sz w:val="24"/>
          <w:highlight w:val="none"/>
        </w:rPr>
        <w:t>e.电子招标投标交易平台运营机构或其人员明示或者暗示投标人为特定投标人中标提供方便；</w:t>
      </w:r>
    </w:p>
    <w:p w14:paraId="5820813D">
      <w:pPr>
        <w:spacing w:line="360" w:lineRule="auto"/>
        <w:ind w:firstLine="480" w:firstLineChars="200"/>
        <w:rPr>
          <w:rFonts w:ascii="宋体" w:hAnsi="宋体" w:cs="宋体"/>
          <w:color w:val="auto"/>
          <w:sz w:val="24"/>
          <w:highlight w:val="none"/>
        </w:rPr>
      </w:pPr>
      <w:r>
        <w:rPr>
          <w:rFonts w:ascii="宋体" w:hAnsi="宋体" w:cs="宋体"/>
          <w:color w:val="auto"/>
          <w:kern w:val="0"/>
          <w:sz w:val="24"/>
          <w:highlight w:val="none"/>
        </w:rPr>
        <w:t>f.电子招标投标交易平台运营机构或其人员与投标人为谋求特定投标人中标而采取的其他串通行为。</w:t>
      </w:r>
    </w:p>
    <w:p w14:paraId="29733C2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w:t>
      </w:r>
      <w:r>
        <w:rPr>
          <w:rFonts w:ascii="宋体" w:hAnsi="宋体" w:cs="宋体"/>
          <w:color w:val="auto"/>
          <w:sz w:val="24"/>
          <w:highlight w:val="none"/>
        </w:rPr>
        <w:t xml:space="preserve">投标人有下列情形之一的，属于弄虚作假的行为： </w:t>
      </w:r>
    </w:p>
    <w:p w14:paraId="69FCDFC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a.使用通过受让或租借等方式获取的资格、资质证书投标； </w:t>
      </w:r>
    </w:p>
    <w:p w14:paraId="2FF441A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b.使用伪造、变造的许可证件； </w:t>
      </w:r>
    </w:p>
    <w:p w14:paraId="4FEE9F9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c.提供虚假的业绩； </w:t>
      </w:r>
    </w:p>
    <w:p w14:paraId="41D754F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d.提供虚假的项目负责人或主要技术人员简历、劳动关系证明； </w:t>
      </w:r>
    </w:p>
    <w:p w14:paraId="41A777F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e.提供虚假的信用状况； </w:t>
      </w:r>
    </w:p>
    <w:p w14:paraId="10342E0E">
      <w:pPr>
        <w:widowControl/>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f.其他弄虚作假的行为。</w:t>
      </w:r>
    </w:p>
    <w:p w14:paraId="391CF4CB">
      <w:pPr>
        <w:pStyle w:val="6"/>
        <w:rPr>
          <w:rFonts w:hint="eastAsia" w:ascii="Calibri" w:hAnsi="Calibri"/>
          <w:b w:val="0"/>
          <w:bCs w:val="0"/>
          <w:sz w:val="28"/>
          <w:szCs w:val="32"/>
        </w:rPr>
      </w:pPr>
      <w:bookmarkStart w:id="452" w:name="_Toc523921683"/>
      <w:bookmarkStart w:id="453" w:name="_Toc74760886"/>
      <w:r>
        <w:rPr>
          <w:rFonts w:hint="eastAsia" w:ascii="Calibri" w:hAnsi="Calibri"/>
          <w:b w:val="0"/>
          <w:bCs w:val="0"/>
          <w:sz w:val="28"/>
          <w:szCs w:val="32"/>
        </w:rPr>
        <w:t>3.7 投标文件的澄清和说明</w:t>
      </w:r>
      <w:bookmarkEnd w:id="452"/>
      <w:bookmarkEnd w:id="453"/>
      <w:r>
        <w:rPr>
          <w:rFonts w:hint="eastAsia" w:ascii="Calibri" w:hAnsi="Calibri"/>
          <w:b w:val="0"/>
          <w:bCs w:val="0"/>
          <w:sz w:val="28"/>
          <w:szCs w:val="32"/>
        </w:rPr>
        <w:t xml:space="preserve"> </w:t>
      </w:r>
    </w:p>
    <w:p w14:paraId="0B468B3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 </w:t>
      </w:r>
    </w:p>
    <w:p w14:paraId="348C5F2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3.7.2 澄清和说明不得超出投标文件的范围或改变投标文件的实质性内容（算术性错误的修正除外）。投标人的书面澄清、说明属于投标文件的组成部分。 </w:t>
      </w:r>
    </w:p>
    <w:p w14:paraId="406E6F3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3.7.3 评标委员会不得暗示或诱导投标人作出澄清、说明，对投标人提交的澄清、说明有疑问的，可以要求投标人进一步澄清或说明，直至满足评标委员会的要求。 </w:t>
      </w:r>
    </w:p>
    <w:p w14:paraId="321F3A3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3.7.4 </w:t>
      </w:r>
      <w:r>
        <w:rPr>
          <w:rFonts w:hint="eastAsia" w:ascii="宋体" w:hAnsi="宋体" w:cs="宋体"/>
          <w:color w:val="auto"/>
          <w:sz w:val="24"/>
          <w:highlight w:val="none"/>
        </w:rPr>
        <w:t>凡超出招标文件规定的或给发包人带来未曾要求的利益的变化、偏差或其他因素在评标时不予考虑。</w:t>
      </w:r>
    </w:p>
    <w:p w14:paraId="1D0A64EF">
      <w:pPr>
        <w:pStyle w:val="6"/>
        <w:rPr>
          <w:rFonts w:hint="eastAsia" w:ascii="Calibri" w:hAnsi="Calibri"/>
          <w:b w:val="0"/>
          <w:bCs w:val="0"/>
          <w:sz w:val="28"/>
          <w:szCs w:val="32"/>
        </w:rPr>
      </w:pPr>
      <w:bookmarkStart w:id="454" w:name="_Toc74760887"/>
      <w:bookmarkStart w:id="455" w:name="_Toc523921684"/>
      <w:r>
        <w:rPr>
          <w:rFonts w:hint="eastAsia" w:ascii="Calibri" w:hAnsi="Calibri"/>
          <w:b w:val="0"/>
          <w:bCs w:val="0"/>
          <w:sz w:val="28"/>
          <w:szCs w:val="32"/>
        </w:rPr>
        <w:t>3.8 不得否决投标的情形</w:t>
      </w:r>
      <w:bookmarkEnd w:id="454"/>
      <w:bookmarkEnd w:id="455"/>
      <w:r>
        <w:rPr>
          <w:rFonts w:hint="eastAsia" w:ascii="Calibri" w:hAnsi="Calibri"/>
          <w:b w:val="0"/>
          <w:bCs w:val="0"/>
          <w:sz w:val="28"/>
          <w:szCs w:val="32"/>
        </w:rPr>
        <w:t xml:space="preserve"> </w:t>
      </w:r>
    </w:p>
    <w:p w14:paraId="7A4F36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投标文件存在第三章“评标办法”前附表中所列任一否决投标情形以外的情况均视为细微偏差，评标委员会不得否决投标人的投标，细微偏差的处理可以按照澄清规定处理。</w:t>
      </w:r>
      <w:r>
        <w:rPr>
          <w:rFonts w:ascii="宋体" w:hAnsi="宋体" w:cs="宋体"/>
          <w:color w:val="auto"/>
          <w:sz w:val="24"/>
          <w:highlight w:val="none"/>
        </w:rPr>
        <w:t xml:space="preserve"> </w:t>
      </w:r>
    </w:p>
    <w:p w14:paraId="146B7212">
      <w:pPr>
        <w:pStyle w:val="6"/>
        <w:rPr>
          <w:rFonts w:hint="eastAsia" w:ascii="Calibri" w:hAnsi="Calibri"/>
          <w:b w:val="0"/>
          <w:bCs w:val="0"/>
          <w:sz w:val="28"/>
          <w:szCs w:val="32"/>
        </w:rPr>
      </w:pPr>
      <w:bookmarkStart w:id="456" w:name="_Toc74760888"/>
      <w:bookmarkStart w:id="457" w:name="_Toc523921685"/>
      <w:r>
        <w:rPr>
          <w:rFonts w:hint="eastAsia" w:ascii="Calibri" w:hAnsi="Calibri"/>
          <w:b w:val="0"/>
          <w:bCs w:val="0"/>
          <w:sz w:val="28"/>
          <w:szCs w:val="32"/>
        </w:rPr>
        <w:t>3.9 评标结果</w:t>
      </w:r>
      <w:bookmarkEnd w:id="456"/>
      <w:bookmarkEnd w:id="457"/>
      <w:r>
        <w:rPr>
          <w:rFonts w:hint="eastAsia" w:ascii="Calibri" w:hAnsi="Calibri"/>
          <w:b w:val="0"/>
          <w:bCs w:val="0"/>
          <w:sz w:val="28"/>
          <w:szCs w:val="32"/>
        </w:rPr>
        <w:t xml:space="preserve"> </w:t>
      </w:r>
    </w:p>
    <w:p w14:paraId="44BDB6A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3.9.1 除第二章“投标人须知”前附表授权直接确定中标人外，评标委员会按照得分由高到低的顺序推荐中标候选人，并标明排序。 </w:t>
      </w:r>
    </w:p>
    <w:p w14:paraId="50E25B2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3.9.2 </w:t>
      </w:r>
      <w:r>
        <w:rPr>
          <w:rFonts w:hint="eastAsia" w:ascii="宋体" w:hAnsi="宋体" w:cs="宋体"/>
          <w:color w:val="auto"/>
          <w:sz w:val="24"/>
          <w:highlight w:val="none"/>
        </w:rPr>
        <w:t>评标委员会完成评标后，应向招标人提交书面评标报告。</w:t>
      </w:r>
    </w:p>
    <w:p w14:paraId="0CD47F38">
      <w:pPr>
        <w:pStyle w:val="276"/>
        <w:rPr>
          <w:rFonts w:ascii="宋体" w:hAnsi="宋体" w:cs="宋体"/>
          <w:color w:val="auto"/>
          <w:highlight w:val="none"/>
        </w:rPr>
      </w:pPr>
    </w:p>
    <w:p w14:paraId="30CD4318">
      <w:pPr>
        <w:pStyle w:val="276"/>
        <w:rPr>
          <w:rFonts w:ascii="宋体" w:hAnsi="宋体" w:cs="宋体"/>
          <w:color w:val="auto"/>
          <w:highlight w:val="none"/>
        </w:rPr>
      </w:pPr>
      <w:r>
        <w:rPr>
          <w:rFonts w:ascii="宋体" w:hAnsi="宋体" w:cs="宋体"/>
          <w:color w:val="auto"/>
          <w:highlight w:val="none"/>
        </w:rPr>
        <w:br w:type="page"/>
      </w:r>
    </w:p>
    <w:p w14:paraId="20554F50">
      <w:pPr>
        <w:pStyle w:val="276"/>
        <w:rPr>
          <w:rFonts w:ascii="宋体" w:hAnsi="宋体" w:cs="宋体"/>
          <w:color w:val="auto"/>
          <w:highlight w:val="none"/>
        </w:rPr>
      </w:pPr>
    </w:p>
    <w:p w14:paraId="297F85C8">
      <w:pPr>
        <w:pStyle w:val="276"/>
        <w:rPr>
          <w:rFonts w:ascii="宋体" w:hAnsi="宋体" w:cs="宋体"/>
          <w:color w:val="auto"/>
          <w:highlight w:val="none"/>
        </w:rPr>
      </w:pPr>
    </w:p>
    <w:p w14:paraId="1A5A7DA5">
      <w:pPr>
        <w:pStyle w:val="276"/>
        <w:rPr>
          <w:rFonts w:ascii="宋体" w:hAnsi="宋体" w:cs="宋体"/>
          <w:color w:val="auto"/>
          <w:highlight w:val="none"/>
        </w:rPr>
      </w:pPr>
    </w:p>
    <w:p w14:paraId="5F65307C">
      <w:pPr>
        <w:pStyle w:val="276"/>
        <w:rPr>
          <w:rFonts w:ascii="宋体" w:hAnsi="宋体" w:cs="宋体"/>
          <w:color w:val="auto"/>
          <w:highlight w:val="none"/>
        </w:rPr>
      </w:pPr>
    </w:p>
    <w:p w14:paraId="1473EE68">
      <w:pPr>
        <w:pStyle w:val="276"/>
        <w:rPr>
          <w:rFonts w:ascii="宋体" w:hAnsi="宋体" w:cs="宋体"/>
          <w:color w:val="auto"/>
          <w:highlight w:val="none"/>
        </w:rPr>
      </w:pPr>
    </w:p>
    <w:p w14:paraId="53DB53F7">
      <w:pPr>
        <w:pStyle w:val="276"/>
        <w:rPr>
          <w:rFonts w:ascii="宋体" w:hAnsi="宋体" w:cs="宋体"/>
          <w:color w:val="auto"/>
          <w:highlight w:val="none"/>
        </w:rPr>
      </w:pPr>
    </w:p>
    <w:p w14:paraId="46FCC33A">
      <w:pPr>
        <w:pStyle w:val="276"/>
        <w:rPr>
          <w:rFonts w:ascii="宋体" w:hAnsi="宋体" w:cs="宋体"/>
          <w:color w:val="auto"/>
          <w:highlight w:val="none"/>
        </w:rPr>
      </w:pPr>
    </w:p>
    <w:p w14:paraId="01DEF926">
      <w:pPr>
        <w:pStyle w:val="276"/>
        <w:rPr>
          <w:rFonts w:ascii="宋体" w:hAnsi="宋体" w:cs="宋体"/>
          <w:color w:val="auto"/>
          <w:highlight w:val="none"/>
        </w:rPr>
      </w:pPr>
    </w:p>
    <w:p w14:paraId="16AFB2D1">
      <w:pPr>
        <w:pStyle w:val="276"/>
        <w:rPr>
          <w:rFonts w:ascii="宋体" w:hAnsi="宋体" w:cs="宋体"/>
          <w:color w:val="auto"/>
          <w:highlight w:val="none"/>
        </w:rPr>
      </w:pPr>
    </w:p>
    <w:p w14:paraId="068C670B">
      <w:pPr>
        <w:pStyle w:val="276"/>
        <w:rPr>
          <w:rFonts w:ascii="宋体" w:hAnsi="宋体" w:cs="宋体"/>
          <w:color w:val="auto"/>
          <w:highlight w:val="none"/>
        </w:rPr>
      </w:pPr>
    </w:p>
    <w:p w14:paraId="18D883BD">
      <w:pPr>
        <w:pStyle w:val="276"/>
        <w:rPr>
          <w:rFonts w:ascii="宋体" w:hAnsi="宋体" w:cs="宋体"/>
          <w:color w:val="auto"/>
          <w:highlight w:val="none"/>
        </w:rPr>
      </w:pPr>
    </w:p>
    <w:p w14:paraId="6ED22C3D">
      <w:pPr>
        <w:pStyle w:val="276"/>
        <w:rPr>
          <w:rFonts w:ascii="宋体" w:hAnsi="宋体" w:cs="宋体"/>
          <w:color w:val="auto"/>
          <w:highlight w:val="none"/>
        </w:rPr>
      </w:pPr>
    </w:p>
    <w:p w14:paraId="3D99D302">
      <w:pPr>
        <w:pStyle w:val="276"/>
        <w:rPr>
          <w:rFonts w:ascii="宋体" w:hAnsi="宋体" w:cs="宋体"/>
          <w:color w:val="auto"/>
          <w:highlight w:val="none"/>
        </w:rPr>
      </w:pPr>
    </w:p>
    <w:p w14:paraId="5DD19188">
      <w:pPr>
        <w:pStyle w:val="276"/>
        <w:rPr>
          <w:rFonts w:ascii="宋体" w:hAnsi="宋体" w:cs="宋体"/>
          <w:color w:val="auto"/>
          <w:highlight w:val="none"/>
        </w:rPr>
      </w:pPr>
    </w:p>
    <w:p w14:paraId="1C76AEFC">
      <w:pPr>
        <w:pStyle w:val="276"/>
        <w:rPr>
          <w:rFonts w:ascii="宋体" w:hAnsi="宋体" w:cs="宋体"/>
          <w:color w:val="auto"/>
          <w:highlight w:val="none"/>
        </w:rPr>
      </w:pPr>
    </w:p>
    <w:p w14:paraId="163877FB">
      <w:pPr>
        <w:pStyle w:val="276"/>
        <w:rPr>
          <w:rFonts w:ascii="宋体" w:hAnsi="宋体" w:cs="宋体"/>
          <w:color w:val="auto"/>
          <w:highlight w:val="none"/>
        </w:rPr>
      </w:pPr>
    </w:p>
    <w:p w14:paraId="616D4AD4">
      <w:pPr>
        <w:pStyle w:val="4"/>
        <w:rPr>
          <w:rFonts w:hint="eastAsia"/>
        </w:rPr>
      </w:pPr>
      <w:bookmarkStart w:id="458" w:name="_Toc519777907"/>
      <w:bookmarkStart w:id="459" w:name="_Toc74760889"/>
      <w:bookmarkStart w:id="460" w:name="_Toc519777795"/>
      <w:bookmarkStart w:id="461" w:name="_Toc519601475"/>
      <w:bookmarkStart w:id="462" w:name="_Toc519777803"/>
      <w:bookmarkStart w:id="463" w:name="_Toc519777855"/>
      <w:bookmarkStart w:id="464" w:name="_Toc519778468"/>
      <w:r>
        <w:rPr>
          <w:rFonts w:hint="default"/>
          <w:sz w:val="52"/>
          <w:szCs w:val="52"/>
        </w:rPr>
        <w:t>第四章</w:t>
      </w:r>
      <w:r>
        <w:rPr>
          <w:rFonts w:hint="eastAsia"/>
          <w:sz w:val="52"/>
          <w:szCs w:val="52"/>
        </w:rPr>
        <w:t xml:space="preserve">  </w:t>
      </w:r>
      <w:r>
        <w:rPr>
          <w:rFonts w:hint="default"/>
          <w:sz w:val="52"/>
          <w:szCs w:val="52"/>
        </w:rPr>
        <w:t>合同条款及格式</w:t>
      </w:r>
      <w:bookmarkEnd w:id="458"/>
      <w:bookmarkEnd w:id="459"/>
      <w:bookmarkEnd w:id="460"/>
      <w:bookmarkEnd w:id="461"/>
      <w:bookmarkEnd w:id="462"/>
      <w:bookmarkEnd w:id="463"/>
      <w:bookmarkEnd w:id="464"/>
    </w:p>
    <w:p w14:paraId="2CAA5B3D">
      <w:pPr>
        <w:pStyle w:val="276"/>
        <w:rPr>
          <w:rFonts w:ascii="宋体" w:hAnsi="宋体" w:cs="宋体"/>
          <w:color w:val="auto"/>
          <w:highlight w:val="none"/>
        </w:rPr>
      </w:pPr>
    </w:p>
    <w:p w14:paraId="002FB033">
      <w:pPr>
        <w:pStyle w:val="276"/>
        <w:rPr>
          <w:rFonts w:ascii="宋体" w:hAnsi="宋体" w:cs="宋体"/>
          <w:color w:val="auto"/>
          <w:highlight w:val="none"/>
        </w:rPr>
      </w:pPr>
    </w:p>
    <w:p w14:paraId="5BDA0CB3">
      <w:pPr>
        <w:pStyle w:val="276"/>
        <w:rPr>
          <w:rFonts w:ascii="宋体" w:hAnsi="宋体" w:cs="宋体"/>
          <w:color w:val="auto"/>
          <w:highlight w:val="none"/>
        </w:rPr>
      </w:pPr>
    </w:p>
    <w:p w14:paraId="4757844A">
      <w:pPr>
        <w:pStyle w:val="276"/>
        <w:rPr>
          <w:rFonts w:ascii="宋体" w:hAnsi="宋体" w:cs="宋体"/>
          <w:color w:val="auto"/>
          <w:highlight w:val="none"/>
        </w:rPr>
      </w:pPr>
    </w:p>
    <w:p w14:paraId="1A086DF7">
      <w:pPr>
        <w:pStyle w:val="276"/>
        <w:rPr>
          <w:rFonts w:ascii="宋体" w:hAnsi="宋体" w:cs="宋体"/>
          <w:color w:val="auto"/>
          <w:highlight w:val="none"/>
        </w:rPr>
      </w:pPr>
    </w:p>
    <w:p w14:paraId="167F6C58">
      <w:pPr>
        <w:pStyle w:val="276"/>
        <w:rPr>
          <w:rFonts w:ascii="宋体" w:hAnsi="宋体" w:cs="宋体"/>
          <w:color w:val="auto"/>
          <w:highlight w:val="none"/>
        </w:rPr>
      </w:pPr>
    </w:p>
    <w:p w14:paraId="5F0F2E8F">
      <w:pPr>
        <w:pStyle w:val="276"/>
        <w:rPr>
          <w:rFonts w:ascii="宋体" w:hAnsi="宋体" w:cs="宋体"/>
          <w:color w:val="auto"/>
          <w:highlight w:val="none"/>
        </w:rPr>
      </w:pPr>
    </w:p>
    <w:p w14:paraId="23F6F275">
      <w:pPr>
        <w:pStyle w:val="276"/>
        <w:rPr>
          <w:rFonts w:ascii="宋体" w:hAnsi="宋体" w:cs="宋体"/>
          <w:color w:val="auto"/>
          <w:highlight w:val="none"/>
        </w:rPr>
      </w:pPr>
    </w:p>
    <w:p w14:paraId="0727474B">
      <w:pPr>
        <w:spacing w:line="360" w:lineRule="auto"/>
        <w:rPr>
          <w:color w:val="auto"/>
          <w:highlight w:val="none"/>
        </w:rPr>
      </w:pPr>
      <w:r>
        <w:rPr>
          <w:color w:val="auto"/>
          <w:highlight w:val="none"/>
        </w:rPr>
        <w:br w:type="page"/>
      </w:r>
      <w:bookmarkStart w:id="465" w:name="_Toc523921687"/>
    </w:p>
    <w:p w14:paraId="09F328B6">
      <w:pPr>
        <w:pStyle w:val="5"/>
        <w:jc w:val="center"/>
        <w:rPr>
          <w:rFonts w:ascii="黑体" w:hAnsi="黑体" w:eastAsia="黑体" w:cs="黑体"/>
          <w:b w:val="0"/>
          <w:color w:val="auto"/>
          <w:sz w:val="40"/>
          <w:szCs w:val="40"/>
          <w:highlight w:val="none"/>
          <w:vertAlign w:val="superscript"/>
        </w:rPr>
      </w:pPr>
      <w:bookmarkStart w:id="466" w:name="_Toc74760890"/>
      <w:bookmarkStart w:id="467" w:name="_Toc28187729"/>
      <w:r>
        <w:rPr>
          <w:rFonts w:hint="eastAsia" w:ascii="黑体" w:hAnsi="黑体" w:eastAsia="黑体" w:cs="黑体"/>
          <w:b w:val="0"/>
          <w:color w:val="auto"/>
          <w:sz w:val="40"/>
          <w:szCs w:val="40"/>
          <w:highlight w:val="none"/>
        </w:rPr>
        <w:t>第一节</w:t>
      </w:r>
      <w:r>
        <w:rPr>
          <w:rFonts w:ascii="黑体" w:hAnsi="黑体" w:eastAsia="黑体" w:cs="黑体"/>
          <w:b w:val="0"/>
          <w:color w:val="auto"/>
          <w:sz w:val="40"/>
          <w:szCs w:val="40"/>
          <w:highlight w:val="none"/>
        </w:rPr>
        <w:t xml:space="preserve">   </w:t>
      </w:r>
      <w:r>
        <w:rPr>
          <w:rFonts w:hint="eastAsia" w:ascii="黑体" w:hAnsi="黑体" w:eastAsia="黑体" w:cs="黑体"/>
          <w:b w:val="0"/>
          <w:color w:val="auto"/>
          <w:sz w:val="40"/>
          <w:szCs w:val="40"/>
          <w:highlight w:val="none"/>
        </w:rPr>
        <w:t>通用合同条款</w:t>
      </w:r>
      <w:r>
        <w:rPr>
          <w:rStyle w:val="58"/>
          <w:rFonts w:ascii="黑体" w:hAnsi="黑体" w:eastAsia="黑体" w:cs="黑体"/>
          <w:b w:val="0"/>
          <w:color w:val="auto"/>
          <w:sz w:val="40"/>
          <w:szCs w:val="40"/>
          <w:highlight w:val="none"/>
        </w:rPr>
        <w:footnoteReference w:id="109"/>
      </w:r>
      <w:bookmarkEnd w:id="465"/>
      <w:bookmarkEnd w:id="466"/>
      <w:bookmarkEnd w:id="467"/>
    </w:p>
    <w:p w14:paraId="5645668B">
      <w:pPr>
        <w:spacing w:line="360" w:lineRule="auto"/>
        <w:rPr>
          <w:rFonts w:ascii="宋体" w:hAnsi="宋体" w:cs="宋体"/>
          <w:color w:val="auto"/>
          <w:highlight w:val="none"/>
        </w:rPr>
      </w:pPr>
    </w:p>
    <w:p w14:paraId="5EEF1314">
      <w:pPr>
        <w:spacing w:line="360" w:lineRule="auto"/>
        <w:jc w:val="center"/>
        <w:rPr>
          <w:rFonts w:ascii="黑体" w:hAnsi="黑体" w:eastAsia="黑体" w:cs="宋体"/>
          <w:color w:val="auto"/>
          <w:sz w:val="32"/>
          <w:szCs w:val="32"/>
          <w:highlight w:val="none"/>
        </w:rPr>
      </w:pPr>
      <w:r>
        <w:rPr>
          <w:rFonts w:hint="eastAsia" w:ascii="黑体" w:hAnsi="黑体" w:eastAsia="黑体" w:cs="宋体"/>
          <w:color w:val="auto"/>
          <w:sz w:val="32"/>
          <w:szCs w:val="32"/>
          <w:highlight w:val="none"/>
        </w:rPr>
        <w:t>详见《中华人民共和国标准监理招标文件》（</w:t>
      </w:r>
      <w:r>
        <w:rPr>
          <w:rFonts w:ascii="黑体" w:hAnsi="黑体" w:eastAsia="黑体" w:cs="宋体"/>
          <w:color w:val="auto"/>
          <w:sz w:val="32"/>
          <w:szCs w:val="32"/>
          <w:highlight w:val="none"/>
        </w:rPr>
        <w:t>2017年版）</w:t>
      </w:r>
    </w:p>
    <w:p w14:paraId="287BDA9A">
      <w:pPr>
        <w:spacing w:line="360" w:lineRule="auto"/>
        <w:rPr>
          <w:rFonts w:ascii="宋体" w:hAnsi="宋体" w:cs="宋体"/>
          <w:color w:val="auto"/>
          <w:highlight w:val="none"/>
        </w:rPr>
      </w:pPr>
    </w:p>
    <w:p w14:paraId="49B676C4">
      <w:pPr>
        <w:pStyle w:val="276"/>
        <w:spacing w:line="360" w:lineRule="auto"/>
        <w:rPr>
          <w:rFonts w:ascii="宋体" w:hAnsi="宋体" w:cs="宋体"/>
          <w:color w:val="auto"/>
          <w:highlight w:val="none"/>
        </w:rPr>
      </w:pPr>
      <w:r>
        <w:rPr>
          <w:rFonts w:ascii="宋体" w:hAnsi="宋体" w:cs="宋体"/>
          <w:color w:val="auto"/>
          <w:highlight w:val="none"/>
        </w:rPr>
        <w:br w:type="page"/>
      </w:r>
    </w:p>
    <w:p w14:paraId="4A28AC51">
      <w:pPr>
        <w:pStyle w:val="5"/>
        <w:jc w:val="center"/>
        <w:rPr>
          <w:b w:val="0"/>
          <w:bCs w:val="0"/>
          <w:sz w:val="40"/>
          <w:szCs w:val="40"/>
        </w:rPr>
      </w:pPr>
      <w:bookmarkStart w:id="468" w:name="_Toc74760891"/>
      <w:bookmarkStart w:id="469" w:name="_Toc513556665"/>
      <w:bookmarkStart w:id="470" w:name="_Toc513555586"/>
      <w:bookmarkStart w:id="471" w:name="_Toc28187730"/>
      <w:bookmarkStart w:id="472" w:name="_Toc523921752"/>
      <w:bookmarkStart w:id="473" w:name="_Toc513555830"/>
      <w:r>
        <w:rPr>
          <w:rFonts w:hint="eastAsia"/>
          <w:b w:val="0"/>
          <w:bCs w:val="0"/>
          <w:sz w:val="40"/>
          <w:szCs w:val="40"/>
        </w:rPr>
        <w:t>第二节</w:t>
      </w:r>
      <w:r>
        <w:rPr>
          <w:b w:val="0"/>
          <w:bCs w:val="0"/>
          <w:sz w:val="40"/>
          <w:szCs w:val="40"/>
        </w:rPr>
        <w:t xml:space="preserve">  </w:t>
      </w:r>
      <w:r>
        <w:rPr>
          <w:rFonts w:hint="eastAsia"/>
          <w:b w:val="0"/>
          <w:bCs w:val="0"/>
          <w:sz w:val="40"/>
          <w:szCs w:val="40"/>
        </w:rPr>
        <w:t>专用合同条款</w:t>
      </w:r>
      <w:bookmarkEnd w:id="468"/>
      <w:bookmarkEnd w:id="469"/>
      <w:bookmarkEnd w:id="470"/>
      <w:bookmarkEnd w:id="471"/>
      <w:bookmarkEnd w:id="472"/>
      <w:bookmarkEnd w:id="473"/>
    </w:p>
    <w:p w14:paraId="7314198F">
      <w:pPr>
        <w:pStyle w:val="5"/>
        <w:ind w:firstLine="2800" w:firstLineChars="1000"/>
        <w:rPr>
          <w:b w:val="0"/>
          <w:bCs w:val="0"/>
          <w:szCs w:val="28"/>
        </w:rPr>
      </w:pPr>
      <w:bookmarkStart w:id="474" w:name="_Toc513556666"/>
      <w:bookmarkStart w:id="475" w:name="_Toc523921753"/>
      <w:bookmarkStart w:id="476" w:name="_Toc513555587"/>
      <w:bookmarkStart w:id="477" w:name="_Toc519777921"/>
      <w:bookmarkStart w:id="478" w:name="_Toc519777869"/>
      <w:bookmarkStart w:id="479" w:name="_Toc519601489"/>
      <w:bookmarkStart w:id="480" w:name="_Toc519778482"/>
      <w:bookmarkStart w:id="481" w:name="_Toc513555831"/>
      <w:bookmarkStart w:id="482" w:name="_Toc519777817"/>
      <w:r>
        <w:rPr>
          <w:b w:val="0"/>
          <w:bCs w:val="0"/>
          <w:szCs w:val="28"/>
        </w:rPr>
        <w:t>A.</w:t>
      </w:r>
      <w:r>
        <w:rPr>
          <w:rFonts w:hint="eastAsia"/>
          <w:b w:val="0"/>
          <w:bCs w:val="0"/>
          <w:szCs w:val="28"/>
          <w:lang w:val="en-US" w:eastAsia="zh-CN"/>
        </w:rPr>
        <w:t xml:space="preserve"> </w:t>
      </w:r>
      <w:r>
        <w:rPr>
          <w:b w:val="0"/>
          <w:bCs w:val="0"/>
          <w:szCs w:val="28"/>
        </w:rPr>
        <w:t>公路工程专用合同条款</w:t>
      </w:r>
      <w:r>
        <w:rPr>
          <w:rStyle w:val="58"/>
          <w:rFonts w:ascii="黑体" w:hAnsi="黑体" w:eastAsia="黑体" w:cs="黑体"/>
          <w:b w:val="0"/>
          <w:bCs w:val="0"/>
          <w:color w:val="auto"/>
          <w:szCs w:val="28"/>
          <w:highlight w:val="none"/>
        </w:rPr>
        <w:footnoteReference w:id="110"/>
      </w:r>
      <w:bookmarkEnd w:id="474"/>
      <w:bookmarkEnd w:id="475"/>
      <w:bookmarkEnd w:id="476"/>
      <w:bookmarkEnd w:id="477"/>
      <w:bookmarkEnd w:id="478"/>
      <w:bookmarkEnd w:id="479"/>
      <w:bookmarkEnd w:id="480"/>
      <w:bookmarkEnd w:id="481"/>
      <w:bookmarkEnd w:id="482"/>
    </w:p>
    <w:p w14:paraId="0CF9F0B4">
      <w:pPr>
        <w:pStyle w:val="276"/>
        <w:spacing w:line="360" w:lineRule="auto"/>
        <w:rPr>
          <w:rFonts w:ascii="宋体" w:hAnsi="宋体" w:cs="宋体"/>
          <w:color w:val="auto"/>
          <w:highlight w:val="none"/>
        </w:rPr>
      </w:pPr>
    </w:p>
    <w:p w14:paraId="30A6D4E8">
      <w:pPr>
        <w:spacing w:line="360" w:lineRule="auto"/>
        <w:jc w:val="center"/>
        <w:rPr>
          <w:rFonts w:ascii="黑体" w:hAnsi="黑体" w:eastAsia="黑体" w:cs="宋体"/>
          <w:color w:val="auto"/>
          <w:sz w:val="28"/>
          <w:szCs w:val="28"/>
          <w:highlight w:val="none"/>
        </w:rPr>
      </w:pPr>
      <w:bookmarkStart w:id="483" w:name="_Toc519777870"/>
      <w:bookmarkStart w:id="484" w:name="_Toc519777818"/>
      <w:bookmarkStart w:id="485" w:name="_Toc519601490"/>
      <w:bookmarkStart w:id="486" w:name="_Toc513555832"/>
      <w:bookmarkStart w:id="487" w:name="_Toc513555588"/>
      <w:bookmarkStart w:id="488" w:name="_Toc523921754"/>
      <w:bookmarkStart w:id="489" w:name="_Toc519778483"/>
      <w:bookmarkStart w:id="490" w:name="_Toc513556667"/>
      <w:bookmarkStart w:id="491" w:name="_Toc520709447"/>
      <w:bookmarkStart w:id="492" w:name="_Toc519777922"/>
      <w:r>
        <w:rPr>
          <w:rFonts w:hint="eastAsia" w:ascii="黑体" w:hAnsi="黑体" w:eastAsia="黑体" w:cs="宋体"/>
          <w:color w:val="auto"/>
          <w:sz w:val="28"/>
          <w:szCs w:val="28"/>
          <w:highlight w:val="none"/>
        </w:rPr>
        <w:t>详见交通运输部《公路工程标准施工监理招标文件》（</w:t>
      </w:r>
      <w:r>
        <w:rPr>
          <w:rFonts w:ascii="黑体" w:hAnsi="黑体" w:eastAsia="黑体" w:cs="宋体"/>
          <w:color w:val="auto"/>
          <w:sz w:val="28"/>
          <w:szCs w:val="28"/>
          <w:highlight w:val="none"/>
        </w:rPr>
        <w:t>2018年版）</w:t>
      </w:r>
    </w:p>
    <w:p w14:paraId="0A08EF26">
      <w:pPr>
        <w:spacing w:line="240" w:lineRule="auto"/>
        <w:jc w:val="left"/>
        <w:rPr>
          <w:rFonts w:ascii="黑体" w:hAnsi="黑体" w:eastAsia="黑体" w:cs="宋体"/>
          <w:color w:val="auto"/>
          <w:szCs w:val="28"/>
          <w:highlight w:val="none"/>
        </w:rPr>
      </w:pPr>
      <w:r>
        <w:rPr>
          <w:rFonts w:ascii="黑体" w:hAnsi="黑体" w:eastAsia="黑体" w:cs="宋体"/>
          <w:color w:val="auto"/>
          <w:szCs w:val="28"/>
          <w:highlight w:val="none"/>
        </w:rPr>
        <w:br w:type="page"/>
      </w:r>
    </w:p>
    <w:bookmarkEnd w:id="483"/>
    <w:bookmarkEnd w:id="484"/>
    <w:bookmarkEnd w:id="485"/>
    <w:bookmarkEnd w:id="486"/>
    <w:bookmarkEnd w:id="487"/>
    <w:bookmarkEnd w:id="488"/>
    <w:bookmarkEnd w:id="489"/>
    <w:bookmarkEnd w:id="490"/>
    <w:bookmarkEnd w:id="491"/>
    <w:bookmarkEnd w:id="492"/>
    <w:p w14:paraId="10BFF369">
      <w:pPr>
        <w:pStyle w:val="5"/>
        <w:numPr>
          <w:ilvl w:val="0"/>
          <w:numId w:val="0"/>
        </w:numPr>
        <w:ind w:firstLine="3654" w:firstLineChars="1300"/>
        <w:rPr>
          <w:rFonts w:hint="eastAsia" w:ascii="黑体" w:hAnsi="黑体" w:eastAsia="黑体" w:cs="黑体"/>
          <w:color w:val="auto"/>
          <w:highlight w:val="none"/>
        </w:rPr>
      </w:pPr>
      <w:bookmarkStart w:id="493" w:name="_Toc523921803"/>
      <w:r>
        <w:rPr>
          <w:rFonts w:hint="eastAsia" w:ascii="黑体" w:hAnsi="黑体" w:cs="黑体"/>
          <w:color w:val="auto"/>
          <w:highlight w:val="none"/>
          <w:lang w:val="en-US" w:eastAsia="zh-CN"/>
        </w:rPr>
        <w:t xml:space="preserve">B. </w:t>
      </w:r>
      <w:r>
        <w:rPr>
          <w:rFonts w:ascii="黑体" w:hAnsi="黑体" w:eastAsia="黑体" w:cs="黑体"/>
          <w:b w:val="0"/>
          <w:bCs w:val="0"/>
          <w:color w:val="auto"/>
          <w:sz w:val="32"/>
          <w:szCs w:val="28"/>
          <w:highlight w:val="none"/>
        </w:rPr>
        <w:t>项目专用合同条款</w:t>
      </w:r>
      <w:bookmarkEnd w:id="493"/>
      <w:r>
        <w:rPr>
          <w:rFonts w:ascii="黑体" w:hAnsi="黑体" w:eastAsia="黑体" w:cs="黑体"/>
          <w:b w:val="0"/>
          <w:bCs w:val="0"/>
          <w:color w:val="auto"/>
          <w:sz w:val="32"/>
          <w:szCs w:val="28"/>
          <w:highlight w:val="none"/>
          <w:vertAlign w:val="superscript"/>
        </w:rPr>
        <w:footnoteReference w:id="111"/>
      </w:r>
    </w:p>
    <w:p w14:paraId="301A602A">
      <w:pPr>
        <w:spacing w:line="360" w:lineRule="auto"/>
        <w:ind w:firstLine="480" w:firstLineChars="200"/>
        <w:rPr>
          <w:rFonts w:hint="eastAsia" w:ascii="黑体" w:hAnsi="黑体" w:eastAsia="黑体" w:cs="黑体"/>
          <w:sz w:val="24"/>
        </w:rPr>
      </w:pPr>
      <w:r>
        <w:rPr>
          <w:rFonts w:hint="eastAsia" w:ascii="黑体" w:hAnsi="黑体" w:eastAsia="黑体" w:cs="黑体"/>
          <w:sz w:val="24"/>
        </w:rPr>
        <w:t>说明：</w:t>
      </w:r>
    </w:p>
    <w:p w14:paraId="5AE0B8FD">
      <w:pPr>
        <w:spacing w:line="360" w:lineRule="auto"/>
        <w:ind w:firstLine="480" w:firstLineChars="200"/>
        <w:rPr>
          <w:rFonts w:ascii="楷体" w:hAnsi="楷体" w:eastAsia="楷体" w:cs="宋体"/>
          <w:color w:val="auto"/>
          <w:sz w:val="24"/>
          <w:highlight w:val="none"/>
        </w:rPr>
      </w:pPr>
      <w:r>
        <w:rPr>
          <w:rFonts w:ascii="楷体" w:hAnsi="楷体" w:eastAsia="楷体" w:cs="宋体"/>
          <w:color w:val="auto"/>
          <w:sz w:val="24"/>
          <w:highlight w:val="none"/>
        </w:rPr>
        <w:t>1.招标人在根据</w:t>
      </w:r>
      <w:r>
        <w:rPr>
          <w:rFonts w:hint="eastAsia" w:ascii="楷体" w:hAnsi="楷体" w:eastAsia="楷体" w:cs="宋体"/>
          <w:color w:val="auto"/>
          <w:sz w:val="24"/>
          <w:highlight w:val="none"/>
        </w:rPr>
        <w:t>本</w:t>
      </w:r>
      <w:r>
        <w:rPr>
          <w:rFonts w:ascii="楷体" w:hAnsi="楷体" w:eastAsia="楷体" w:cs="宋体"/>
          <w:color w:val="auto"/>
          <w:sz w:val="24"/>
          <w:highlight w:val="none"/>
        </w:rPr>
        <w:t>《标准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w:t>
      </w:r>
      <w:r>
        <w:rPr>
          <w:rFonts w:hint="eastAsia" w:ascii="楷体" w:hAnsi="楷体" w:eastAsia="楷体" w:cs="宋体"/>
          <w:color w:val="auto"/>
          <w:sz w:val="24"/>
          <w:highlight w:val="none"/>
          <w:lang w:eastAsia="zh-CN"/>
        </w:rPr>
        <w:t>、</w:t>
      </w:r>
      <w:r>
        <w:rPr>
          <w:rFonts w:ascii="楷体" w:hAnsi="楷体" w:eastAsia="楷体" w:cs="宋体"/>
          <w:color w:val="auto"/>
          <w:sz w:val="24"/>
          <w:highlight w:val="none"/>
        </w:rPr>
        <w:t>诚实信用原则。</w:t>
      </w:r>
    </w:p>
    <w:p w14:paraId="0B2C7A59">
      <w:pPr>
        <w:spacing w:line="360" w:lineRule="auto"/>
        <w:ind w:firstLine="480" w:firstLineChars="200"/>
        <w:rPr>
          <w:rFonts w:ascii="楷体" w:hAnsi="楷体" w:eastAsia="楷体" w:cs="宋体"/>
          <w:color w:val="auto"/>
          <w:sz w:val="24"/>
          <w:highlight w:val="none"/>
        </w:rPr>
      </w:pPr>
      <w:r>
        <w:rPr>
          <w:rFonts w:ascii="楷体" w:hAnsi="楷体" w:eastAsia="楷体" w:cs="宋体"/>
          <w:color w:val="auto"/>
          <w:sz w:val="24"/>
          <w:highlight w:val="none"/>
        </w:rPr>
        <w:t>2.项目专用合同条款的编号应与通用合同条款和公路工程专用合同条款一致。</w:t>
      </w:r>
    </w:p>
    <w:p w14:paraId="4C27B98D">
      <w:pPr>
        <w:spacing w:line="360" w:lineRule="auto"/>
        <w:ind w:firstLine="480" w:firstLineChars="200"/>
        <w:rPr>
          <w:rFonts w:ascii="宋体" w:hAnsi="宋体" w:cs="宋体"/>
          <w:color w:val="auto"/>
          <w:sz w:val="24"/>
          <w:highlight w:val="none"/>
        </w:rPr>
      </w:pPr>
      <w:r>
        <w:rPr>
          <w:rFonts w:ascii="楷体" w:hAnsi="楷体" w:eastAsia="楷体" w:cs="宋体"/>
          <w:color w:val="auto"/>
          <w:sz w:val="24"/>
          <w:highlight w:val="none"/>
        </w:rPr>
        <w:t>3.招标人可以根据项目实际情况对项目专用合同条款进行补充、细化。</w:t>
      </w:r>
    </w:p>
    <w:p w14:paraId="77254FCF">
      <w:pPr>
        <w:pStyle w:val="276"/>
        <w:spacing w:line="360" w:lineRule="auto"/>
        <w:rPr>
          <w:rFonts w:ascii="宋体" w:hAnsi="宋体" w:cs="宋体"/>
          <w:color w:val="auto"/>
          <w:highlight w:val="none"/>
        </w:rPr>
      </w:pPr>
    </w:p>
    <w:p w14:paraId="22169F9F">
      <w:pPr>
        <w:rPr>
          <w:rFonts w:hint="eastAsia" w:ascii="黑体" w:hAnsi="Times New Roman"/>
          <w:b w:val="0"/>
          <w:color w:val="auto"/>
          <w:sz w:val="28"/>
          <w:szCs w:val="28"/>
          <w:highlight w:val="none"/>
        </w:rPr>
      </w:pPr>
      <w:bookmarkStart w:id="494" w:name="_Toc513555843"/>
      <w:bookmarkStart w:id="495" w:name="_Toc523921804"/>
      <w:bookmarkStart w:id="496" w:name="_Toc519601501"/>
      <w:bookmarkStart w:id="497" w:name="_Toc519777933"/>
      <w:bookmarkStart w:id="498" w:name="_Toc513555599"/>
      <w:bookmarkStart w:id="499" w:name="_Toc513556678"/>
      <w:bookmarkStart w:id="500" w:name="_Toc520709497"/>
      <w:bookmarkStart w:id="501" w:name="_Toc74760892"/>
      <w:bookmarkStart w:id="502" w:name="_Toc519778494"/>
      <w:bookmarkStart w:id="503" w:name="_Toc519777881"/>
      <w:bookmarkStart w:id="504" w:name="_Toc519777829"/>
      <w:r>
        <w:rPr>
          <w:rFonts w:hint="eastAsia" w:ascii="黑体" w:hAnsi="Times New Roman"/>
          <w:b w:val="0"/>
          <w:color w:val="auto"/>
          <w:sz w:val="28"/>
          <w:szCs w:val="28"/>
          <w:highlight w:val="none"/>
        </w:rPr>
        <w:br w:type="page"/>
      </w:r>
    </w:p>
    <w:p w14:paraId="51060759">
      <w:pPr>
        <w:pStyle w:val="5"/>
        <w:numPr>
          <w:ilvl w:val="-1"/>
          <w:numId w:val="0"/>
        </w:numPr>
      </w:pPr>
      <w:r>
        <w:rPr>
          <w:rFonts w:hint="eastAsia"/>
          <w:lang w:val="en-US" w:eastAsia="zh-CN"/>
        </w:rPr>
        <w:t xml:space="preserve">1. </w:t>
      </w:r>
      <w:r>
        <w:rPr>
          <w:rFonts w:hint="eastAsia"/>
        </w:rPr>
        <w:t>一般约定</w:t>
      </w:r>
      <w:bookmarkEnd w:id="494"/>
      <w:bookmarkEnd w:id="495"/>
      <w:bookmarkEnd w:id="496"/>
      <w:bookmarkEnd w:id="497"/>
      <w:bookmarkEnd w:id="498"/>
      <w:bookmarkEnd w:id="499"/>
      <w:bookmarkEnd w:id="500"/>
      <w:bookmarkEnd w:id="501"/>
      <w:bookmarkEnd w:id="502"/>
      <w:bookmarkEnd w:id="503"/>
      <w:bookmarkEnd w:id="504"/>
    </w:p>
    <w:p w14:paraId="729995C8">
      <w:pPr>
        <w:pStyle w:val="6"/>
        <w:rPr>
          <w:b w:val="0"/>
          <w:bCs w:val="0"/>
        </w:rPr>
      </w:pPr>
      <w:bookmarkStart w:id="505" w:name="_Toc520709498"/>
      <w:bookmarkStart w:id="506" w:name="_Toc74760893"/>
      <w:bookmarkStart w:id="507" w:name="_Toc523921805"/>
      <w:r>
        <w:rPr>
          <w:b w:val="0"/>
          <w:bCs w:val="0"/>
        </w:rPr>
        <w:t xml:space="preserve">1.1 </w:t>
      </w:r>
      <w:r>
        <w:rPr>
          <w:rFonts w:hint="eastAsia"/>
          <w:b w:val="0"/>
          <w:bCs w:val="0"/>
        </w:rPr>
        <w:t>词语定义</w:t>
      </w:r>
      <w:bookmarkEnd w:id="505"/>
      <w:bookmarkEnd w:id="506"/>
      <w:bookmarkEnd w:id="507"/>
    </w:p>
    <w:p w14:paraId="064A44E1">
      <w:pPr>
        <w:spacing w:line="360" w:lineRule="auto"/>
        <w:ind w:firstLine="360" w:firstLineChars="150"/>
        <w:rPr>
          <w:rFonts w:ascii="黑体" w:hAnsi="黑体" w:eastAsia="黑体" w:cs="宋体"/>
          <w:color w:val="auto"/>
          <w:sz w:val="24"/>
          <w:highlight w:val="none"/>
        </w:rPr>
      </w:pPr>
      <w:r>
        <w:rPr>
          <w:rFonts w:ascii="黑体" w:hAnsi="黑体" w:eastAsia="黑体" w:cs="宋体"/>
          <w:color w:val="auto"/>
          <w:sz w:val="24"/>
          <w:highlight w:val="none"/>
        </w:rPr>
        <w:t>1.1.2合同当事人和人员</w:t>
      </w:r>
    </w:p>
    <w:p w14:paraId="63E4D02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1.1.2.2 </w:t>
      </w:r>
      <w:r>
        <w:rPr>
          <w:rFonts w:hint="eastAsia" w:ascii="宋体" w:hAnsi="宋体" w:cs="宋体"/>
          <w:color w:val="auto"/>
          <w:sz w:val="24"/>
          <w:highlight w:val="none"/>
        </w:rPr>
        <w:t>委托人：</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571736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本项</w:t>
      </w:r>
      <w:r>
        <w:rPr>
          <w:rFonts w:hint="eastAsia" w:ascii="宋体" w:hAnsi="宋体" w:cs="宋体"/>
          <w:color w:val="auto"/>
          <w:sz w:val="24"/>
          <w:highlight w:val="none"/>
        </w:rPr>
        <w:t>补充</w:t>
      </w:r>
      <w:r>
        <w:rPr>
          <w:rFonts w:hint="eastAsia" w:ascii="宋体" w:hAnsi="宋体" w:cs="宋体"/>
          <w:color w:val="auto"/>
          <w:sz w:val="24"/>
          <w:highlight w:val="none"/>
          <w:lang w:val="en-US" w:eastAsia="zh-CN"/>
        </w:rPr>
        <w:t>第</w:t>
      </w:r>
      <w:r>
        <w:rPr>
          <w:rFonts w:ascii="宋体" w:hAnsi="宋体" w:cs="宋体"/>
          <w:color w:val="auto"/>
          <w:sz w:val="24"/>
          <w:highlight w:val="none"/>
        </w:rPr>
        <w:t>1.1.2.10</w:t>
      </w:r>
      <w:r>
        <w:rPr>
          <w:rFonts w:hint="eastAsia" w:ascii="宋体" w:hAnsi="宋体" w:cs="宋体"/>
          <w:color w:val="auto"/>
          <w:sz w:val="24"/>
          <w:highlight w:val="none"/>
          <w:lang w:val="en-US" w:eastAsia="zh-CN"/>
        </w:rPr>
        <w:t>目</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第</w:t>
      </w:r>
      <w:r>
        <w:rPr>
          <w:rFonts w:ascii="宋体" w:hAnsi="宋体" w:cs="宋体"/>
          <w:color w:val="auto"/>
          <w:sz w:val="24"/>
          <w:highlight w:val="none"/>
        </w:rPr>
        <w:t>1.1.2.12</w:t>
      </w:r>
      <w:r>
        <w:rPr>
          <w:rFonts w:hint="eastAsia" w:ascii="宋体" w:hAnsi="宋体" w:cs="宋体"/>
          <w:color w:val="auto"/>
          <w:sz w:val="24"/>
          <w:highlight w:val="none"/>
        </w:rPr>
        <w:t>目：</w:t>
      </w:r>
    </w:p>
    <w:p w14:paraId="0720875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1.1.2.10 </w:t>
      </w:r>
      <w:r>
        <w:rPr>
          <w:rFonts w:hint="eastAsia" w:ascii="宋体" w:hAnsi="宋体" w:cs="宋体"/>
          <w:color w:val="auto"/>
          <w:sz w:val="24"/>
          <w:highlight w:val="none"/>
        </w:rPr>
        <w:t>试验检测机构：指与委托人签订合同协议书的试验检测机构，及其合法继承人。</w:t>
      </w:r>
    </w:p>
    <w:p w14:paraId="3F82266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1.1.2.11</w:t>
      </w:r>
      <w:r>
        <w:rPr>
          <w:rFonts w:hint="eastAsia" w:ascii="宋体" w:hAnsi="宋体" w:cs="宋体"/>
          <w:color w:val="auto"/>
          <w:sz w:val="24"/>
          <w:highlight w:val="none"/>
        </w:rPr>
        <w:t>监理试验室：指由试验检测机构派出并代表其履行监理试验室合同的现场</w:t>
      </w:r>
      <w:r>
        <w:rPr>
          <w:rFonts w:hint="eastAsia" w:ascii="宋体" w:hAnsi="宋体" w:eastAsia="宋体" w:cs="宋体"/>
          <w:color w:val="auto"/>
          <w:kern w:val="2"/>
          <w:sz w:val="24"/>
          <w:szCs w:val="24"/>
          <w:highlight w:val="none"/>
          <w:lang w:val="en-US" w:eastAsia="zh-CN" w:bidi="ar"/>
        </w:rPr>
        <w:t>试验检测机构</w:t>
      </w:r>
      <w:r>
        <w:rPr>
          <w:rFonts w:hint="eastAsia" w:ascii="宋体" w:hAnsi="宋体" w:cs="宋体"/>
          <w:color w:val="auto"/>
          <w:sz w:val="24"/>
          <w:highlight w:val="none"/>
        </w:rPr>
        <w:t>。</w:t>
      </w:r>
    </w:p>
    <w:p w14:paraId="2FF2A77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1.1.2.12</w:t>
      </w:r>
      <w:r>
        <w:rPr>
          <w:rFonts w:hint="eastAsia" w:ascii="宋体" w:hAnsi="宋体" w:cs="宋体"/>
          <w:color w:val="auto"/>
          <w:sz w:val="24"/>
          <w:highlight w:val="none"/>
        </w:rPr>
        <w:t>试验室主任：指由试验检测机构任命，代表试验检测机构行使权力和履行义务的全权代表，接受总监理工程师的管理。</w:t>
      </w:r>
    </w:p>
    <w:p w14:paraId="6D095F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 xml:space="preserve">.1.2.13 </w:t>
      </w:r>
      <w:r>
        <w:rPr>
          <w:rFonts w:hint="eastAsia" w:ascii="宋体" w:hAnsi="宋体" w:cs="宋体"/>
          <w:color w:val="auto"/>
          <w:sz w:val="24"/>
          <w:highlight w:val="none"/>
        </w:rPr>
        <w:t>技术负责人：指由试验检测机构书面委派常驻现场负责管理合同工程的技术负责人。</w:t>
      </w:r>
    </w:p>
    <w:p w14:paraId="22A48179">
      <w:pPr>
        <w:spacing w:line="360" w:lineRule="auto"/>
        <w:ind w:firstLine="360" w:firstLineChars="150"/>
        <w:rPr>
          <w:rFonts w:ascii="黑体" w:hAnsi="黑体" w:eastAsia="黑体" w:cs="宋体"/>
          <w:color w:val="auto"/>
          <w:sz w:val="24"/>
          <w:highlight w:val="none"/>
        </w:rPr>
      </w:pPr>
      <w:r>
        <w:rPr>
          <w:rFonts w:ascii="黑体" w:hAnsi="黑体" w:eastAsia="黑体" w:cs="宋体"/>
          <w:color w:val="auto"/>
          <w:sz w:val="24"/>
          <w:highlight w:val="none"/>
        </w:rPr>
        <w:t xml:space="preserve">1.1.3 </w:t>
      </w:r>
      <w:r>
        <w:rPr>
          <w:rFonts w:hint="default" w:ascii="黑体" w:hAnsi="黑体" w:eastAsia="黑体" w:cs="宋体"/>
          <w:color w:val="auto"/>
          <w:sz w:val="24"/>
          <w:highlight w:val="none"/>
        </w:rPr>
        <w:t>工程和监理试验室</w:t>
      </w:r>
    </w:p>
    <w:p w14:paraId="10106D0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1.1.3.1本次进行</w:t>
      </w:r>
      <w:r>
        <w:rPr>
          <w:rFonts w:hint="eastAsia" w:ascii="宋体" w:hAnsi="宋体" w:cs="宋体"/>
          <w:color w:val="auto"/>
          <w:sz w:val="24"/>
          <w:highlight w:val="none"/>
        </w:rPr>
        <w:t>监理试验室招标的项目为：</w:t>
      </w:r>
      <w:r>
        <w:rPr>
          <w:rFonts w:ascii="宋体" w:hAnsi="宋体" w:cs="宋体"/>
          <w:color w:val="auto"/>
          <w:sz w:val="24"/>
          <w:highlight w:val="none"/>
          <w:u w:val="single"/>
        </w:rPr>
        <w:t xml:space="preserve">                    </w:t>
      </w:r>
      <w:r>
        <w:rPr>
          <w:rFonts w:hint="eastAsia" w:ascii="宋体" w:hAnsi="宋体" w:cs="宋体"/>
          <w:color w:val="auto"/>
          <w:sz w:val="24"/>
          <w:highlight w:val="none"/>
        </w:rPr>
        <w:t>公路工程。</w:t>
      </w:r>
    </w:p>
    <w:p w14:paraId="0D4D2D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工程地点：</w:t>
      </w:r>
      <w:r>
        <w:rPr>
          <w:rFonts w:ascii="宋体" w:hAnsi="宋体" w:cs="宋体"/>
          <w:color w:val="auto"/>
          <w:sz w:val="24"/>
          <w:highlight w:val="none"/>
          <w:u w:val="single"/>
        </w:rPr>
        <w:t xml:space="preserve">                          </w:t>
      </w:r>
      <w:r>
        <w:rPr>
          <w:rFonts w:ascii="宋体" w:hAnsi="宋体" w:cs="宋体"/>
          <w:color w:val="auto"/>
          <w:sz w:val="24"/>
          <w:highlight w:val="none"/>
        </w:rPr>
        <w:t>；</w:t>
      </w:r>
    </w:p>
    <w:p w14:paraId="3DBBF6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起讫桩号：</w:t>
      </w:r>
      <w:r>
        <w:rPr>
          <w:rFonts w:ascii="宋体" w:hAnsi="宋体" w:cs="宋体"/>
          <w:color w:val="auto"/>
          <w:sz w:val="24"/>
          <w:highlight w:val="none"/>
          <w:u w:val="single"/>
        </w:rPr>
        <w:t xml:space="preserve">                          </w:t>
      </w:r>
      <w:r>
        <w:rPr>
          <w:rFonts w:ascii="宋体" w:hAnsi="宋体" w:cs="宋体"/>
          <w:color w:val="auto"/>
          <w:sz w:val="24"/>
          <w:highlight w:val="none"/>
        </w:rPr>
        <w:t>；</w:t>
      </w:r>
    </w:p>
    <w:p w14:paraId="26C50C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施工合同标段划分：</w:t>
      </w:r>
      <w:r>
        <w:rPr>
          <w:rFonts w:ascii="宋体" w:hAnsi="宋体" w:cs="宋体"/>
          <w:color w:val="auto"/>
          <w:sz w:val="24"/>
          <w:highlight w:val="none"/>
          <w:u w:val="single"/>
        </w:rPr>
        <w:t xml:space="preserve">                  </w:t>
      </w:r>
      <w:r>
        <w:rPr>
          <w:rFonts w:ascii="宋体" w:hAnsi="宋体" w:cs="宋体"/>
          <w:color w:val="auto"/>
          <w:sz w:val="24"/>
          <w:highlight w:val="none"/>
        </w:rPr>
        <w:t>；</w:t>
      </w:r>
    </w:p>
    <w:p w14:paraId="475B5A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监理试验室合同标段划分：</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4E40A2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工程概况：</w:t>
      </w:r>
      <w:r>
        <w:rPr>
          <w:rFonts w:ascii="宋体" w:hAnsi="宋体" w:cs="宋体"/>
          <w:color w:val="auto"/>
          <w:sz w:val="24"/>
          <w:highlight w:val="none"/>
          <w:u w:val="single"/>
        </w:rPr>
        <w:t xml:space="preserve">                          </w:t>
      </w:r>
      <w:r>
        <w:rPr>
          <w:rFonts w:ascii="宋体" w:hAnsi="宋体" w:cs="宋体"/>
          <w:color w:val="auto"/>
          <w:sz w:val="24"/>
          <w:highlight w:val="none"/>
        </w:rPr>
        <w:t>。</w:t>
      </w:r>
    </w:p>
    <w:p w14:paraId="069D272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本项</w:t>
      </w:r>
      <w:r>
        <w:rPr>
          <w:rFonts w:hint="eastAsia" w:ascii="宋体" w:hAnsi="宋体" w:cs="宋体"/>
          <w:color w:val="auto"/>
          <w:sz w:val="24"/>
          <w:highlight w:val="none"/>
        </w:rPr>
        <w:t>补充</w:t>
      </w:r>
      <w:bookmarkStart w:id="508" w:name="_Hlk55292094"/>
      <w:r>
        <w:rPr>
          <w:rFonts w:hint="eastAsia" w:ascii="宋体" w:hAnsi="宋体" w:cs="宋体"/>
          <w:color w:val="auto"/>
          <w:sz w:val="24"/>
          <w:highlight w:val="none"/>
          <w:lang w:val="en-US" w:eastAsia="zh-CN"/>
        </w:rPr>
        <w:t>第</w:t>
      </w:r>
      <w:r>
        <w:rPr>
          <w:rFonts w:ascii="宋体" w:hAnsi="宋体" w:cs="宋体"/>
          <w:color w:val="auto"/>
          <w:sz w:val="24"/>
          <w:highlight w:val="none"/>
        </w:rPr>
        <w:t>1.1.3.5</w:t>
      </w:r>
      <w:bookmarkEnd w:id="508"/>
      <w:r>
        <w:rPr>
          <w:rFonts w:hint="eastAsia" w:ascii="宋体" w:hAnsi="宋体" w:cs="宋体"/>
          <w:color w:val="auto"/>
          <w:sz w:val="24"/>
          <w:highlight w:val="none"/>
          <w:lang w:val="en-US" w:eastAsia="zh-CN"/>
        </w:rPr>
        <w:t>目</w:t>
      </w:r>
      <w:r>
        <w:rPr>
          <w:rFonts w:hint="eastAsia" w:ascii="宋体" w:hAnsi="宋体" w:cs="宋体"/>
          <w:color w:val="auto"/>
          <w:sz w:val="24"/>
          <w:highlight w:val="none"/>
        </w:rPr>
        <w:t>：</w:t>
      </w:r>
    </w:p>
    <w:p w14:paraId="2FEA313C">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1.1.3.5</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监理试验室服务：指试验检测机构接受委托人的委托，依照法律、规范标准和监理试验室合同等，按照监理人要求完成全部试验检测工作以及委托人、上级主管部门要求的有关试验检测工作。</w:t>
      </w:r>
    </w:p>
    <w:p w14:paraId="08379AF9">
      <w:pPr>
        <w:pStyle w:val="6"/>
        <w:rPr>
          <w:rFonts w:ascii="Calibri" w:eastAsia="黑体"/>
          <w:b w:val="0"/>
          <w:bCs w:val="0"/>
          <w:sz w:val="28"/>
          <w:szCs w:val="32"/>
          <w:lang w:val="en-US" w:eastAsia="zh-CN"/>
        </w:rPr>
      </w:pPr>
      <w:bookmarkStart w:id="509" w:name="_Toc75180520"/>
      <w:bookmarkStart w:id="510" w:name="_Toc74921927"/>
      <w:bookmarkStart w:id="511" w:name="_Toc520709499"/>
      <w:bookmarkStart w:id="512" w:name="_Toc523921806"/>
      <w:bookmarkStart w:id="513" w:name="_Toc523921807"/>
      <w:bookmarkStart w:id="514" w:name="_Toc520709500"/>
      <w:bookmarkStart w:id="515" w:name="_Toc523921808"/>
      <w:bookmarkStart w:id="516" w:name="_Toc74760894"/>
      <w:bookmarkStart w:id="517" w:name="_Toc520709501"/>
      <w:r>
        <w:rPr>
          <w:rFonts w:hint="default" w:ascii="Calibri" w:eastAsia="黑体"/>
          <w:b w:val="0"/>
          <w:bCs w:val="0"/>
          <w:sz w:val="28"/>
          <w:szCs w:val="32"/>
          <w:lang w:val="en-US" w:eastAsia="zh-CN"/>
        </w:rPr>
        <w:t>1.3 适用法律</w:t>
      </w:r>
      <w:bookmarkEnd w:id="509"/>
      <w:bookmarkEnd w:id="510"/>
    </w:p>
    <w:p w14:paraId="6F849F90">
      <w:pPr>
        <w:spacing w:line="360" w:lineRule="auto"/>
        <w:ind w:firstLine="480" w:firstLineChars="200"/>
        <w:rPr>
          <w:rFonts w:hint="default" w:ascii="Calibri" w:hAnsi="Calibri"/>
          <w:b/>
          <w:sz w:val="24"/>
          <w:szCs w:val="24"/>
        </w:rPr>
      </w:pPr>
      <w:r>
        <w:rPr>
          <w:rFonts w:hint="eastAsia"/>
          <w:sz w:val="24"/>
          <w:lang w:val="en-US" w:eastAsia="zh-CN"/>
        </w:rPr>
        <w:t>本合同适用的其他规范性文件：</w:t>
      </w:r>
      <w:r>
        <w:rPr>
          <w:rFonts w:hint="default" w:ascii="Calibri" w:hAnsi="Calibri" w:eastAsia="黑体" w:cs="Times New Roman"/>
          <w:b/>
          <w:bCs/>
          <w:kern w:val="44"/>
          <w:sz w:val="24"/>
          <w:szCs w:val="24"/>
          <w:u w:val="single"/>
          <w:lang w:val="en-US" w:eastAsia="zh-CN" w:bidi="ar-SA"/>
        </w:rPr>
        <w:t xml:space="preserve">                           </w:t>
      </w:r>
      <w:r>
        <w:rPr>
          <w:rFonts w:hint="eastAsia"/>
          <w:sz w:val="24"/>
          <w:lang w:val="en-US" w:eastAsia="zh-CN"/>
        </w:rPr>
        <w:t>。</w:t>
      </w:r>
    </w:p>
    <w:p w14:paraId="48424E21">
      <w:pPr>
        <w:pStyle w:val="6"/>
        <w:rPr>
          <w:rFonts w:ascii="Calibri" w:hAnsi="Calibri"/>
          <w:b w:val="0"/>
          <w:bCs w:val="0"/>
          <w:sz w:val="28"/>
          <w:szCs w:val="32"/>
        </w:rPr>
      </w:pPr>
      <w:r>
        <w:rPr>
          <w:rFonts w:hint="default" w:ascii="Calibri" w:hAnsi="Calibri"/>
          <w:b w:val="0"/>
          <w:bCs w:val="0"/>
          <w:sz w:val="28"/>
          <w:szCs w:val="32"/>
        </w:rPr>
        <w:t>1.4 合同文件的优先顺序</w:t>
      </w:r>
      <w:bookmarkEnd w:id="511"/>
      <w:bookmarkEnd w:id="512"/>
      <w:r>
        <w:rPr>
          <w:rFonts w:hint="default" w:ascii="Calibri" w:hAnsi="Calibri"/>
          <w:b w:val="0"/>
          <w:bCs w:val="0"/>
          <w:sz w:val="28"/>
          <w:szCs w:val="32"/>
        </w:rPr>
        <w:t xml:space="preserve"> </w:t>
      </w:r>
    </w:p>
    <w:p w14:paraId="52C205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本</w:t>
      </w:r>
      <w:r>
        <w:rPr>
          <w:rFonts w:hint="eastAsia" w:ascii="宋体" w:hAnsi="宋体" w:cs="宋体"/>
          <w:color w:val="auto"/>
          <w:sz w:val="24"/>
          <w:highlight w:val="none"/>
        </w:rPr>
        <w:t>款细化为：</w:t>
      </w:r>
    </w:p>
    <w:p w14:paraId="50A5074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组成合同的各项文件应互相解释，互为说明。除项目专用合同条款另有约定外，解释合同文件的优先顺序如下： </w:t>
      </w:r>
    </w:p>
    <w:p w14:paraId="616BF4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（1）合同协议书及各种合同附件； </w:t>
      </w:r>
    </w:p>
    <w:p w14:paraId="5E5A75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（2）中标通知书；</w:t>
      </w:r>
    </w:p>
    <w:p w14:paraId="4F1822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（3）投标函（第一个信封、第二个信封）；</w:t>
      </w:r>
    </w:p>
    <w:p w14:paraId="072085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（4）项目专用合同条款； </w:t>
      </w:r>
    </w:p>
    <w:p w14:paraId="24FB0C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（5）公路工程专用合同条款；</w:t>
      </w:r>
    </w:p>
    <w:p w14:paraId="07E83B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（6）通用合同条款； </w:t>
      </w:r>
    </w:p>
    <w:p w14:paraId="35F388F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（7）委托人要求； </w:t>
      </w:r>
    </w:p>
    <w:p w14:paraId="2ECA6F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（8）监理试验室服务费用清单； </w:t>
      </w:r>
    </w:p>
    <w:p w14:paraId="52D808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（9）监理试验室有关人员、试验检测设备投入的承诺； </w:t>
      </w:r>
    </w:p>
    <w:p w14:paraId="71F587B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（10）其他合同文件。 </w:t>
      </w:r>
    </w:p>
    <w:p w14:paraId="7A50988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合同当事人针对各类合同文件所作出的补充和修改亦属于合同文件的组成部分，属于同一类内容的文件，应以最新签署的为准。</w:t>
      </w:r>
    </w:p>
    <w:p w14:paraId="2E5E5B6A">
      <w:pPr>
        <w:pStyle w:val="6"/>
        <w:rPr>
          <w:rFonts w:ascii="Calibri" w:hAnsi="Calibri"/>
          <w:b w:val="0"/>
          <w:bCs w:val="0"/>
          <w:sz w:val="28"/>
          <w:szCs w:val="32"/>
        </w:rPr>
      </w:pPr>
      <w:r>
        <w:rPr>
          <w:rFonts w:hint="default" w:ascii="Calibri" w:hAnsi="Calibri"/>
          <w:b w:val="0"/>
          <w:bCs w:val="0"/>
          <w:sz w:val="28"/>
          <w:szCs w:val="32"/>
        </w:rPr>
        <w:t>1.5 合同协议书</w:t>
      </w:r>
      <w:bookmarkEnd w:id="513"/>
      <w:bookmarkEnd w:id="514"/>
      <w:r>
        <w:rPr>
          <w:rFonts w:hint="default" w:ascii="Calibri" w:hAnsi="Calibri"/>
          <w:b w:val="0"/>
          <w:bCs w:val="0"/>
          <w:sz w:val="28"/>
          <w:szCs w:val="32"/>
        </w:rPr>
        <w:t xml:space="preserve"> </w:t>
      </w:r>
    </w:p>
    <w:p w14:paraId="76CDB7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本款细化为：</w:t>
      </w:r>
    </w:p>
    <w:p w14:paraId="3A69CF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试验检测机构按中标通知书规定的时间与委托人签订合同协议书。除法律另有规定或合同另有约定外，委托人和试验检测机构的法定代表人或其委托代理人在合同协议书上签字并盖单位章后，合同生效。 </w:t>
      </w:r>
    </w:p>
    <w:p w14:paraId="409F388E">
      <w:pPr>
        <w:spacing w:line="360" w:lineRule="auto"/>
        <w:ind w:firstLine="480" w:firstLineChars="200"/>
        <w:rPr>
          <w:rFonts w:hint="eastAsia" w:ascii="宋体" w:hAnsi="宋体" w:cs="宋体"/>
          <w:b w:val="0"/>
          <w:color w:val="auto"/>
          <w:sz w:val="24"/>
          <w:szCs w:val="24"/>
          <w:highlight w:val="none"/>
        </w:rPr>
      </w:pPr>
      <w:r>
        <w:rPr>
          <w:rFonts w:hint="eastAsia" w:ascii="宋体" w:hAnsi="宋体" w:cs="宋体"/>
          <w:color w:val="auto"/>
          <w:sz w:val="24"/>
          <w:highlight w:val="none"/>
        </w:rPr>
        <w:t>合同文件的份数视需要由委托人与试验检测机构协商确定。在合同协议书签订之前，投标文件和中标通知书将约束双方。</w:t>
      </w:r>
    </w:p>
    <w:p w14:paraId="1EE7FD47">
      <w:pPr>
        <w:pStyle w:val="6"/>
        <w:rPr>
          <w:rFonts w:ascii="Calibri" w:hAnsi="Calibri"/>
          <w:b w:val="0"/>
          <w:bCs w:val="0"/>
          <w:sz w:val="28"/>
          <w:szCs w:val="32"/>
        </w:rPr>
      </w:pPr>
      <w:r>
        <w:rPr>
          <w:rFonts w:hint="default" w:ascii="Calibri" w:hAnsi="Calibri"/>
          <w:b w:val="0"/>
          <w:bCs w:val="0"/>
          <w:sz w:val="28"/>
          <w:szCs w:val="32"/>
        </w:rPr>
        <w:t>1.6</w:t>
      </w:r>
      <w:r>
        <w:rPr>
          <w:rFonts w:hint="eastAsia"/>
          <w:b w:val="0"/>
          <w:bCs w:val="0"/>
          <w:sz w:val="28"/>
          <w:szCs w:val="32"/>
          <w:lang w:val="en-US" w:eastAsia="zh-CN"/>
        </w:rPr>
        <w:t xml:space="preserve"> </w:t>
      </w:r>
      <w:r>
        <w:rPr>
          <w:rFonts w:hint="default" w:ascii="Calibri" w:hAnsi="Calibri"/>
          <w:b w:val="0"/>
          <w:bCs w:val="0"/>
          <w:sz w:val="28"/>
          <w:szCs w:val="32"/>
        </w:rPr>
        <w:t>文件的提供和照管</w:t>
      </w:r>
      <w:bookmarkEnd w:id="515"/>
      <w:bookmarkEnd w:id="516"/>
      <w:bookmarkEnd w:id="517"/>
    </w:p>
    <w:p w14:paraId="6D527AD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1.6.2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委托人负责提供的文件、资料包括：</w:t>
      </w:r>
    </w:p>
    <w:p w14:paraId="761669DF">
      <w:pPr>
        <w:pStyle w:val="29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（1）委托人与承包人签订的施工承包合同</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rPr>
        <w:t xml:space="preserve">份。 </w:t>
      </w:r>
    </w:p>
    <w:p w14:paraId="2F7F69F7">
      <w:pPr>
        <w:pStyle w:val="29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（2）委托人与承包人共同确认的已标价的工程数量清单及其说明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 xml:space="preserve">份。 </w:t>
      </w:r>
    </w:p>
    <w:p w14:paraId="439F10B7">
      <w:pPr>
        <w:pStyle w:val="29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（3）合同图纸和相关的标准图纸及说明</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套。 </w:t>
      </w:r>
    </w:p>
    <w:p w14:paraId="5D8259B6">
      <w:pPr>
        <w:pStyle w:val="293"/>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（4）其他相关资料。 </w:t>
      </w:r>
    </w:p>
    <w:p w14:paraId="4417EF25">
      <w:pPr>
        <w:pStyle w:val="2"/>
        <w:spacing w:after="0" w:line="360" w:lineRule="auto"/>
        <w:ind w:left="0" w:leftChars="0" w:firstLine="480"/>
        <w:rPr>
          <w:color w:val="auto"/>
          <w:highlight w:val="none"/>
        </w:rPr>
      </w:pPr>
      <w:r>
        <w:rPr>
          <w:rFonts w:hint="eastAsia" w:ascii="宋体" w:hAnsi="宋体"/>
          <w:color w:val="auto"/>
          <w:sz w:val="24"/>
          <w:szCs w:val="24"/>
          <w:highlight w:val="none"/>
        </w:rPr>
        <w:t>除上述文件、资料外，合同指定使用的技术规范、检验评定标准、操作规程都由</w:t>
      </w:r>
      <w:r>
        <w:rPr>
          <w:rFonts w:hint="eastAsia" w:ascii="宋体" w:hAnsi="宋体" w:cs="宋体"/>
          <w:color w:val="auto"/>
          <w:sz w:val="24"/>
          <w:highlight w:val="none"/>
        </w:rPr>
        <w:t>试验检测机构</w:t>
      </w:r>
      <w:r>
        <w:rPr>
          <w:rFonts w:hint="eastAsia" w:ascii="宋体" w:hAnsi="宋体"/>
          <w:color w:val="auto"/>
          <w:sz w:val="24"/>
          <w:szCs w:val="24"/>
          <w:highlight w:val="none"/>
        </w:rPr>
        <w:t>自行购买。</w:t>
      </w:r>
    </w:p>
    <w:p w14:paraId="09295D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提供期限：</w:t>
      </w:r>
      <w:r>
        <w:rPr>
          <w:rFonts w:hint="eastAsia" w:ascii="宋体" w:hAnsi="宋体"/>
          <w:color w:val="auto"/>
          <w:sz w:val="24"/>
          <w:szCs w:val="24"/>
          <w:highlight w:val="none"/>
          <w:u w:val="single"/>
        </w:rPr>
        <w:t>委托人应在合同生效且取得相关文件、资料后7日内</w:t>
      </w:r>
      <w:r>
        <w:rPr>
          <w:rFonts w:hint="eastAsia" w:ascii="宋体" w:hAnsi="宋体" w:cs="宋体"/>
          <w:color w:val="auto"/>
          <w:sz w:val="24"/>
          <w:highlight w:val="none"/>
        </w:rPr>
        <w:t>。</w:t>
      </w:r>
    </w:p>
    <w:p w14:paraId="71025C0A">
      <w:pPr>
        <w:pStyle w:val="6"/>
        <w:rPr>
          <w:rFonts w:ascii="Calibri" w:hAnsi="Calibri"/>
          <w:b w:val="0"/>
          <w:bCs w:val="0"/>
          <w:sz w:val="28"/>
          <w:szCs w:val="32"/>
        </w:rPr>
      </w:pPr>
      <w:bookmarkStart w:id="518" w:name="_Toc520709502"/>
      <w:bookmarkStart w:id="519" w:name="_Toc74760895"/>
      <w:bookmarkStart w:id="520" w:name="_Toc523921809"/>
      <w:r>
        <w:rPr>
          <w:rFonts w:ascii="Calibri" w:hAnsi="Calibri"/>
          <w:b w:val="0"/>
          <w:bCs w:val="0"/>
          <w:sz w:val="28"/>
          <w:szCs w:val="32"/>
        </w:rPr>
        <w:t xml:space="preserve">1.8 </w:t>
      </w:r>
      <w:r>
        <w:rPr>
          <w:rFonts w:hint="default" w:ascii="Calibri" w:hAnsi="Calibri"/>
          <w:b w:val="0"/>
          <w:bCs w:val="0"/>
          <w:sz w:val="28"/>
          <w:szCs w:val="32"/>
        </w:rPr>
        <w:t>转让和分包</w:t>
      </w:r>
      <w:bookmarkEnd w:id="518"/>
      <w:bookmarkEnd w:id="519"/>
      <w:bookmarkEnd w:id="520"/>
      <w:r>
        <w:rPr>
          <w:rFonts w:ascii="Calibri" w:hAnsi="Calibri"/>
          <w:b w:val="0"/>
          <w:bCs w:val="0"/>
          <w:sz w:val="28"/>
          <w:szCs w:val="32"/>
        </w:rPr>
        <w:t xml:space="preserve"> </w:t>
      </w:r>
    </w:p>
    <w:p w14:paraId="1A662C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w:t>
      </w:r>
      <w:r>
        <w:rPr>
          <w:rFonts w:ascii="宋体" w:hAnsi="宋体" w:cs="宋体"/>
          <w:color w:val="auto"/>
          <w:sz w:val="24"/>
          <w:highlight w:val="none"/>
        </w:rPr>
        <w:t>1.8.1项细化为：</w:t>
      </w:r>
    </w:p>
    <w:p w14:paraId="7806B2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试验检测机构不得转让本监理试验室合同。</w:t>
      </w:r>
    </w:p>
    <w:p w14:paraId="2E0CA524">
      <w:pPr>
        <w:pStyle w:val="6"/>
        <w:rPr>
          <w:rFonts w:ascii="Calibri" w:hAnsi="Calibri"/>
          <w:b w:val="0"/>
          <w:bCs w:val="0"/>
          <w:sz w:val="28"/>
          <w:szCs w:val="32"/>
        </w:rPr>
      </w:pPr>
      <w:bookmarkStart w:id="521" w:name="_Toc520709503"/>
      <w:bookmarkStart w:id="522" w:name="_Toc523921810"/>
      <w:bookmarkStart w:id="523" w:name="_Toc74760896"/>
      <w:r>
        <w:rPr>
          <w:rFonts w:hint="default" w:ascii="Calibri" w:hAnsi="Calibri"/>
          <w:b w:val="0"/>
          <w:bCs w:val="0"/>
          <w:sz w:val="28"/>
          <w:szCs w:val="32"/>
        </w:rPr>
        <w:t>1.12</w:t>
      </w:r>
      <w:r>
        <w:rPr>
          <w:rFonts w:hint="eastAsia"/>
          <w:b w:val="0"/>
          <w:bCs w:val="0"/>
          <w:sz w:val="28"/>
          <w:szCs w:val="32"/>
          <w:lang w:val="en-US" w:eastAsia="zh-CN"/>
        </w:rPr>
        <w:t xml:space="preserve"> </w:t>
      </w:r>
      <w:r>
        <w:rPr>
          <w:rFonts w:hint="default" w:ascii="Calibri" w:hAnsi="Calibri"/>
          <w:b w:val="0"/>
          <w:bCs w:val="0"/>
          <w:sz w:val="28"/>
          <w:szCs w:val="32"/>
        </w:rPr>
        <w:t>委托人要求</w:t>
      </w:r>
      <w:bookmarkEnd w:id="521"/>
      <w:bookmarkEnd w:id="522"/>
      <w:bookmarkEnd w:id="523"/>
    </w:p>
    <w:p w14:paraId="6EB08C15">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t>1.12.3委托人提供国外规范和标准的时间：</w:t>
      </w:r>
      <w:r>
        <w:rPr>
          <w:rFonts w:ascii="宋体" w:hAnsi="宋体" w:cs="宋体"/>
          <w:color w:val="auto"/>
          <w:sz w:val="24"/>
          <w:highlight w:val="none"/>
          <w:u w:val="single"/>
        </w:rPr>
        <w:t xml:space="preserve">        </w:t>
      </w:r>
      <w:r>
        <w:rPr>
          <w:rFonts w:ascii="宋体" w:hAnsi="宋体" w:cs="宋体"/>
          <w:color w:val="auto"/>
          <w:sz w:val="24"/>
          <w:highlight w:val="none"/>
        </w:rPr>
        <w:t>，提供数量：</w:t>
      </w:r>
      <w:r>
        <w:rPr>
          <w:rFonts w:ascii="宋体" w:hAnsi="宋体" w:cs="宋体"/>
          <w:color w:val="auto"/>
          <w:sz w:val="24"/>
          <w:highlight w:val="none"/>
          <w:u w:val="single"/>
        </w:rPr>
        <w:t xml:space="preserve">       </w:t>
      </w:r>
      <w:r>
        <w:rPr>
          <w:rFonts w:ascii="宋体" w:hAnsi="宋体" w:cs="宋体"/>
          <w:color w:val="auto"/>
          <w:sz w:val="24"/>
          <w:highlight w:val="none"/>
        </w:rPr>
        <w:t>，提供期限：</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2FCC818">
      <w:pPr>
        <w:pStyle w:val="5"/>
        <w:numPr>
          <w:ilvl w:val="0"/>
          <w:numId w:val="0"/>
        </w:numPr>
        <w:rPr>
          <w:rFonts w:hint="eastAsia" w:ascii="Arial" w:hAnsi="Arial"/>
          <w:b/>
          <w:sz w:val="28"/>
          <w:szCs w:val="32"/>
        </w:rPr>
      </w:pPr>
      <w:bookmarkStart w:id="524" w:name="_Toc520709504"/>
      <w:bookmarkStart w:id="525" w:name="_Toc513555600"/>
      <w:bookmarkStart w:id="526" w:name="_Toc519777934"/>
      <w:bookmarkStart w:id="527" w:name="_Toc519601502"/>
      <w:bookmarkStart w:id="528" w:name="_Toc519778495"/>
      <w:bookmarkStart w:id="529" w:name="_Toc523921811"/>
      <w:bookmarkStart w:id="530" w:name="_Toc519777882"/>
      <w:bookmarkStart w:id="531" w:name="_Toc513556679"/>
      <w:bookmarkStart w:id="532" w:name="_Toc519777830"/>
      <w:bookmarkStart w:id="533" w:name="_Toc513555844"/>
      <w:r>
        <w:rPr>
          <w:rFonts w:hint="eastAsia" w:ascii="Arial" w:hAnsi="Arial"/>
          <w:b/>
          <w:sz w:val="28"/>
          <w:szCs w:val="32"/>
        </w:rPr>
        <w:t>2</w:t>
      </w:r>
      <w:r>
        <w:rPr>
          <w:rFonts w:hint="eastAsia" w:ascii="Arial" w:hAnsi="Arial"/>
          <w:b/>
          <w:sz w:val="28"/>
          <w:szCs w:val="32"/>
          <w:lang w:val="en-US" w:eastAsia="zh-CN"/>
        </w:rPr>
        <w:t xml:space="preserve">. </w:t>
      </w:r>
      <w:r>
        <w:rPr>
          <w:rFonts w:hint="eastAsia" w:ascii="Arial" w:hAnsi="Arial"/>
          <w:b/>
          <w:sz w:val="28"/>
          <w:szCs w:val="32"/>
        </w:rPr>
        <w:t>委托人义务</w:t>
      </w:r>
      <w:bookmarkEnd w:id="524"/>
      <w:bookmarkEnd w:id="525"/>
      <w:bookmarkEnd w:id="526"/>
      <w:bookmarkEnd w:id="527"/>
      <w:bookmarkEnd w:id="528"/>
      <w:bookmarkEnd w:id="529"/>
      <w:bookmarkEnd w:id="530"/>
      <w:bookmarkEnd w:id="531"/>
      <w:bookmarkEnd w:id="532"/>
      <w:bookmarkEnd w:id="533"/>
    </w:p>
    <w:p w14:paraId="7313EEF5">
      <w:pPr>
        <w:pStyle w:val="6"/>
        <w:rPr>
          <w:rFonts w:ascii="Calibri" w:hAnsi="Calibri"/>
          <w:b w:val="0"/>
          <w:bCs w:val="0"/>
          <w:sz w:val="28"/>
          <w:szCs w:val="32"/>
        </w:rPr>
      </w:pPr>
      <w:r>
        <w:rPr>
          <w:rFonts w:hint="default" w:ascii="Calibri" w:hAnsi="Calibri"/>
          <w:b w:val="0"/>
          <w:bCs w:val="0"/>
          <w:sz w:val="28"/>
          <w:szCs w:val="32"/>
        </w:rPr>
        <w:t>2.</w:t>
      </w:r>
      <w:r>
        <w:rPr>
          <w:rFonts w:ascii="Calibri" w:hAnsi="Calibri"/>
          <w:b w:val="0"/>
          <w:bCs w:val="0"/>
          <w:sz w:val="28"/>
          <w:szCs w:val="32"/>
        </w:rPr>
        <w:t>3</w:t>
      </w:r>
      <w:r>
        <w:rPr>
          <w:rFonts w:hint="default" w:ascii="Calibri" w:hAnsi="Calibri"/>
          <w:b w:val="0"/>
          <w:bCs w:val="0"/>
          <w:sz w:val="28"/>
          <w:szCs w:val="32"/>
        </w:rPr>
        <w:t xml:space="preserve"> 提供设备、设施 </w:t>
      </w:r>
    </w:p>
    <w:p w14:paraId="0E08CAF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除合同条款另有约定外，委托人不为试验检测机构提供其现场人员在服务期间的办公、生活等条件，由</w:t>
      </w:r>
      <w:r>
        <w:rPr>
          <w:rFonts w:hint="eastAsia" w:ascii="宋体" w:hAnsi="宋体" w:cs="宋体"/>
          <w:color w:val="auto"/>
          <w:sz w:val="24"/>
          <w:highlight w:val="none"/>
          <w:lang w:val="en-US" w:eastAsia="zh-CN"/>
        </w:rPr>
        <w:t>试验检测机构</w:t>
      </w:r>
      <w:r>
        <w:rPr>
          <w:rFonts w:hint="eastAsia" w:ascii="宋体" w:hAnsi="宋体" w:cs="宋体"/>
          <w:color w:val="auto"/>
          <w:sz w:val="24"/>
          <w:highlight w:val="none"/>
        </w:rPr>
        <w:t>自行解决并承担费用。</w:t>
      </w:r>
    </w:p>
    <w:p w14:paraId="0627D54E">
      <w:pPr>
        <w:pStyle w:val="5"/>
        <w:numPr>
          <w:ilvl w:val="0"/>
          <w:numId w:val="0"/>
        </w:numPr>
        <w:rPr>
          <w:rFonts w:hint="eastAsia" w:ascii="Arial" w:hAnsi="Arial"/>
          <w:b/>
          <w:sz w:val="28"/>
          <w:szCs w:val="32"/>
        </w:rPr>
      </w:pPr>
      <w:bookmarkStart w:id="534" w:name="_Toc519601503"/>
      <w:bookmarkStart w:id="535" w:name="_Toc523921813"/>
      <w:bookmarkStart w:id="536" w:name="_Toc513555845"/>
      <w:bookmarkStart w:id="537" w:name="_Toc74760897"/>
      <w:bookmarkStart w:id="538" w:name="_Toc513556680"/>
      <w:bookmarkStart w:id="539" w:name="_Toc519778496"/>
      <w:bookmarkStart w:id="540" w:name="_Toc520709506"/>
      <w:bookmarkStart w:id="541" w:name="_Toc519777935"/>
      <w:bookmarkStart w:id="542" w:name="_Toc519777883"/>
      <w:bookmarkStart w:id="543" w:name="_Toc519777831"/>
      <w:bookmarkStart w:id="544" w:name="_Toc513555601"/>
      <w:r>
        <w:rPr>
          <w:rFonts w:hint="eastAsia" w:ascii="Arial" w:hAnsi="Arial"/>
          <w:b/>
          <w:sz w:val="28"/>
          <w:szCs w:val="32"/>
        </w:rPr>
        <w:t>3</w:t>
      </w:r>
      <w:r>
        <w:rPr>
          <w:rFonts w:hint="eastAsia" w:ascii="Arial" w:hAnsi="Arial"/>
          <w:b/>
          <w:sz w:val="28"/>
          <w:szCs w:val="32"/>
          <w:lang w:val="en-US" w:eastAsia="zh-CN"/>
        </w:rPr>
        <w:t xml:space="preserve">. </w:t>
      </w:r>
      <w:r>
        <w:rPr>
          <w:rFonts w:hint="eastAsia" w:ascii="Arial" w:hAnsi="Arial"/>
          <w:b/>
          <w:sz w:val="28"/>
          <w:szCs w:val="32"/>
        </w:rPr>
        <w:t>委托人管理</w:t>
      </w:r>
      <w:bookmarkEnd w:id="534"/>
      <w:bookmarkEnd w:id="535"/>
      <w:bookmarkEnd w:id="536"/>
      <w:bookmarkEnd w:id="537"/>
      <w:bookmarkEnd w:id="538"/>
      <w:bookmarkEnd w:id="539"/>
      <w:bookmarkEnd w:id="540"/>
      <w:bookmarkEnd w:id="541"/>
      <w:bookmarkEnd w:id="542"/>
      <w:bookmarkEnd w:id="543"/>
      <w:bookmarkEnd w:id="544"/>
    </w:p>
    <w:p w14:paraId="70DEB4A4">
      <w:pPr>
        <w:pStyle w:val="6"/>
        <w:rPr>
          <w:rFonts w:ascii="Calibri" w:hAnsi="Calibri"/>
          <w:b w:val="0"/>
          <w:bCs w:val="0"/>
          <w:sz w:val="28"/>
          <w:szCs w:val="32"/>
        </w:rPr>
      </w:pPr>
      <w:bookmarkStart w:id="545" w:name="_Toc520709507"/>
      <w:bookmarkStart w:id="546" w:name="_Toc523921814"/>
      <w:bookmarkStart w:id="547" w:name="_Toc74760898"/>
      <w:r>
        <w:rPr>
          <w:rFonts w:hint="default" w:ascii="Calibri" w:hAnsi="Calibri"/>
          <w:b w:val="0"/>
          <w:bCs w:val="0"/>
          <w:sz w:val="28"/>
          <w:szCs w:val="32"/>
        </w:rPr>
        <w:t>3.3</w:t>
      </w:r>
      <w:r>
        <w:rPr>
          <w:rFonts w:hint="eastAsia"/>
          <w:b w:val="0"/>
          <w:bCs w:val="0"/>
          <w:sz w:val="28"/>
          <w:szCs w:val="32"/>
          <w:lang w:val="en-US" w:eastAsia="zh-CN"/>
        </w:rPr>
        <w:t xml:space="preserve"> </w:t>
      </w:r>
      <w:r>
        <w:rPr>
          <w:rFonts w:hint="default" w:ascii="Calibri" w:hAnsi="Calibri"/>
          <w:b w:val="0"/>
          <w:bCs w:val="0"/>
          <w:sz w:val="28"/>
          <w:szCs w:val="32"/>
        </w:rPr>
        <w:t>决定或答复</w:t>
      </w:r>
      <w:bookmarkEnd w:id="545"/>
      <w:bookmarkEnd w:id="546"/>
      <w:bookmarkEnd w:id="547"/>
    </w:p>
    <w:p w14:paraId="3E18431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3.3.2</w:t>
      </w: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委托人应在收到</w:t>
      </w:r>
      <w:r>
        <w:rPr>
          <w:rFonts w:hint="eastAsia" w:ascii="宋体" w:hAnsi="宋体" w:cs="宋体"/>
          <w:color w:val="auto"/>
          <w:sz w:val="24"/>
          <w:highlight w:val="none"/>
        </w:rPr>
        <w:t>试验检测机构书面提出的事项后</w:t>
      </w:r>
      <w:r>
        <w:rPr>
          <w:rFonts w:ascii="宋体" w:hAnsi="宋体" w:cs="宋体"/>
          <w:color w:val="auto"/>
          <w:sz w:val="24"/>
          <w:highlight w:val="none"/>
          <w:u w:val="single"/>
        </w:rPr>
        <w:t xml:space="preserve">    </w:t>
      </w:r>
      <w:r>
        <w:rPr>
          <w:rFonts w:hint="eastAsia" w:ascii="宋体" w:hAnsi="宋体" w:cs="宋体"/>
          <w:color w:val="auto"/>
          <w:sz w:val="24"/>
          <w:highlight w:val="none"/>
        </w:rPr>
        <w:t>天</w:t>
      </w:r>
      <w:r>
        <w:rPr>
          <w:rStyle w:val="58"/>
          <w:rFonts w:ascii="宋体" w:hAnsi="宋体" w:cs="宋体"/>
          <w:color w:val="auto"/>
          <w:sz w:val="24"/>
          <w:highlight w:val="none"/>
        </w:rPr>
        <w:footnoteReference w:id="112"/>
      </w:r>
      <w:r>
        <w:rPr>
          <w:rFonts w:hint="eastAsia" w:ascii="宋体" w:hAnsi="宋体" w:cs="宋体"/>
          <w:color w:val="auto"/>
          <w:sz w:val="24"/>
          <w:highlight w:val="none"/>
        </w:rPr>
        <w:t>内作出书面答复。</w:t>
      </w:r>
    </w:p>
    <w:p w14:paraId="72950368">
      <w:pPr>
        <w:pStyle w:val="5"/>
        <w:numPr>
          <w:ilvl w:val="0"/>
          <w:numId w:val="0"/>
        </w:numPr>
        <w:rPr>
          <w:rFonts w:hint="eastAsia" w:ascii="Arial" w:hAnsi="Arial"/>
          <w:sz w:val="28"/>
          <w:szCs w:val="32"/>
        </w:rPr>
      </w:pPr>
      <w:bookmarkStart w:id="548" w:name="_Toc523921816"/>
      <w:bookmarkStart w:id="549" w:name="_Toc520709509"/>
      <w:bookmarkStart w:id="550" w:name="_Toc74760899"/>
      <w:r>
        <w:rPr>
          <w:rFonts w:hint="eastAsia" w:ascii="Arial" w:hAnsi="Arial"/>
          <w:b/>
          <w:sz w:val="28"/>
          <w:szCs w:val="32"/>
        </w:rPr>
        <w:t>4</w:t>
      </w:r>
      <w:r>
        <w:rPr>
          <w:rFonts w:hint="eastAsia" w:ascii="Arial" w:hAnsi="Arial"/>
          <w:b/>
          <w:sz w:val="28"/>
          <w:szCs w:val="32"/>
          <w:lang w:val="en-US" w:eastAsia="zh-CN"/>
        </w:rPr>
        <w:t xml:space="preserve">. </w:t>
      </w:r>
      <w:r>
        <w:rPr>
          <w:rFonts w:hint="eastAsia" w:ascii="Arial" w:hAnsi="Arial"/>
          <w:b/>
          <w:sz w:val="28"/>
          <w:szCs w:val="32"/>
        </w:rPr>
        <w:t>监理试验室义务</w:t>
      </w:r>
    </w:p>
    <w:p w14:paraId="7D543854">
      <w:pPr>
        <w:pStyle w:val="6"/>
        <w:rPr>
          <w:rFonts w:ascii="Calibri" w:hAnsi="Calibri"/>
          <w:b w:val="0"/>
          <w:bCs w:val="0"/>
          <w:sz w:val="28"/>
          <w:szCs w:val="32"/>
        </w:rPr>
      </w:pPr>
      <w:r>
        <w:rPr>
          <w:rFonts w:hint="default" w:ascii="Calibri" w:hAnsi="Calibri"/>
          <w:b w:val="0"/>
          <w:bCs w:val="0"/>
          <w:sz w:val="28"/>
          <w:szCs w:val="32"/>
        </w:rPr>
        <w:t>4.1</w:t>
      </w:r>
      <w:r>
        <w:rPr>
          <w:rFonts w:hint="eastAsia"/>
          <w:b w:val="0"/>
          <w:bCs w:val="0"/>
          <w:sz w:val="28"/>
          <w:szCs w:val="32"/>
          <w:lang w:val="en-US" w:eastAsia="zh-CN"/>
        </w:rPr>
        <w:t xml:space="preserve"> </w:t>
      </w:r>
      <w:r>
        <w:rPr>
          <w:rFonts w:hint="default" w:ascii="Calibri" w:hAnsi="Calibri"/>
          <w:b w:val="0"/>
          <w:bCs w:val="0"/>
          <w:sz w:val="28"/>
          <w:szCs w:val="32"/>
        </w:rPr>
        <w:t>监理试验室的</w:t>
      </w:r>
      <w:r>
        <w:rPr>
          <w:rFonts w:ascii="Calibri" w:hAnsi="Calibri"/>
          <w:b w:val="0"/>
          <w:bCs w:val="0"/>
          <w:sz w:val="28"/>
          <w:szCs w:val="32"/>
        </w:rPr>
        <w:t>一般义务</w:t>
      </w:r>
    </w:p>
    <w:p w14:paraId="74C5C8C8">
      <w:pPr>
        <w:spacing w:line="360" w:lineRule="auto"/>
        <w:ind w:firstLine="360" w:firstLineChars="150"/>
        <w:rPr>
          <w:rFonts w:ascii="黑体" w:hAnsi="黑体" w:eastAsia="黑体" w:cs="宋体"/>
          <w:color w:val="auto"/>
          <w:sz w:val="24"/>
          <w:highlight w:val="none"/>
        </w:rPr>
      </w:pPr>
      <w:r>
        <w:rPr>
          <w:rFonts w:hint="eastAsia" w:ascii="黑体" w:hAnsi="黑体" w:eastAsia="黑体" w:cs="宋体"/>
          <w:color w:val="auto"/>
          <w:sz w:val="24"/>
          <w:highlight w:val="none"/>
        </w:rPr>
        <w:t>4.1.4其他义务</w:t>
      </w:r>
    </w:p>
    <w:p w14:paraId="749C2530">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本项细化为：</w:t>
      </w:r>
    </w:p>
    <w:p w14:paraId="6CA664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（1）试验检测机构自行解决并承担现场人员在服务期间的办公、生活驻地的建设以及办公生活设施、交通设施、试验检测设施、互联网接口、冷暖设施、进出现场交通服务和其他便利条件的费用。</w:t>
      </w:r>
    </w:p>
    <w:p w14:paraId="42EF98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试验检测机构应按照交通运输部《工地试验室标准化建设要点》（厅质监字〔2012〕200号）</w:t>
      </w:r>
      <w:r>
        <w:rPr>
          <w:rFonts w:hint="eastAsia" w:ascii="宋体" w:hAnsi="宋体" w:cs="宋体"/>
          <w:color w:val="auto"/>
          <w:sz w:val="24"/>
          <w:highlight w:val="none"/>
          <w:lang w:eastAsia="zh-CN"/>
        </w:rPr>
        <w:t>、</w:t>
      </w:r>
      <w:r>
        <w:rPr>
          <w:rFonts w:hint="eastAsia" w:ascii="宋体" w:hAnsi="宋体"/>
          <w:color w:val="auto"/>
          <w:sz w:val="24"/>
          <w:highlight w:val="none"/>
        </w:rPr>
        <w:t>四川省交通运输厅《</w:t>
      </w:r>
      <w:r>
        <w:rPr>
          <w:rFonts w:ascii="宋体" w:hAnsi="宋体"/>
          <w:color w:val="auto"/>
          <w:sz w:val="24"/>
          <w:highlight w:val="none"/>
        </w:rPr>
        <w:t>四川省公路水运工程工地试验室和</w:t>
      </w:r>
      <w:r>
        <w:rPr>
          <w:rFonts w:hint="eastAsia" w:ascii="宋体" w:hAnsi="宋体"/>
          <w:color w:val="auto"/>
          <w:sz w:val="24"/>
          <w:highlight w:val="none"/>
        </w:rPr>
        <w:t>现场检测项目管理办法》（2</w:t>
      </w:r>
      <w:r>
        <w:rPr>
          <w:rFonts w:ascii="宋体" w:hAnsi="宋体"/>
          <w:color w:val="auto"/>
          <w:sz w:val="24"/>
          <w:highlight w:val="none"/>
        </w:rPr>
        <w:t>022</w:t>
      </w:r>
      <w:r>
        <w:rPr>
          <w:rFonts w:hint="eastAsia" w:ascii="宋体" w:hAnsi="宋体"/>
          <w:color w:val="auto"/>
          <w:sz w:val="24"/>
          <w:highlight w:val="none"/>
        </w:rPr>
        <w:t>年5月1日起施行）</w:t>
      </w:r>
      <w:r>
        <w:rPr>
          <w:rFonts w:hint="eastAsia" w:ascii="宋体" w:hAnsi="宋体" w:cs="宋体"/>
          <w:color w:val="auto"/>
          <w:sz w:val="24"/>
          <w:highlight w:val="none"/>
          <w:lang w:val="en-US" w:eastAsia="zh-CN"/>
        </w:rPr>
        <w:t>以及交通运输主管部门有关</w:t>
      </w:r>
      <w:r>
        <w:rPr>
          <w:rFonts w:hint="eastAsia" w:ascii="宋体" w:hAnsi="宋体" w:cs="宋体"/>
          <w:color w:val="auto"/>
          <w:sz w:val="24"/>
          <w:highlight w:val="none"/>
        </w:rPr>
        <w:t>工地标准化建设</w:t>
      </w:r>
      <w:r>
        <w:rPr>
          <w:rFonts w:hint="eastAsia" w:ascii="宋体" w:hAnsi="宋体" w:cs="宋体"/>
          <w:color w:val="auto"/>
          <w:sz w:val="24"/>
          <w:highlight w:val="none"/>
          <w:lang w:val="en-US" w:eastAsia="zh-CN"/>
        </w:rPr>
        <w:t>要求</w:t>
      </w:r>
      <w:r>
        <w:rPr>
          <w:rFonts w:hint="eastAsia" w:ascii="宋体" w:hAnsi="宋体"/>
          <w:color w:val="auto"/>
          <w:sz w:val="24"/>
          <w:highlight w:val="none"/>
        </w:rPr>
        <w:t>的规定</w:t>
      </w:r>
      <w:r>
        <w:rPr>
          <w:rFonts w:hint="eastAsia" w:ascii="宋体" w:hAnsi="宋体" w:cs="宋体"/>
          <w:color w:val="auto"/>
          <w:sz w:val="24"/>
          <w:highlight w:val="none"/>
        </w:rPr>
        <w:t>建设标准化监理工地试验室。具体要求见第五章“委托人要求”。</w:t>
      </w:r>
    </w:p>
    <w:p w14:paraId="7DC88E57">
      <w:pPr>
        <w:numPr>
          <w:ilvl w:val="-1"/>
          <w:numId w:val="0"/>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信息化管理</w:t>
      </w:r>
    </w:p>
    <w:p w14:paraId="1867AA1C">
      <w:pPr>
        <w:numPr>
          <w:ilvl w:val="-1"/>
          <w:numId w:val="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本</w:t>
      </w:r>
      <w:r>
        <w:rPr>
          <w:rFonts w:hint="eastAsia" w:ascii="宋体" w:hAnsi="宋体" w:cs="宋体"/>
          <w:color w:val="auto"/>
          <w:sz w:val="24"/>
          <w:highlight w:val="none"/>
        </w:rPr>
        <w:t>项目按照“五化”建设要求开展管理信息化建设，按委托人要求将工程质量、安全、进度、造价、设计变更、计量支付、试验检测、监理试验室人员身份等内容纳入信息管理系统。监理试验室应认真学习并执行委托人关于信息系统方面的管理办法，应配合委托人不断完善和维护该系统，改造和配置相应的设施设备满足信息化管理需要</w:t>
      </w:r>
      <w:r>
        <w:rPr>
          <w:rFonts w:hint="eastAsia" w:ascii="宋体" w:hAnsi="宋体" w:cs="宋体"/>
          <w:color w:val="auto"/>
          <w:sz w:val="24"/>
          <w:highlight w:val="none"/>
          <w:lang w:eastAsia="zh-CN"/>
        </w:rPr>
        <w:t>，</w:t>
      </w:r>
      <w:r>
        <w:rPr>
          <w:rFonts w:hint="eastAsia" w:ascii="宋体" w:hAnsi="宋体" w:cs="宋体"/>
          <w:color w:val="auto"/>
          <w:sz w:val="24"/>
          <w:highlight w:val="none"/>
        </w:rPr>
        <w:t>实现各参建单位之间的无纸化办公，及时处理上下级之间往来文件</w:t>
      </w:r>
      <w:r>
        <w:rPr>
          <w:rFonts w:hint="eastAsia" w:ascii="宋体" w:hAnsi="宋体" w:cs="宋体"/>
          <w:color w:val="auto"/>
          <w:sz w:val="24"/>
          <w:highlight w:val="none"/>
          <w:lang w:eastAsia="zh-CN"/>
        </w:rPr>
        <w:t>。</w:t>
      </w:r>
    </w:p>
    <w:p w14:paraId="1D0DBA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）廉洁与防腐</w:t>
      </w:r>
    </w:p>
    <w:p w14:paraId="6D7DD6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人与试验检测机构在合同执行过程中，应保持最高的道德水准，在签订监理试验室时一并签订工程廉政合同。试验检测人员不得接受或索取施工承包人或供货人任何有价物品；不得参与承包人邀请的有可能影响监理试验室公正的任何活动；也不得私自要求承包人安排亲朋好友工作或购买推荐材料；更不得获取超出合同规定以外的额外费用。</w:t>
      </w:r>
    </w:p>
    <w:p w14:paraId="39DF6F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）环保文明、</w:t>
      </w:r>
      <w:r>
        <w:rPr>
          <w:rFonts w:hint="eastAsia" w:cs="宋体" w:asciiTheme="minorEastAsia" w:hAnsiTheme="minorEastAsia" w:eastAsiaTheme="minorEastAsia"/>
          <w:color w:val="auto"/>
          <w:sz w:val="24"/>
          <w:highlight w:val="none"/>
        </w:rPr>
        <w:t>品质</w:t>
      </w:r>
      <w:r>
        <w:rPr>
          <w:rFonts w:cs="宋体" w:asciiTheme="minorEastAsia" w:hAnsiTheme="minorEastAsia" w:eastAsiaTheme="minorEastAsia"/>
          <w:color w:val="auto"/>
          <w:sz w:val="24"/>
          <w:highlight w:val="none"/>
        </w:rPr>
        <w:t>工程</w:t>
      </w:r>
      <w:r>
        <w:rPr>
          <w:rFonts w:hint="eastAsia" w:cs="宋体" w:asciiTheme="minorEastAsia" w:hAnsiTheme="minorEastAsia" w:eastAsiaTheme="minorEastAsia"/>
          <w:color w:val="auto"/>
          <w:sz w:val="24"/>
          <w:highlight w:val="none"/>
        </w:rPr>
        <w:t>及“五化”</w:t>
      </w:r>
      <w:r>
        <w:rPr>
          <w:rFonts w:hint="eastAsia" w:ascii="宋体" w:hAnsi="宋体" w:cs="宋体"/>
          <w:color w:val="auto"/>
          <w:sz w:val="24"/>
          <w:highlight w:val="none"/>
        </w:rPr>
        <w:t>监理试验室</w:t>
      </w:r>
    </w:p>
    <w:p w14:paraId="4422130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试验检测机构应按《公路工程施工监理规范》（JTG G10</w:t>
      </w:r>
      <w:r>
        <w:rPr>
          <w:rFonts w:hint="eastAsia" w:ascii="宋体" w:hAnsi="宋体" w:eastAsia="宋体" w:cs="宋体"/>
          <w:color w:val="auto"/>
          <w:sz w:val="24"/>
          <w:highlight w:val="none"/>
        </w:rPr>
        <w:t>－</w:t>
      </w:r>
      <w:r>
        <w:rPr>
          <w:rFonts w:hint="eastAsia" w:ascii="宋体" w:hAnsi="宋体" w:cs="宋体"/>
          <w:color w:val="auto"/>
          <w:sz w:val="24"/>
          <w:highlight w:val="none"/>
        </w:rPr>
        <w:t>2016）</w:t>
      </w:r>
      <w:r>
        <w:rPr>
          <w:rFonts w:hint="eastAsia" w:ascii="宋体" w:hAnsi="宋体" w:cs="宋体"/>
          <w:color w:val="auto"/>
          <w:sz w:val="24"/>
          <w:highlight w:val="none"/>
          <w:lang w:val="en-US" w:eastAsia="zh-CN"/>
        </w:rPr>
        <w:t>以及</w:t>
      </w:r>
      <w:r>
        <w:rPr>
          <w:rFonts w:hint="eastAsia" w:ascii="宋体" w:hAnsi="宋体" w:cs="宋体"/>
          <w:color w:val="auto"/>
          <w:sz w:val="24"/>
          <w:highlight w:val="none"/>
        </w:rPr>
        <w:t>委托人的相关管理办法做好质量、安全、环保工作。</w:t>
      </w:r>
    </w:p>
    <w:p w14:paraId="389BBC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环保文明检测：试验检测机构还应在技术建议书中，明确环保文明检测的具体措施，同时执行委托人的环保文明管理办法，按照委托人的有关管理办法做好安全管理与环保文明检测等现场管理。</w:t>
      </w:r>
    </w:p>
    <w:p w14:paraId="4A1D0C08">
      <w:pPr>
        <w:widowControl/>
        <w:snapToGrid w:val="0"/>
        <w:spacing w:line="360" w:lineRule="auto"/>
        <w:ind w:firstLine="480" w:firstLineChars="200"/>
        <w:rPr>
          <w:rFonts w:ascii="宋体" w:hAnsi="宋体"/>
          <w:color w:val="auto"/>
          <w:kern w:val="0"/>
          <w:sz w:val="24"/>
          <w:highlight w:val="none"/>
        </w:rPr>
      </w:pPr>
      <w:r>
        <w:rPr>
          <w:rFonts w:hint="eastAsia" w:cs="宋体" w:asciiTheme="minorEastAsia" w:hAnsiTheme="minorEastAsia" w:eastAsiaTheme="minorEastAsia"/>
          <w:color w:val="auto"/>
          <w:sz w:val="24"/>
          <w:highlight w:val="none"/>
        </w:rPr>
        <w:t>品质</w:t>
      </w:r>
      <w:r>
        <w:rPr>
          <w:rFonts w:cs="宋体" w:asciiTheme="minorEastAsia" w:hAnsiTheme="minorEastAsia" w:eastAsiaTheme="minorEastAsia"/>
          <w:color w:val="auto"/>
          <w:sz w:val="24"/>
          <w:highlight w:val="none"/>
        </w:rPr>
        <w:t>工程</w:t>
      </w:r>
      <w:r>
        <w:rPr>
          <w:rFonts w:hint="eastAsia" w:cs="宋体" w:asciiTheme="minorEastAsia" w:hAnsiTheme="minorEastAsia" w:eastAsiaTheme="minorEastAsia"/>
          <w:color w:val="auto"/>
          <w:sz w:val="24"/>
          <w:highlight w:val="none"/>
        </w:rPr>
        <w:t>及“五化”</w:t>
      </w:r>
      <w:r>
        <w:rPr>
          <w:rFonts w:hint="eastAsia" w:ascii="宋体" w:hAnsi="宋体" w:cs="宋体"/>
          <w:color w:val="auto"/>
          <w:sz w:val="24"/>
          <w:highlight w:val="none"/>
        </w:rPr>
        <w:t>监理试验室：试验检测机构应</w:t>
      </w:r>
      <w:bookmarkStart w:id="551" w:name="_Hlk94037898"/>
      <w:r>
        <w:rPr>
          <w:rFonts w:hint="eastAsia" w:cs="宋体" w:asciiTheme="minorEastAsia" w:hAnsiTheme="minorEastAsia" w:eastAsiaTheme="minorEastAsia"/>
          <w:color w:val="auto"/>
          <w:sz w:val="24"/>
          <w:highlight w:val="none"/>
        </w:rPr>
        <w:t>认真贯彻落实</w:t>
      </w:r>
      <w:bookmarkStart w:id="552" w:name="_Hlk94017535"/>
      <w:r>
        <w:rPr>
          <w:rFonts w:hint="eastAsia" w:ascii="宋体" w:hAnsi="宋体"/>
          <w:color w:val="auto"/>
          <w:kern w:val="0"/>
          <w:sz w:val="24"/>
          <w:highlight w:val="none"/>
        </w:rPr>
        <w:t>、推进公路水运“品质工程”建设的实施</w:t>
      </w:r>
      <w:bookmarkEnd w:id="552"/>
      <w:r>
        <w:rPr>
          <w:rFonts w:hint="eastAsia" w:ascii="宋体" w:hAnsi="宋体"/>
          <w:color w:val="auto"/>
          <w:kern w:val="0"/>
          <w:sz w:val="24"/>
          <w:highlight w:val="none"/>
        </w:rPr>
        <w:t>，</w:t>
      </w:r>
      <w:r>
        <w:rPr>
          <w:rFonts w:hint="eastAsia" w:asciiTheme="minorEastAsia" w:hAnsiTheme="minorEastAsia" w:eastAsiaTheme="minorEastAsia"/>
          <w:color w:val="auto"/>
          <w:kern w:val="0"/>
          <w:sz w:val="24"/>
          <w:highlight w:val="none"/>
        </w:rPr>
        <w:t>同时按照上级主管部门以及</w:t>
      </w:r>
      <w:r>
        <w:rPr>
          <w:rFonts w:hint="eastAsia" w:cs="宋体" w:asciiTheme="minorEastAsia" w:hAnsiTheme="minorEastAsia" w:eastAsiaTheme="minorEastAsia"/>
          <w:color w:val="auto"/>
          <w:sz w:val="24"/>
          <w:highlight w:val="none"/>
        </w:rPr>
        <w:t>委托人</w:t>
      </w:r>
      <w:r>
        <w:rPr>
          <w:rFonts w:hint="eastAsia" w:asciiTheme="minorEastAsia" w:hAnsiTheme="minorEastAsia" w:eastAsiaTheme="minorEastAsia"/>
          <w:color w:val="auto"/>
          <w:kern w:val="0"/>
          <w:sz w:val="24"/>
          <w:highlight w:val="none"/>
        </w:rPr>
        <w:t>出台的相关标准化</w:t>
      </w:r>
      <w:r>
        <w:rPr>
          <w:rFonts w:asciiTheme="minorEastAsia" w:hAnsiTheme="minorEastAsia" w:eastAsiaTheme="minorEastAsia"/>
          <w:color w:val="auto"/>
          <w:kern w:val="0"/>
          <w:sz w:val="24"/>
          <w:highlight w:val="none"/>
        </w:rPr>
        <w:t>建设</w:t>
      </w:r>
      <w:r>
        <w:rPr>
          <w:rFonts w:hint="eastAsia" w:asciiTheme="minorEastAsia" w:hAnsiTheme="minorEastAsia" w:eastAsiaTheme="minorEastAsia"/>
          <w:color w:val="auto"/>
          <w:kern w:val="0"/>
          <w:sz w:val="24"/>
          <w:highlight w:val="none"/>
        </w:rPr>
        <w:t>和</w:t>
      </w:r>
      <w:r>
        <w:rPr>
          <w:rFonts w:asciiTheme="minorEastAsia" w:hAnsiTheme="minorEastAsia" w:eastAsiaTheme="minorEastAsia"/>
          <w:color w:val="auto"/>
          <w:kern w:val="0"/>
          <w:sz w:val="24"/>
          <w:highlight w:val="none"/>
        </w:rPr>
        <w:t>品质工程</w:t>
      </w:r>
      <w:r>
        <w:rPr>
          <w:rFonts w:hint="eastAsia" w:cs="宋体" w:asciiTheme="minorEastAsia" w:hAnsiTheme="minorEastAsia" w:eastAsiaTheme="minorEastAsia"/>
          <w:color w:val="auto"/>
          <w:sz w:val="24"/>
          <w:highlight w:val="none"/>
        </w:rPr>
        <w:t>管理办法的要求</w:t>
      </w:r>
      <w:bookmarkEnd w:id="551"/>
      <w:r>
        <w:rPr>
          <w:rFonts w:hint="eastAsia" w:cs="宋体" w:asciiTheme="minorEastAsia" w:hAnsiTheme="minorEastAsia" w:eastAsiaTheme="minorEastAsia"/>
          <w:color w:val="auto"/>
          <w:sz w:val="24"/>
          <w:highlight w:val="none"/>
        </w:rPr>
        <w:t>进行现场试验检测。</w:t>
      </w:r>
    </w:p>
    <w:p w14:paraId="10414512">
      <w:pPr>
        <w:widowControl/>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5</w:t>
      </w:r>
      <w:r>
        <w:rPr>
          <w:rFonts w:hint="eastAsia" w:ascii="宋体" w:hAnsi="宋体"/>
          <w:color w:val="auto"/>
          <w:kern w:val="0"/>
          <w:sz w:val="24"/>
          <w:highlight w:val="none"/>
        </w:rPr>
        <w:t>）安全</w:t>
      </w:r>
      <w:r>
        <w:rPr>
          <w:rFonts w:hint="eastAsia" w:ascii="宋体" w:hAnsi="宋体"/>
          <w:color w:val="auto"/>
          <w:kern w:val="0"/>
          <w:sz w:val="24"/>
          <w:highlight w:val="none"/>
          <w:lang w:val="en-US" w:eastAsia="zh-CN"/>
        </w:rPr>
        <w:t>试验</w:t>
      </w:r>
      <w:r>
        <w:rPr>
          <w:rFonts w:hint="eastAsia" w:ascii="宋体" w:hAnsi="宋体"/>
          <w:color w:val="auto"/>
          <w:kern w:val="0"/>
          <w:sz w:val="24"/>
          <w:highlight w:val="none"/>
        </w:rPr>
        <w:t>检测</w:t>
      </w:r>
    </w:p>
    <w:p w14:paraId="6841F2BA">
      <w:pPr>
        <w:widowControl/>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监理试验室应按照</w:t>
      </w:r>
      <w:r>
        <w:rPr>
          <w:rStyle w:val="50"/>
          <w:rFonts w:hint="eastAsia" w:ascii="宋体" w:hAnsi="宋体" w:eastAsia="宋体" w:cs="宋体"/>
          <w:sz w:val="24"/>
          <w:szCs w:val="24"/>
          <w:highlight w:val="none"/>
          <w:lang w:eastAsia="zh-CN"/>
        </w:rPr>
        <w:t>《</w:t>
      </w:r>
      <w:r>
        <w:rPr>
          <w:rStyle w:val="50"/>
          <w:rFonts w:hint="eastAsia" w:ascii="宋体" w:hAnsi="宋体" w:eastAsia="宋体" w:cs="宋体"/>
          <w:sz w:val="24"/>
          <w:szCs w:val="24"/>
          <w:highlight w:val="none"/>
          <w:lang w:val="en-US" w:eastAsia="zh-CN"/>
        </w:rPr>
        <w:t>中华人民共和国安全生产法</w:t>
      </w:r>
      <w:r>
        <w:rPr>
          <w:rStyle w:val="50"/>
          <w:rFonts w:hint="eastAsia" w:ascii="宋体" w:hAnsi="宋体" w:eastAsia="宋体" w:cs="宋体"/>
          <w:sz w:val="24"/>
          <w:szCs w:val="24"/>
          <w:highlight w:val="none"/>
          <w:lang w:eastAsia="zh-CN"/>
        </w:rPr>
        <w:t>》</w:t>
      </w:r>
      <w:r>
        <w:rPr>
          <w:rFonts w:hint="eastAsia" w:ascii="宋体" w:hAnsi="宋体"/>
          <w:color w:val="auto"/>
          <w:kern w:val="0"/>
          <w:sz w:val="24"/>
          <w:highlight w:val="none"/>
        </w:rPr>
        <w:t>《</w:t>
      </w:r>
      <w:r>
        <w:rPr>
          <w:rFonts w:hint="eastAsia" w:asciiTheme="minorEastAsia" w:hAnsiTheme="minorEastAsia" w:eastAsiaTheme="minorEastAsia"/>
          <w:color w:val="auto"/>
          <w:sz w:val="24"/>
          <w:highlight w:val="none"/>
        </w:rPr>
        <w:t>四川省安全生产条例》</w:t>
      </w:r>
      <w:r>
        <w:rPr>
          <w:rFonts w:hint="eastAsia" w:cs="宋体" w:asciiTheme="minorEastAsia" w:hAnsiTheme="minorEastAsia" w:eastAsiaTheme="minorEastAsia"/>
          <w:color w:val="auto"/>
          <w:sz w:val="24"/>
          <w:highlight w:val="none"/>
        </w:rPr>
        <w:t>《公路工程施工安全技术规程》</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w:t>
      </w:r>
      <w:r>
        <w:rPr>
          <w:rFonts w:hint="eastAsia" w:ascii="宋体" w:hAnsi="宋体" w:eastAsia="宋体" w:cs="宋体"/>
          <w:color w:val="auto"/>
          <w:sz w:val="24"/>
          <w:highlight w:val="none"/>
        </w:rPr>
        <w:t>公路水运工程安全生产监督管理办法》</w:t>
      </w:r>
      <w:r>
        <w:rPr>
          <w:rFonts w:hint="eastAsia" w:cs="宋体" w:asciiTheme="minorEastAsia" w:hAnsiTheme="minorEastAsia" w:eastAsiaTheme="minorEastAsia"/>
          <w:color w:val="auto"/>
          <w:sz w:val="24"/>
          <w:highlight w:val="none"/>
        </w:rPr>
        <w:t>（交通运输部</w:t>
      </w:r>
      <w:r>
        <w:rPr>
          <w:rFonts w:hint="eastAsia" w:cs="宋体" w:asciiTheme="minorEastAsia" w:hAnsiTheme="minorEastAsia" w:eastAsiaTheme="minorEastAsia"/>
          <w:color w:val="auto"/>
          <w:sz w:val="24"/>
          <w:highlight w:val="none"/>
          <w:lang w:val="en-US" w:eastAsia="zh-CN"/>
        </w:rPr>
        <w:t>令</w:t>
      </w:r>
      <w:r>
        <w:rPr>
          <w:rFonts w:hint="eastAsia" w:cs="宋体" w:asciiTheme="minorEastAsia" w:hAnsiTheme="minorEastAsia" w:eastAsiaTheme="minorEastAsia"/>
          <w:color w:val="auto"/>
          <w:sz w:val="24"/>
          <w:highlight w:val="none"/>
        </w:rPr>
        <w:t>2017年第25号）、</w:t>
      </w:r>
      <w:r>
        <w:rPr>
          <w:rFonts w:hint="eastAsia" w:ascii="宋体" w:hAnsi="宋体" w:eastAsia="宋体" w:cs="宋体"/>
          <w:color w:val="auto"/>
          <w:sz w:val="24"/>
          <w:highlight w:val="none"/>
        </w:rPr>
        <w:t>《交通运输部关于印发〈公路水运工程平安工地建设管理办法〉的通知》</w:t>
      </w:r>
      <w:r>
        <w:rPr>
          <w:rFonts w:hint="eastAsia" w:cs="Courier New" w:asciiTheme="minorEastAsia" w:hAnsiTheme="minorEastAsia" w:eastAsiaTheme="minorEastAsia"/>
          <w:color w:val="auto"/>
          <w:sz w:val="24"/>
          <w:highlight w:val="none"/>
        </w:rPr>
        <w:t>（交安监发〔</w:t>
      </w:r>
      <w:r>
        <w:rPr>
          <w:rFonts w:cs="Courier New" w:asciiTheme="minorEastAsia" w:hAnsiTheme="minorEastAsia" w:eastAsiaTheme="minorEastAsia"/>
          <w:color w:val="auto"/>
          <w:sz w:val="24"/>
          <w:highlight w:val="none"/>
        </w:rPr>
        <w:t>2018</w:t>
      </w:r>
      <w:r>
        <w:rPr>
          <w:rFonts w:hint="eastAsia" w:cs="Courier New" w:asciiTheme="minorEastAsia" w:hAnsiTheme="minorEastAsia" w:eastAsiaTheme="minorEastAsia"/>
          <w:color w:val="auto"/>
          <w:sz w:val="24"/>
          <w:highlight w:val="none"/>
        </w:rPr>
        <w:t>〕</w:t>
      </w:r>
      <w:r>
        <w:rPr>
          <w:rFonts w:cs="Courier New" w:asciiTheme="minorEastAsia" w:hAnsiTheme="minorEastAsia" w:eastAsiaTheme="minorEastAsia"/>
          <w:color w:val="auto"/>
          <w:sz w:val="24"/>
          <w:highlight w:val="none"/>
        </w:rPr>
        <w:t>43</w:t>
      </w:r>
      <w:r>
        <w:rPr>
          <w:rFonts w:hint="eastAsia" w:cs="Courier New" w:asciiTheme="minorEastAsia" w:hAnsiTheme="minorEastAsia" w:eastAsiaTheme="minorEastAsia"/>
          <w:color w:val="auto"/>
          <w:sz w:val="24"/>
          <w:highlight w:val="none"/>
        </w:rPr>
        <w:t>号）</w:t>
      </w:r>
      <w:r>
        <w:rPr>
          <w:rFonts w:hint="eastAsia" w:cs="宋体" w:asciiTheme="minorEastAsia" w:hAnsiTheme="minorEastAsia" w:eastAsiaTheme="minorEastAsia"/>
          <w:color w:val="auto"/>
          <w:sz w:val="24"/>
          <w:highlight w:val="none"/>
        </w:rPr>
        <w:t>等</w:t>
      </w:r>
      <w:r>
        <w:rPr>
          <w:rFonts w:hint="eastAsia" w:ascii="宋体" w:hAnsi="宋体"/>
          <w:color w:val="auto"/>
          <w:kern w:val="0"/>
          <w:sz w:val="24"/>
          <w:highlight w:val="none"/>
        </w:rPr>
        <w:t>开展试验检测工作</w:t>
      </w:r>
      <w:r>
        <w:rPr>
          <w:rFonts w:hint="eastAsia" w:ascii="宋体" w:hAnsi="宋体"/>
          <w:color w:val="auto"/>
          <w:kern w:val="0"/>
          <w:sz w:val="24"/>
          <w:highlight w:val="none"/>
          <w:lang w:eastAsia="zh-CN"/>
        </w:rPr>
        <w:t>。</w:t>
      </w:r>
      <w:r>
        <w:rPr>
          <w:rFonts w:hint="eastAsia" w:ascii="宋体" w:hAnsi="宋体"/>
          <w:color w:val="auto"/>
          <w:kern w:val="0"/>
          <w:sz w:val="24"/>
          <w:highlight w:val="none"/>
        </w:rPr>
        <w:t>首先应建立试验检测工作的安全制度，对工地试验室的工作环境安全、人员安全、试验检测设施设备及材料的安全、进入施工作业现场开展试验检测工作的安全，落实到位、责任明确。试验检测设备不得带病运行，进出施工现场人员应遵守作业现场承包人的指挥，做好自身安全防护。安全防护措施不符合要求的，不得进入施工现场作业。由于试验检测机构安全措施不到位，或者安全意识不强疏忽大意等导致的人员、设备、第三方安全事故责任均由试验检测机构承担。</w:t>
      </w:r>
    </w:p>
    <w:p w14:paraId="75BF0A3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6</w:t>
      </w:r>
      <w:r>
        <w:rPr>
          <w:rFonts w:hint="eastAsia" w:cs="宋体" w:asciiTheme="minorEastAsia" w:hAnsiTheme="minorEastAsia" w:eastAsiaTheme="minorEastAsia"/>
          <w:color w:val="auto"/>
          <w:sz w:val="24"/>
          <w:highlight w:val="none"/>
        </w:rPr>
        <w:t>）卫生防疫</w:t>
      </w:r>
    </w:p>
    <w:p w14:paraId="3B86B04E">
      <w:pPr>
        <w:spacing w:line="360" w:lineRule="auto"/>
        <w:ind w:firstLine="480" w:firstLineChars="200"/>
        <w:rPr>
          <w:rFonts w:ascii="宋体" w:hAnsi="宋体" w:cs="宋体"/>
          <w:color w:val="auto"/>
          <w:sz w:val="24"/>
          <w:highlight w:val="none"/>
        </w:rPr>
      </w:pPr>
      <w:r>
        <w:rPr>
          <w:rFonts w:hint="eastAsia" w:cs="Arial" w:asciiTheme="minorEastAsia" w:hAnsiTheme="minorEastAsia" w:eastAsiaTheme="minorEastAsia"/>
          <w:color w:val="auto"/>
          <w:sz w:val="24"/>
          <w:highlight w:val="none"/>
        </w:rPr>
        <w:t>在遭遇疫情重大突发公共卫生事件情形下，试验检测机构应落实疫情防控措施，且措施具有可行、有效性。检测人员要倡导社交文明、加强公共卫生，做好人员、驻地、设施设备的消毒、防疫以及宣传教育工作。人员注重卫生勤洗手、树立良好的卫生习惯。高度警惕侥幸心理、松劲心态，提高工作科学性、针对性和有效性，进一步筑牢疫情防控防线，确保上岗人员安全健康，工程顺利推进。</w:t>
      </w:r>
    </w:p>
    <w:p w14:paraId="082DEA5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cs="宋体" w:asciiTheme="minorEastAsia" w:hAnsiTheme="minorEastAsia" w:eastAsiaTheme="minorEastAsia"/>
          <w:color w:val="auto"/>
          <w:sz w:val="24"/>
          <w:highlight w:val="none"/>
        </w:rPr>
        <w:t>7</w:t>
      </w:r>
      <w:r>
        <w:rPr>
          <w:rFonts w:hint="eastAsia" w:cs="宋体" w:asciiTheme="minorEastAsia" w:hAnsiTheme="minorEastAsia" w:eastAsiaTheme="minorEastAsia"/>
          <w:color w:val="auto"/>
          <w:sz w:val="24"/>
          <w:highlight w:val="none"/>
        </w:rPr>
        <w:t>）</w:t>
      </w:r>
      <w:r>
        <w:rPr>
          <w:rFonts w:hint="eastAsia" w:ascii="宋体" w:hAnsi="宋体"/>
          <w:color w:val="auto"/>
          <w:kern w:val="0"/>
          <w:sz w:val="24"/>
          <w:highlight w:val="none"/>
        </w:rPr>
        <w:t>事故报告必须按交通运输部《公路水运建设工程质量事故等级划分和报告制度的通知》（交办安监</w:t>
      </w:r>
      <w:r>
        <w:rPr>
          <w:rFonts w:ascii="宋体" w:hAnsi="宋体"/>
          <w:color w:val="auto"/>
          <w:kern w:val="0"/>
          <w:sz w:val="24"/>
          <w:highlight w:val="none"/>
        </w:rPr>
        <w:t>〔2016〕146号）、国务院《生产安全事故报告和调查处理条例》的要求办理及四川省现行有关规定的质量安全报告程序进行。</w:t>
      </w:r>
    </w:p>
    <w:p w14:paraId="090F9F72">
      <w:pPr>
        <w:widowControl/>
        <w:snapToGrid w:val="0"/>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w:t>
      </w:r>
      <w:r>
        <w:rPr>
          <w:rFonts w:ascii="宋体" w:hAnsi="宋体"/>
          <w:color w:val="auto"/>
          <w:kern w:val="0"/>
          <w:sz w:val="24"/>
          <w:highlight w:val="none"/>
        </w:rPr>
        <w:t>8</w:t>
      </w:r>
      <w:r>
        <w:rPr>
          <w:rFonts w:hint="eastAsia" w:ascii="宋体" w:hAnsi="宋体"/>
          <w:color w:val="auto"/>
          <w:kern w:val="0"/>
          <w:sz w:val="24"/>
          <w:highlight w:val="none"/>
        </w:rPr>
        <w:t>）</w:t>
      </w:r>
      <w:r>
        <w:rPr>
          <w:rFonts w:hint="eastAsia" w:cs="宋体" w:asciiTheme="minorEastAsia" w:hAnsiTheme="minorEastAsia" w:eastAsiaTheme="minorEastAsia"/>
          <w:color w:val="auto"/>
          <w:sz w:val="24"/>
          <w:highlight w:val="none"/>
        </w:rPr>
        <w:t>在工程实施过程中，如果有新的法律法规、规章制度、办法细则的颁布实施，本项目将按上级主管部门的决定采用执行，如有费用增减将按专用合同条款第6.2款有关规定办理。</w:t>
      </w:r>
    </w:p>
    <w:p w14:paraId="59EAD51D">
      <w:pPr>
        <w:widowControl/>
        <w:snapToGrid w:val="0"/>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lang w:val="en-US" w:eastAsia="zh-CN"/>
        </w:rPr>
        <w:t>9</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rPr>
        <w:t>为实施本合同工程的监理试验室车辆，经过相关收费公路的通行费用，由试验检测机构自行按章缴纳。</w:t>
      </w:r>
    </w:p>
    <w:p w14:paraId="5E6EB13F">
      <w:pPr>
        <w:widowControl/>
        <w:snapToGrid w:val="0"/>
        <w:spacing w:line="360" w:lineRule="auto"/>
        <w:ind w:firstLine="480" w:firstLineChars="200"/>
        <w:rPr>
          <w:rFonts w:hint="eastAsia"/>
          <w:color w:val="auto"/>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10</w:t>
      </w:r>
      <w:r>
        <w:rPr>
          <w:rFonts w:hint="eastAsia" w:ascii="宋体" w:hAnsi="宋体" w:cs="宋体"/>
          <w:color w:val="auto"/>
          <w:sz w:val="24"/>
          <w:highlight w:val="none"/>
          <w:lang w:eastAsia="zh-CN"/>
        </w:rPr>
        <w:t>）</w:t>
      </w:r>
      <w:r>
        <w:rPr>
          <w:rFonts w:hint="eastAsia" w:ascii="宋体" w:hAnsi="宋体" w:cs="宋体"/>
          <w:color w:val="auto"/>
          <w:sz w:val="24"/>
          <w:highlight w:val="none"/>
        </w:rPr>
        <w:t>试验检测机构应履行合同约定的其他义务。</w:t>
      </w:r>
    </w:p>
    <w:p w14:paraId="111271B2">
      <w:pPr>
        <w:pStyle w:val="6"/>
        <w:rPr>
          <w:rFonts w:ascii="Calibri" w:hAnsi="Calibri"/>
          <w:b w:val="0"/>
          <w:bCs w:val="0"/>
          <w:sz w:val="28"/>
          <w:szCs w:val="32"/>
        </w:rPr>
      </w:pPr>
      <w:r>
        <w:rPr>
          <w:rFonts w:hint="default" w:ascii="Calibri" w:hAnsi="Calibri"/>
          <w:b w:val="0"/>
          <w:bCs w:val="0"/>
          <w:sz w:val="28"/>
          <w:szCs w:val="32"/>
        </w:rPr>
        <w:t>4.2</w:t>
      </w:r>
      <w:r>
        <w:rPr>
          <w:rFonts w:hint="eastAsia"/>
          <w:b w:val="0"/>
          <w:bCs w:val="0"/>
          <w:sz w:val="28"/>
          <w:szCs w:val="32"/>
          <w:lang w:val="en-US" w:eastAsia="zh-CN"/>
        </w:rPr>
        <w:t xml:space="preserve"> </w:t>
      </w:r>
      <w:r>
        <w:rPr>
          <w:rFonts w:hint="default" w:ascii="Calibri" w:hAnsi="Calibri"/>
          <w:b w:val="0"/>
          <w:bCs w:val="0"/>
          <w:sz w:val="28"/>
          <w:szCs w:val="32"/>
        </w:rPr>
        <w:t>履约保证金</w:t>
      </w:r>
      <w:bookmarkEnd w:id="548"/>
      <w:bookmarkEnd w:id="549"/>
      <w:bookmarkEnd w:id="550"/>
    </w:p>
    <w:p w14:paraId="3B41DE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第4.2.1项细化为：</w:t>
      </w:r>
    </w:p>
    <w:p w14:paraId="21D9CE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试验检测机构在签订监理试验室合同协议书之前，应向委托人递交履约保证金，金额、形式要求见投标人须知前附表。当试验检测机构不能按合同约定提供试验检测服务时，委托人可动用试验检测机构履约保证金另外选择新试验检测机构完成合同，由此增加的费用由原试验检测机构承担。</w:t>
      </w:r>
    </w:p>
    <w:p w14:paraId="36A612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履约保证金从签订监理试验室合同协议书之日起生效，至工程项目签发交工验收证书之日后14日后失效。履约保证金（若为履约现金担保，所产生的同期活期利息归监理试验室所有）在签发交工验收证书且试验检测机构向</w:t>
      </w:r>
      <w:r>
        <w:rPr>
          <w:rFonts w:hint="eastAsia" w:ascii="宋体" w:hAnsi="宋体" w:cs="宋体"/>
          <w:color w:val="auto"/>
          <w:sz w:val="24"/>
          <w:highlight w:val="none"/>
          <w:lang w:val="en-US" w:eastAsia="zh-CN"/>
        </w:rPr>
        <w:t>委托</w:t>
      </w:r>
      <w:r>
        <w:rPr>
          <w:rFonts w:hint="eastAsia" w:ascii="宋体" w:hAnsi="宋体" w:cs="宋体"/>
          <w:color w:val="auto"/>
          <w:sz w:val="24"/>
          <w:highlight w:val="none"/>
        </w:rPr>
        <w:t>人提交了缺陷责任期保函后退还给试验检测机构。</w:t>
      </w:r>
    </w:p>
    <w:p w14:paraId="35FEF4D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缺陷责任期保函金额：</w:t>
      </w:r>
      <w:r>
        <w:rPr>
          <w:rFonts w:ascii="宋体" w:hAnsi="宋体" w:cs="宋体"/>
          <w:color w:val="auto"/>
          <w:sz w:val="24"/>
          <w:highlight w:val="none"/>
          <w:u w:val="single"/>
        </w:rPr>
        <w:t xml:space="preserve">          </w:t>
      </w:r>
      <w:r>
        <w:rPr>
          <w:rStyle w:val="58"/>
          <w:rFonts w:ascii="宋体" w:hAnsi="宋体" w:cs="宋体"/>
          <w:color w:val="auto"/>
          <w:sz w:val="24"/>
          <w:highlight w:val="none"/>
        </w:rPr>
        <w:footnoteReference w:id="113"/>
      </w:r>
      <w:r>
        <w:rPr>
          <w:rFonts w:hint="eastAsia" w:ascii="宋体" w:hAnsi="宋体" w:cs="宋体"/>
          <w:color w:val="auto"/>
          <w:sz w:val="24"/>
          <w:highlight w:val="none"/>
        </w:rPr>
        <w:t>。</w:t>
      </w:r>
    </w:p>
    <w:p w14:paraId="36FB906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委托人向试验检测机构返还缺陷责任期保函的时间：在签发工程缺陷责任终止证书后</w:t>
      </w:r>
      <w:r>
        <w:rPr>
          <w:rFonts w:ascii="宋体" w:hAnsi="宋体" w:cs="宋体"/>
          <w:color w:val="auto"/>
          <w:sz w:val="24"/>
          <w:highlight w:val="none"/>
          <w:u w:val="single"/>
        </w:rPr>
        <w:t xml:space="preserve"> 14</w:t>
      </w:r>
      <w:r>
        <w:rPr>
          <w:rFonts w:hint="eastAsia" w:ascii="宋体" w:hAnsi="宋体" w:cs="宋体"/>
          <w:color w:val="auto"/>
          <w:sz w:val="24"/>
          <w:highlight w:val="none"/>
        </w:rPr>
        <w:t>天内。</w:t>
      </w:r>
      <w:r>
        <w:rPr>
          <w:rFonts w:ascii="宋体" w:hAnsi="宋体" w:cs="宋体"/>
          <w:color w:val="auto"/>
          <w:sz w:val="24"/>
          <w:highlight w:val="none"/>
        </w:rPr>
        <w:t xml:space="preserve">  </w:t>
      </w:r>
      <w:bookmarkStart w:id="553" w:name="_Toc520709511"/>
      <w:bookmarkStart w:id="554" w:name="_Toc523921818"/>
    </w:p>
    <w:p w14:paraId="075619D4">
      <w:pPr>
        <w:pStyle w:val="6"/>
        <w:rPr>
          <w:rFonts w:ascii="Calibri" w:hAnsi="Calibri"/>
          <w:b w:val="0"/>
          <w:bCs w:val="0"/>
          <w:sz w:val="28"/>
          <w:szCs w:val="32"/>
        </w:rPr>
      </w:pPr>
      <w:bookmarkStart w:id="555" w:name="_Toc74760900"/>
      <w:r>
        <w:rPr>
          <w:rFonts w:hint="default" w:ascii="Calibri" w:hAnsi="Calibri"/>
          <w:b w:val="0"/>
          <w:bCs w:val="0"/>
          <w:sz w:val="28"/>
          <w:szCs w:val="32"/>
        </w:rPr>
        <w:t>4.5</w:t>
      </w:r>
      <w:r>
        <w:rPr>
          <w:rFonts w:hint="eastAsia"/>
          <w:b w:val="0"/>
          <w:bCs w:val="0"/>
          <w:sz w:val="28"/>
          <w:szCs w:val="32"/>
          <w:lang w:val="en-US" w:eastAsia="zh-CN"/>
        </w:rPr>
        <w:t xml:space="preserve"> </w:t>
      </w:r>
      <w:r>
        <w:rPr>
          <w:rFonts w:hint="default" w:ascii="Calibri" w:hAnsi="Calibri"/>
          <w:b w:val="0"/>
          <w:bCs w:val="0"/>
          <w:sz w:val="28"/>
          <w:szCs w:val="32"/>
        </w:rPr>
        <w:t>监理试验室人员的管理</w:t>
      </w:r>
      <w:bookmarkEnd w:id="553"/>
      <w:bookmarkEnd w:id="554"/>
      <w:bookmarkEnd w:id="555"/>
    </w:p>
    <w:p w14:paraId="3E358B6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4.5.2</w:t>
      </w:r>
      <w:r>
        <w:rPr>
          <w:rFonts w:hint="eastAsia" w:ascii="宋体" w:hAnsi="宋体" w:cs="宋体"/>
          <w:color w:val="auto"/>
          <w:sz w:val="24"/>
          <w:highlight w:val="none"/>
        </w:rPr>
        <w:t>监理试验室主要人员包括：</w:t>
      </w:r>
      <w:r>
        <w:rPr>
          <w:rFonts w:ascii="宋体" w:hAnsi="宋体" w:cs="宋体"/>
          <w:color w:val="auto"/>
          <w:sz w:val="24"/>
          <w:highlight w:val="none"/>
          <w:u w:val="single"/>
        </w:rPr>
        <w:t xml:space="preserve">                   </w:t>
      </w:r>
      <w:r>
        <w:rPr>
          <w:rFonts w:ascii="宋体" w:hAnsi="宋体" w:cs="宋体"/>
          <w:color w:val="auto"/>
          <w:sz w:val="24"/>
          <w:highlight w:val="none"/>
        </w:rPr>
        <w:t>。</w:t>
      </w:r>
    </w:p>
    <w:p w14:paraId="459FE3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其他人员包括：</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rPr>
        <w:t>。</w:t>
      </w:r>
    </w:p>
    <w:p w14:paraId="152D72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本款补充</w:t>
      </w:r>
      <w:r>
        <w:rPr>
          <w:rFonts w:hint="eastAsia" w:ascii="宋体" w:hAnsi="宋体" w:cs="宋体"/>
          <w:color w:val="auto"/>
          <w:sz w:val="24"/>
          <w:highlight w:val="none"/>
          <w:lang w:val="en-US" w:eastAsia="zh-CN"/>
        </w:rPr>
        <w:t>第</w:t>
      </w:r>
      <w:r>
        <w:rPr>
          <w:rFonts w:ascii="宋体" w:hAnsi="宋体" w:cs="宋体"/>
          <w:color w:val="auto"/>
          <w:sz w:val="24"/>
          <w:highlight w:val="none"/>
        </w:rPr>
        <w:t>4.5.5项：</w:t>
      </w:r>
    </w:p>
    <w:p w14:paraId="261A1C93">
      <w:pPr>
        <w:spacing w:line="360" w:lineRule="auto"/>
        <w:ind w:firstLine="480" w:firstLineChars="200"/>
        <w:rPr>
          <w:rFonts w:hint="eastAsia" w:ascii="黑体" w:hAnsi="黑体" w:eastAsia="黑体" w:cs="宋体"/>
          <w:color w:val="auto"/>
          <w:sz w:val="24"/>
          <w:highlight w:val="none"/>
        </w:rPr>
      </w:pPr>
      <w:r>
        <w:rPr>
          <w:rFonts w:hint="eastAsia" w:ascii="黑体" w:hAnsi="黑体" w:eastAsia="黑体" w:cs="宋体"/>
          <w:color w:val="auto"/>
          <w:sz w:val="24"/>
          <w:highlight w:val="none"/>
        </w:rPr>
        <w:t>4.5.5监理试验室人员的管理</w:t>
      </w:r>
    </w:p>
    <w:p w14:paraId="4C02FA3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试验检测机构派驻到项目所在地履行监理试验室服务的主要人员应按投标文件的承诺，以及合同协议书的约定进场。合同签订后，更换派驻到现场的监理试验室主要人员，应视为试验检测机构违约，按照第11.1.2项课以违约金。</w:t>
      </w:r>
    </w:p>
    <w:p w14:paraId="4ADBB859">
      <w:pPr>
        <w:spacing w:line="360" w:lineRule="auto"/>
        <w:ind w:firstLine="480" w:firstLineChars="200"/>
        <w:rPr>
          <w:rFonts w:hint="eastAsia" w:ascii="宋体" w:hAnsi="宋体" w:cs="宋体"/>
          <w:color w:val="auto"/>
          <w:sz w:val="24"/>
          <w:highlight w:val="none"/>
        </w:rPr>
      </w:pPr>
      <w:r>
        <w:rPr>
          <w:rStyle w:val="50"/>
          <w:rFonts w:hint="eastAsia" w:ascii="宋体" w:hAnsi="宋体" w:cs="宋体"/>
          <w:sz w:val="24"/>
          <w:highlight w:val="none"/>
        </w:rPr>
        <w:t>（2）</w:t>
      </w:r>
      <w:r>
        <w:rPr>
          <w:rStyle w:val="50"/>
          <w:rFonts w:hint="eastAsia" w:ascii="宋体" w:hAnsi="宋体" w:cs="宋体"/>
          <w:sz w:val="24"/>
          <w:highlight w:val="none"/>
          <w:lang w:val="en-US" w:eastAsia="zh-CN"/>
        </w:rPr>
        <w:t>试验检测</w:t>
      </w:r>
      <w:r>
        <w:rPr>
          <w:rStyle w:val="50"/>
          <w:rFonts w:hint="eastAsia" w:ascii="宋体" w:hAnsi="宋体"/>
          <w:kern w:val="0"/>
          <w:sz w:val="24"/>
          <w:szCs w:val="24"/>
          <w:highlight w:val="none"/>
        </w:rPr>
        <w:t>人员进场前，委托人有权对主要</w:t>
      </w:r>
      <w:r>
        <w:rPr>
          <w:rStyle w:val="50"/>
          <w:rFonts w:hint="eastAsia" w:ascii="宋体" w:hAnsi="宋体"/>
          <w:kern w:val="0"/>
          <w:sz w:val="24"/>
          <w:szCs w:val="24"/>
          <w:highlight w:val="none"/>
          <w:lang w:val="en-US" w:eastAsia="zh-CN"/>
        </w:rPr>
        <w:t>试验检测</w:t>
      </w:r>
      <w:r>
        <w:rPr>
          <w:rStyle w:val="50"/>
          <w:rFonts w:hint="eastAsia" w:ascii="宋体" w:hAnsi="宋体"/>
          <w:kern w:val="0"/>
          <w:sz w:val="24"/>
          <w:szCs w:val="24"/>
          <w:highlight w:val="none"/>
        </w:rPr>
        <w:t>人员进行岗前考核，不能满足要求的人员将被清退，</w:t>
      </w:r>
      <w:r>
        <w:rPr>
          <w:rStyle w:val="50"/>
          <w:rFonts w:hint="eastAsia" w:ascii="宋体" w:hAnsi="宋体"/>
          <w:kern w:val="0"/>
          <w:sz w:val="24"/>
          <w:szCs w:val="24"/>
          <w:highlight w:val="none"/>
          <w:lang w:val="en-US" w:eastAsia="zh-CN"/>
        </w:rPr>
        <w:t>试验检测机构</w:t>
      </w:r>
      <w:r>
        <w:rPr>
          <w:rStyle w:val="50"/>
          <w:rFonts w:hint="eastAsia" w:ascii="宋体" w:hAnsi="宋体"/>
          <w:kern w:val="0"/>
          <w:sz w:val="24"/>
          <w:szCs w:val="24"/>
          <w:highlight w:val="none"/>
        </w:rPr>
        <w:t>应按照招标文件及合同协议书约定重新安排满足要求的</w:t>
      </w:r>
      <w:r>
        <w:rPr>
          <w:rStyle w:val="50"/>
          <w:rFonts w:hint="eastAsia" w:ascii="宋体" w:hAnsi="宋体"/>
          <w:kern w:val="0"/>
          <w:sz w:val="24"/>
          <w:szCs w:val="24"/>
          <w:highlight w:val="none"/>
          <w:lang w:val="en-US" w:eastAsia="zh-CN"/>
        </w:rPr>
        <w:t>试验检测</w:t>
      </w:r>
      <w:r>
        <w:rPr>
          <w:rStyle w:val="50"/>
          <w:rFonts w:hint="eastAsia" w:ascii="宋体" w:hAnsi="宋体"/>
          <w:kern w:val="0"/>
          <w:sz w:val="24"/>
          <w:szCs w:val="24"/>
          <w:highlight w:val="none"/>
        </w:rPr>
        <w:t>人员。</w:t>
      </w:r>
    </w:p>
    <w:p w14:paraId="3551E10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试验检测机构派驻到项目所在地履行监理试验室服务的各类人员必须保证每月不得少于22天的出勤率（按日历日计算），试验室主任离开工地须向委托人代表请假并经同意，监理试验室在每期上报计量支付证书时应附当期考勤表。否则，委托人将提出处理意见，有权按比例扣减监理试验室人员的服务费。</w:t>
      </w:r>
    </w:p>
    <w:p w14:paraId="678B340D">
      <w:pPr>
        <w:widowControl/>
        <w:spacing w:line="360" w:lineRule="auto"/>
        <w:ind w:firstLine="480" w:firstLineChars="200"/>
        <w:rPr>
          <w:rStyle w:val="50"/>
          <w:rFonts w:hint="eastAsia" w:ascii="宋体" w:hAnsi="宋体" w:cs="Times New Roman"/>
          <w:kern w:val="0"/>
          <w:sz w:val="24"/>
          <w:szCs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Style w:val="50"/>
          <w:rFonts w:hint="eastAsia" w:ascii="宋体" w:hAnsi="宋体" w:cs="Times New Roman"/>
          <w:kern w:val="0"/>
          <w:sz w:val="24"/>
          <w:szCs w:val="24"/>
          <w:highlight w:val="none"/>
        </w:rPr>
        <w:t xml:space="preserve">辅助人员 </w:t>
      </w:r>
    </w:p>
    <w:p w14:paraId="1C60F8FF">
      <w:pPr>
        <w:spacing w:line="360" w:lineRule="auto"/>
        <w:ind w:firstLine="480" w:firstLineChars="200"/>
        <w:rPr>
          <w:rFonts w:ascii="宋体" w:hAnsi="宋体" w:cs="宋体"/>
          <w:color w:val="auto"/>
          <w:sz w:val="24"/>
          <w:highlight w:val="none"/>
        </w:rPr>
      </w:pPr>
      <w:r>
        <w:rPr>
          <w:rStyle w:val="50"/>
          <w:rFonts w:hint="eastAsia" w:ascii="宋体" w:hAnsi="宋体"/>
          <w:kern w:val="0"/>
          <w:sz w:val="24"/>
          <w:szCs w:val="24"/>
          <w:highlight w:val="none"/>
          <w:lang w:val="en-US" w:eastAsia="zh-CN"/>
        </w:rPr>
        <w:t>试验检测机构</w:t>
      </w:r>
      <w:r>
        <w:rPr>
          <w:rStyle w:val="50"/>
          <w:rFonts w:hint="eastAsia" w:ascii="宋体" w:hAnsi="宋体"/>
          <w:kern w:val="0"/>
          <w:sz w:val="24"/>
          <w:szCs w:val="24"/>
          <w:highlight w:val="none"/>
        </w:rPr>
        <w:t>自行聘用</w:t>
      </w:r>
      <w:r>
        <w:rPr>
          <w:rStyle w:val="50"/>
          <w:rFonts w:hint="eastAsia" w:ascii="宋体" w:hAnsi="宋体" w:cs="Times New Roman"/>
          <w:kern w:val="0"/>
          <w:sz w:val="24"/>
          <w:szCs w:val="24"/>
          <w:highlight w:val="none"/>
        </w:rPr>
        <w:t>满足监理</w:t>
      </w:r>
      <w:r>
        <w:rPr>
          <w:rStyle w:val="50"/>
          <w:rFonts w:hint="eastAsia" w:ascii="宋体" w:hAnsi="宋体" w:cs="Times New Roman"/>
          <w:kern w:val="0"/>
          <w:sz w:val="24"/>
          <w:szCs w:val="24"/>
          <w:highlight w:val="none"/>
          <w:lang w:val="en-US" w:eastAsia="zh-CN"/>
        </w:rPr>
        <w:t>试验室</w:t>
      </w:r>
      <w:r>
        <w:rPr>
          <w:rStyle w:val="50"/>
          <w:rFonts w:hint="eastAsia" w:ascii="宋体" w:hAnsi="宋体" w:cs="Times New Roman"/>
          <w:kern w:val="0"/>
          <w:sz w:val="24"/>
          <w:szCs w:val="24"/>
          <w:highlight w:val="none"/>
        </w:rPr>
        <w:t>日常需要</w:t>
      </w:r>
      <w:r>
        <w:rPr>
          <w:rStyle w:val="50"/>
          <w:rFonts w:hint="eastAsia" w:ascii="宋体" w:hAnsi="宋体" w:cs="Times New Roman"/>
          <w:kern w:val="0"/>
          <w:sz w:val="24"/>
          <w:szCs w:val="24"/>
          <w:highlight w:val="none"/>
          <w:lang w:val="en-US" w:eastAsia="zh-CN"/>
        </w:rPr>
        <w:t>的</w:t>
      </w:r>
      <w:r>
        <w:rPr>
          <w:rStyle w:val="50"/>
          <w:rFonts w:hint="eastAsia" w:ascii="宋体" w:hAnsi="宋体"/>
          <w:kern w:val="0"/>
          <w:sz w:val="24"/>
          <w:szCs w:val="24"/>
          <w:highlight w:val="none"/>
        </w:rPr>
        <w:t>辅助人员</w:t>
      </w:r>
      <w:r>
        <w:rPr>
          <w:rStyle w:val="50"/>
          <w:rFonts w:hint="eastAsia" w:ascii="宋体" w:hAnsi="宋体"/>
          <w:kern w:val="0"/>
          <w:sz w:val="24"/>
          <w:szCs w:val="24"/>
          <w:highlight w:val="none"/>
          <w:lang w:eastAsia="zh-CN"/>
        </w:rPr>
        <w:t>（</w:t>
      </w:r>
      <w:r>
        <w:rPr>
          <w:rFonts w:ascii="宋体" w:hAnsi="宋体" w:cs="宋体"/>
          <w:color w:val="auto"/>
          <w:sz w:val="24"/>
          <w:highlight w:val="none"/>
          <w:u w:val="none"/>
        </w:rPr>
        <w:t>行政办公人员、驾驶员、后勤</w:t>
      </w:r>
      <w:r>
        <w:rPr>
          <w:rFonts w:hint="eastAsia" w:ascii="宋体" w:hAnsi="宋体" w:cs="宋体"/>
          <w:color w:val="auto"/>
          <w:sz w:val="24"/>
          <w:highlight w:val="none"/>
          <w:u w:val="none"/>
          <w:lang w:val="en-US" w:eastAsia="zh-CN"/>
        </w:rPr>
        <w:t>员等辅助</w:t>
      </w:r>
      <w:r>
        <w:rPr>
          <w:rFonts w:ascii="宋体" w:hAnsi="宋体" w:cs="宋体"/>
          <w:color w:val="auto"/>
          <w:sz w:val="24"/>
          <w:highlight w:val="none"/>
          <w:u w:val="none"/>
        </w:rPr>
        <w:t>人员</w:t>
      </w:r>
      <w:r>
        <w:rPr>
          <w:rStyle w:val="50"/>
          <w:rFonts w:hint="eastAsia" w:ascii="宋体" w:hAnsi="宋体"/>
          <w:kern w:val="0"/>
          <w:sz w:val="24"/>
          <w:szCs w:val="24"/>
          <w:highlight w:val="none"/>
          <w:lang w:eastAsia="zh-CN"/>
        </w:rPr>
        <w:t>）</w:t>
      </w:r>
      <w:r>
        <w:rPr>
          <w:rStyle w:val="50"/>
          <w:rFonts w:hint="eastAsia" w:ascii="宋体" w:hAnsi="宋体"/>
          <w:kern w:val="0"/>
          <w:sz w:val="24"/>
          <w:szCs w:val="24"/>
          <w:highlight w:val="none"/>
        </w:rPr>
        <w:t>，费用由</w:t>
      </w:r>
      <w:r>
        <w:rPr>
          <w:rStyle w:val="50"/>
          <w:rFonts w:hint="eastAsia" w:ascii="宋体" w:hAnsi="宋体"/>
          <w:kern w:val="0"/>
          <w:sz w:val="24"/>
          <w:szCs w:val="24"/>
          <w:highlight w:val="none"/>
          <w:lang w:val="en-US" w:eastAsia="zh-CN"/>
        </w:rPr>
        <w:t>试验检测机构</w:t>
      </w:r>
      <w:r>
        <w:rPr>
          <w:rStyle w:val="50"/>
          <w:rFonts w:hint="eastAsia" w:ascii="宋体" w:hAnsi="宋体" w:cs="宋体"/>
          <w:color w:val="auto"/>
          <w:kern w:val="2"/>
          <w:sz w:val="24"/>
          <w:szCs w:val="24"/>
          <w:highlight w:val="none"/>
          <w:lang w:val="en-US" w:eastAsia="zh-CN"/>
        </w:rPr>
        <w:t>计</w:t>
      </w:r>
      <w:r>
        <w:rPr>
          <w:rStyle w:val="50"/>
          <w:rFonts w:hint="eastAsia" w:ascii="宋体" w:hAnsi="宋体" w:cs="宋体"/>
          <w:color w:val="auto"/>
          <w:kern w:val="2"/>
          <w:sz w:val="24"/>
          <w:szCs w:val="24"/>
          <w:highlight w:val="none"/>
        </w:rPr>
        <w:t>入监理</w:t>
      </w:r>
      <w:r>
        <w:rPr>
          <w:rStyle w:val="50"/>
          <w:rFonts w:hint="eastAsia" w:ascii="宋体" w:hAnsi="宋体" w:cs="宋体"/>
          <w:color w:val="auto"/>
          <w:kern w:val="2"/>
          <w:sz w:val="24"/>
          <w:szCs w:val="24"/>
          <w:highlight w:val="none"/>
          <w:lang w:val="en-US" w:eastAsia="zh-CN"/>
        </w:rPr>
        <w:t>试验室服务费用</w:t>
      </w:r>
      <w:r>
        <w:rPr>
          <w:rStyle w:val="50"/>
          <w:rFonts w:hint="eastAsia" w:ascii="宋体" w:hAnsi="宋体" w:cs="宋体"/>
          <w:color w:val="auto"/>
          <w:kern w:val="2"/>
          <w:sz w:val="24"/>
          <w:szCs w:val="24"/>
          <w:highlight w:val="none"/>
        </w:rPr>
        <w:t>报价</w:t>
      </w:r>
      <w:r>
        <w:rPr>
          <w:rStyle w:val="50"/>
          <w:rFonts w:hint="eastAsia" w:ascii="宋体" w:hAnsi="宋体" w:cs="宋体"/>
          <w:color w:val="auto"/>
          <w:kern w:val="2"/>
          <w:sz w:val="24"/>
          <w:szCs w:val="24"/>
          <w:highlight w:val="none"/>
          <w:lang w:val="en-US" w:eastAsia="zh-CN"/>
        </w:rPr>
        <w:t>中</w:t>
      </w:r>
      <w:r>
        <w:rPr>
          <w:rFonts w:hint="eastAsia" w:ascii="宋体" w:hAnsi="宋体" w:cs="宋体"/>
          <w:color w:val="auto"/>
          <w:sz w:val="24"/>
          <w:highlight w:val="none"/>
        </w:rPr>
        <w:t>。</w:t>
      </w:r>
    </w:p>
    <w:p w14:paraId="0D45B4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）对监理试验室的考核</w:t>
      </w:r>
    </w:p>
    <w:p w14:paraId="07B0D2E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fldChar w:fldCharType="begin"/>
      </w:r>
      <w:r>
        <w:rPr>
          <w:rFonts w:ascii="宋体" w:hAnsi="宋体" w:cs="宋体"/>
          <w:color w:val="auto"/>
          <w:sz w:val="24"/>
          <w:highlight w:val="none"/>
        </w:rPr>
        <w:instrText xml:space="preserve"> </w:instrText>
      </w:r>
      <w:r>
        <w:rPr>
          <w:rFonts w:hint="eastAsia" w:ascii="宋体" w:hAnsi="宋体" w:cs="宋体"/>
          <w:color w:val="auto"/>
          <w:sz w:val="24"/>
          <w:highlight w:val="none"/>
        </w:rPr>
        <w:instrText xml:space="preserve">= 1 \* GB3</w:instrText>
      </w:r>
      <w:r>
        <w:rPr>
          <w:rFonts w:ascii="宋体" w:hAnsi="宋体" w:cs="宋体"/>
          <w:color w:val="auto"/>
          <w:sz w:val="24"/>
          <w:highlight w:val="none"/>
        </w:rPr>
        <w:instrText xml:space="preserve"> </w:instrText>
      </w:r>
      <w:r>
        <w:rPr>
          <w:rFonts w:ascii="宋体" w:hAnsi="宋体" w:cs="宋体"/>
          <w:color w:val="auto"/>
          <w:sz w:val="24"/>
          <w:highlight w:val="none"/>
        </w:rPr>
        <w:fldChar w:fldCharType="separate"/>
      </w:r>
      <w:r>
        <w:rPr>
          <w:rFonts w:hint="eastAsia" w:ascii="宋体" w:hAnsi="宋体" w:cs="宋体"/>
          <w:color w:val="auto"/>
          <w:sz w:val="24"/>
          <w:highlight w:val="none"/>
        </w:rPr>
        <w:t>①</w:t>
      </w:r>
      <w:r>
        <w:rPr>
          <w:rFonts w:ascii="宋体" w:hAnsi="宋体" w:cs="宋体"/>
          <w:color w:val="auto"/>
          <w:sz w:val="24"/>
          <w:highlight w:val="none"/>
        </w:rPr>
        <w:fldChar w:fldCharType="end"/>
      </w:r>
      <w:r>
        <w:rPr>
          <w:rFonts w:hint="eastAsia" w:ascii="宋体" w:hAnsi="宋体" w:cs="宋体"/>
          <w:color w:val="auto"/>
          <w:sz w:val="24"/>
          <w:highlight w:val="none"/>
        </w:rPr>
        <w:t>劳动考核制度：凡进场监理试验室人员必须与试验检测机构签订劳动合同并交委托人备案。</w:t>
      </w:r>
    </w:p>
    <w:p w14:paraId="3AF5167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fldChar w:fldCharType="begin"/>
      </w:r>
      <w:r>
        <w:rPr>
          <w:rFonts w:ascii="宋体" w:hAnsi="宋体" w:cs="宋体"/>
          <w:color w:val="auto"/>
          <w:sz w:val="24"/>
          <w:highlight w:val="none"/>
        </w:rPr>
        <w:instrText xml:space="preserve"> </w:instrText>
      </w:r>
      <w:r>
        <w:rPr>
          <w:rFonts w:hint="eastAsia" w:ascii="宋体" w:hAnsi="宋体" w:cs="宋体"/>
          <w:color w:val="auto"/>
          <w:sz w:val="24"/>
          <w:highlight w:val="none"/>
        </w:rPr>
        <w:instrText xml:space="preserve">= 2 \* GB3</w:instrText>
      </w:r>
      <w:r>
        <w:rPr>
          <w:rFonts w:ascii="宋体" w:hAnsi="宋体" w:cs="宋体"/>
          <w:color w:val="auto"/>
          <w:sz w:val="24"/>
          <w:highlight w:val="none"/>
        </w:rPr>
        <w:instrText xml:space="preserve"> </w:instrText>
      </w:r>
      <w:r>
        <w:rPr>
          <w:rFonts w:ascii="宋体" w:hAnsi="宋体" w:cs="宋体"/>
          <w:color w:val="auto"/>
          <w:sz w:val="24"/>
          <w:highlight w:val="none"/>
        </w:rPr>
        <w:fldChar w:fldCharType="separate"/>
      </w:r>
      <w:r>
        <w:rPr>
          <w:rFonts w:hint="eastAsia" w:ascii="宋体" w:hAnsi="宋体" w:cs="宋体"/>
          <w:color w:val="auto"/>
          <w:sz w:val="24"/>
          <w:highlight w:val="none"/>
        </w:rPr>
        <w:t>②</w:t>
      </w:r>
      <w:r>
        <w:rPr>
          <w:rFonts w:ascii="宋体" w:hAnsi="宋体" w:cs="宋体"/>
          <w:color w:val="auto"/>
          <w:sz w:val="24"/>
          <w:highlight w:val="none"/>
        </w:rPr>
        <w:fldChar w:fldCharType="end"/>
      </w:r>
      <w:r>
        <w:rPr>
          <w:rFonts w:hint="eastAsia" w:ascii="宋体" w:hAnsi="宋体" w:cs="宋体"/>
          <w:color w:val="auto"/>
          <w:sz w:val="24"/>
          <w:highlight w:val="none"/>
        </w:rPr>
        <w:t>信用评价制度：按四川省交通运输</w:t>
      </w:r>
      <w:r>
        <w:rPr>
          <w:rFonts w:hint="eastAsia" w:ascii="宋体" w:hAnsi="宋体" w:cs="宋体"/>
          <w:color w:val="auto"/>
          <w:sz w:val="24"/>
          <w:highlight w:val="none"/>
          <w:u w:val="single"/>
        </w:rPr>
        <w:t>从业单位信用管理办法</w:t>
      </w:r>
      <w:r>
        <w:rPr>
          <w:rFonts w:hint="eastAsia" w:ascii="宋体" w:hAnsi="宋体" w:cs="宋体"/>
          <w:color w:val="auto"/>
          <w:sz w:val="24"/>
          <w:highlight w:val="none"/>
        </w:rPr>
        <w:t>要求进行信用评价，并定期向上级行政主管部门通报。</w:t>
      </w:r>
    </w:p>
    <w:p w14:paraId="10BAD018">
      <w:pPr>
        <w:spacing w:line="360" w:lineRule="auto"/>
        <w:ind w:firstLine="480" w:firstLineChars="200"/>
        <w:rPr>
          <w:rFonts w:hint="eastAsia" w:ascii="宋体" w:hAnsi="宋体" w:cs="宋体"/>
          <w:color w:val="auto"/>
          <w:sz w:val="24"/>
          <w:highlight w:val="none"/>
        </w:rPr>
      </w:pPr>
      <w:r>
        <w:rPr>
          <w:rFonts w:ascii="宋体" w:hAnsi="宋体" w:cs="宋体"/>
          <w:color w:val="auto"/>
          <w:sz w:val="24"/>
          <w:highlight w:val="none"/>
        </w:rPr>
        <w:fldChar w:fldCharType="begin"/>
      </w:r>
      <w:r>
        <w:rPr>
          <w:rFonts w:ascii="宋体" w:hAnsi="宋体" w:cs="宋体"/>
          <w:color w:val="auto"/>
          <w:sz w:val="24"/>
          <w:highlight w:val="none"/>
        </w:rPr>
        <w:instrText xml:space="preserve"> </w:instrText>
      </w:r>
      <w:r>
        <w:rPr>
          <w:rFonts w:hint="eastAsia" w:ascii="宋体" w:hAnsi="宋体" w:cs="宋体"/>
          <w:color w:val="auto"/>
          <w:sz w:val="24"/>
          <w:highlight w:val="none"/>
        </w:rPr>
        <w:instrText xml:space="preserve">= 3 \* GB3</w:instrText>
      </w:r>
      <w:r>
        <w:rPr>
          <w:rFonts w:ascii="宋体" w:hAnsi="宋体" w:cs="宋体"/>
          <w:color w:val="auto"/>
          <w:sz w:val="24"/>
          <w:highlight w:val="none"/>
        </w:rPr>
        <w:instrText xml:space="preserve"> </w:instrText>
      </w:r>
      <w:r>
        <w:rPr>
          <w:rFonts w:ascii="宋体" w:hAnsi="宋体" w:cs="宋体"/>
          <w:color w:val="auto"/>
          <w:sz w:val="24"/>
          <w:highlight w:val="none"/>
        </w:rPr>
        <w:fldChar w:fldCharType="separate"/>
      </w:r>
      <w:r>
        <w:rPr>
          <w:rFonts w:hint="eastAsia" w:ascii="宋体" w:hAnsi="宋体" w:cs="宋体"/>
          <w:color w:val="auto"/>
          <w:sz w:val="24"/>
          <w:highlight w:val="none"/>
        </w:rPr>
        <w:t>③</w:t>
      </w:r>
      <w:r>
        <w:rPr>
          <w:rFonts w:ascii="宋体" w:hAnsi="宋体" w:cs="宋体"/>
          <w:color w:val="auto"/>
          <w:sz w:val="24"/>
          <w:highlight w:val="none"/>
        </w:rPr>
        <w:fldChar w:fldCharType="end"/>
      </w:r>
      <w:r>
        <w:rPr>
          <w:rFonts w:hint="eastAsia" w:ascii="宋体" w:hAnsi="宋体" w:cs="宋体"/>
          <w:color w:val="auto"/>
          <w:sz w:val="24"/>
          <w:highlight w:val="none"/>
        </w:rPr>
        <w:t>委托人对监理试验室的具体考核办法在试验检测机构进场后提供。</w:t>
      </w:r>
    </w:p>
    <w:p w14:paraId="1AF018D2">
      <w:pPr>
        <w:pStyle w:val="6"/>
        <w:rPr>
          <w:rFonts w:ascii="Calibri" w:hAnsi="Calibri"/>
          <w:b w:val="0"/>
          <w:bCs w:val="0"/>
          <w:sz w:val="28"/>
          <w:szCs w:val="32"/>
        </w:rPr>
      </w:pPr>
      <w:r>
        <w:rPr>
          <w:rFonts w:hint="default" w:ascii="Calibri" w:hAnsi="Calibri"/>
          <w:b w:val="0"/>
          <w:bCs w:val="0"/>
          <w:sz w:val="28"/>
          <w:szCs w:val="32"/>
        </w:rPr>
        <w:t>4.7</w:t>
      </w:r>
      <w:r>
        <w:rPr>
          <w:rFonts w:hint="eastAsia"/>
          <w:b w:val="0"/>
          <w:bCs w:val="0"/>
          <w:sz w:val="28"/>
          <w:szCs w:val="32"/>
          <w:lang w:val="en-US" w:eastAsia="zh-CN"/>
        </w:rPr>
        <w:t xml:space="preserve"> </w:t>
      </w:r>
      <w:r>
        <w:rPr>
          <w:rFonts w:hint="default" w:ascii="Calibri" w:hAnsi="Calibri"/>
          <w:b w:val="0"/>
          <w:bCs w:val="0"/>
          <w:sz w:val="28"/>
          <w:szCs w:val="32"/>
        </w:rPr>
        <w:t>保障人员的合法权益</w:t>
      </w:r>
    </w:p>
    <w:p w14:paraId="2E3644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第4.7.3项补充：</w:t>
      </w:r>
    </w:p>
    <w:p w14:paraId="01DE30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试验检测机构应按国家有关法律、法规、规章、规程的有关规定，为本项目服务期内的监理试验室人员缴纳养老保险、失业保险、医疗保险、工伤保险</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生育保险</w:t>
      </w:r>
      <w:r>
        <w:rPr>
          <w:rFonts w:hint="eastAsia" w:ascii="宋体" w:hAnsi="宋体" w:cs="宋体"/>
          <w:color w:val="auto"/>
          <w:sz w:val="24"/>
          <w:highlight w:val="none"/>
        </w:rPr>
        <w:t>、住房公积金等规费，该费用计入监理试验室人员</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费中。</w:t>
      </w:r>
    </w:p>
    <w:p w14:paraId="22FEC47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本款</w:t>
      </w:r>
      <w:r>
        <w:rPr>
          <w:rFonts w:hint="eastAsia" w:ascii="宋体" w:hAnsi="宋体" w:cs="宋体"/>
          <w:color w:val="auto"/>
          <w:sz w:val="24"/>
          <w:highlight w:val="none"/>
        </w:rPr>
        <w:t>补充第4</w:t>
      </w:r>
      <w:r>
        <w:rPr>
          <w:rFonts w:ascii="宋体" w:hAnsi="宋体" w:cs="宋体"/>
          <w:color w:val="auto"/>
          <w:sz w:val="24"/>
          <w:highlight w:val="none"/>
        </w:rPr>
        <w:t>.7.4</w:t>
      </w:r>
      <w:r>
        <w:rPr>
          <w:rFonts w:hint="eastAsia" w:ascii="宋体" w:hAnsi="宋体" w:cs="宋体"/>
          <w:color w:val="auto"/>
          <w:sz w:val="24"/>
          <w:highlight w:val="none"/>
        </w:rPr>
        <w:t>项：</w:t>
      </w:r>
    </w:p>
    <w:p w14:paraId="47B34E4F">
      <w:pPr>
        <w:spacing w:line="360" w:lineRule="auto"/>
        <w:ind w:firstLine="480" w:firstLineChars="200"/>
        <w:rPr>
          <w:rFonts w:hint="eastAsia" w:ascii="黑体" w:hAnsi="黑体" w:eastAsia="黑体" w:cs="宋体"/>
          <w:color w:val="auto"/>
          <w:sz w:val="24"/>
          <w:highlight w:val="none"/>
          <w:lang w:val="en-US" w:eastAsia="zh-CN"/>
        </w:rPr>
      </w:pPr>
      <w:r>
        <w:rPr>
          <w:rFonts w:ascii="黑体" w:hAnsi="黑体" w:eastAsia="黑体" w:cs="宋体"/>
          <w:color w:val="auto"/>
          <w:sz w:val="24"/>
          <w:highlight w:val="none"/>
        </w:rPr>
        <w:t>4.7.4</w:t>
      </w:r>
      <w:r>
        <w:rPr>
          <w:rFonts w:hint="eastAsia" w:ascii="黑体" w:hAnsi="黑体" w:eastAsia="黑体" w:cs="宋体"/>
          <w:color w:val="auto"/>
          <w:sz w:val="24"/>
          <w:highlight w:val="none"/>
        </w:rPr>
        <w:t>监理试验室人员最低工资标准要求</w:t>
      </w:r>
      <w:r>
        <w:rPr>
          <w:rFonts w:hint="eastAsia" w:ascii="黑体" w:hAnsi="黑体" w:eastAsia="黑体" w:cs="宋体"/>
          <w:color w:val="auto"/>
          <w:sz w:val="24"/>
          <w:highlight w:val="none"/>
          <w:lang w:val="en-US" w:eastAsia="zh-CN"/>
        </w:rPr>
        <w:t>如下：</w:t>
      </w:r>
    </w:p>
    <w:p w14:paraId="71093DBA">
      <w:pPr>
        <w:pStyle w:val="294"/>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为保证本项目建设进展顺利，</w:t>
      </w:r>
      <w:r>
        <w:rPr>
          <w:rFonts w:hint="eastAsia" w:ascii="宋体" w:hAnsi="宋体"/>
          <w:color w:val="auto"/>
          <w:sz w:val="24"/>
          <w:highlight w:val="none"/>
        </w:rPr>
        <w:t>监理试验室</w:t>
      </w:r>
      <w:r>
        <w:rPr>
          <w:rFonts w:hint="eastAsia" w:ascii="宋体" w:hAnsi="宋体" w:cs="宋体"/>
          <w:color w:val="auto"/>
          <w:sz w:val="24"/>
          <w:highlight w:val="none"/>
        </w:rPr>
        <w:t>应提高试验检测人员的积极性，责任心和职业道德；同时试验检测机构应制定最低工资标准，并根据派驻现场</w:t>
      </w:r>
      <w:r>
        <w:rPr>
          <w:rFonts w:hint="eastAsia" w:ascii="宋体" w:hAnsi="宋体"/>
          <w:color w:val="auto"/>
          <w:sz w:val="24"/>
          <w:highlight w:val="none"/>
        </w:rPr>
        <w:t>监理试验室</w:t>
      </w:r>
      <w:r>
        <w:rPr>
          <w:rFonts w:hint="eastAsia" w:ascii="宋体" w:hAnsi="宋体" w:cs="宋体"/>
          <w:color w:val="auto"/>
          <w:sz w:val="24"/>
          <w:highlight w:val="none"/>
        </w:rPr>
        <w:t>人员的不同职责和岗位，定时足额发放工资和津贴，确保现场</w:t>
      </w:r>
      <w:r>
        <w:rPr>
          <w:rFonts w:hint="eastAsia" w:ascii="宋体" w:hAnsi="宋体" w:cs="宋体"/>
          <w:color w:val="auto"/>
          <w:sz w:val="24"/>
          <w:highlight w:val="none"/>
          <w:lang w:val="en-US" w:eastAsia="zh-CN"/>
        </w:rPr>
        <w:t>监理试验室</w:t>
      </w:r>
      <w:r>
        <w:rPr>
          <w:rFonts w:hint="eastAsia" w:ascii="宋体" w:hAnsi="宋体" w:cs="宋体"/>
          <w:color w:val="auto"/>
          <w:sz w:val="24"/>
          <w:highlight w:val="none"/>
        </w:rPr>
        <w:t>人员的合法权益，保证其工作质量。</w:t>
      </w:r>
    </w:p>
    <w:p w14:paraId="39B32141">
      <w:p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委托人将不定期对监理试验室人员工资发放进行核查，未达到要求的，将责令试验检测机构进行整改，整改后仍然不达标的，将视为试验检测机构违约进行处理。</w:t>
      </w:r>
    </w:p>
    <w:p w14:paraId="3340BA68">
      <w:pPr>
        <w:pStyle w:val="6"/>
        <w:rPr>
          <w:rFonts w:ascii="Calibri" w:hAnsi="Calibri"/>
          <w:b w:val="0"/>
          <w:bCs w:val="0"/>
          <w:sz w:val="28"/>
          <w:szCs w:val="32"/>
        </w:rPr>
      </w:pPr>
      <w:bookmarkStart w:id="556" w:name="_Toc523921819"/>
      <w:bookmarkStart w:id="557" w:name="_Toc520709512"/>
      <w:r>
        <w:rPr>
          <w:rFonts w:hint="default" w:ascii="Calibri" w:hAnsi="Calibri"/>
          <w:b w:val="0"/>
          <w:bCs w:val="0"/>
          <w:sz w:val="28"/>
          <w:szCs w:val="32"/>
        </w:rPr>
        <w:t>4.9</w:t>
      </w:r>
      <w:r>
        <w:rPr>
          <w:rFonts w:hint="eastAsia"/>
          <w:b w:val="0"/>
          <w:bCs w:val="0"/>
          <w:sz w:val="28"/>
          <w:szCs w:val="32"/>
          <w:lang w:val="en-US" w:eastAsia="zh-CN"/>
        </w:rPr>
        <w:t xml:space="preserve"> </w:t>
      </w:r>
      <w:r>
        <w:rPr>
          <w:rFonts w:hint="default" w:ascii="Calibri" w:hAnsi="Calibri"/>
          <w:b w:val="0"/>
          <w:bCs w:val="0"/>
          <w:sz w:val="28"/>
          <w:szCs w:val="32"/>
        </w:rPr>
        <w:t>党建工作要求</w:t>
      </w:r>
      <w:bookmarkEnd w:id="556"/>
      <w:bookmarkEnd w:id="557"/>
      <w:r>
        <w:rPr>
          <w:rFonts w:hint="default" w:ascii="Calibri" w:hAnsi="Calibri"/>
          <w:b w:val="0"/>
          <w:bCs w:val="0"/>
          <w:sz w:val="28"/>
          <w:szCs w:val="32"/>
        </w:rPr>
        <w:t xml:space="preserve"> </w:t>
      </w:r>
    </w:p>
    <w:p w14:paraId="4825C26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本款最后补充：</w:t>
      </w:r>
    </w:p>
    <w:p w14:paraId="7B26D73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试验检测机构完成党建工作所需费用包含在监理试验室服务费中，不单独报价。</w:t>
      </w:r>
    </w:p>
    <w:p w14:paraId="705ACDD8">
      <w:pPr>
        <w:pStyle w:val="5"/>
        <w:numPr>
          <w:ilvl w:val="0"/>
          <w:numId w:val="0"/>
        </w:numPr>
        <w:rPr>
          <w:rFonts w:hint="eastAsia" w:ascii="Arial" w:hAnsi="Arial"/>
          <w:b/>
          <w:sz w:val="28"/>
          <w:szCs w:val="32"/>
        </w:rPr>
      </w:pPr>
      <w:bookmarkStart w:id="558" w:name="_Toc513555847"/>
      <w:bookmarkStart w:id="559" w:name="_Toc519777937"/>
      <w:bookmarkStart w:id="560" w:name="_Toc523921820"/>
      <w:bookmarkStart w:id="561" w:name="_Toc520709513"/>
      <w:bookmarkStart w:id="562" w:name="_Toc519601505"/>
      <w:bookmarkStart w:id="563" w:name="_Toc513556682"/>
      <w:bookmarkStart w:id="564" w:name="_Toc519777833"/>
      <w:bookmarkStart w:id="565" w:name="_Toc513555603"/>
      <w:bookmarkStart w:id="566" w:name="_Toc519778498"/>
      <w:bookmarkStart w:id="567" w:name="_Toc74760901"/>
      <w:bookmarkStart w:id="568" w:name="_Toc519777885"/>
      <w:r>
        <w:rPr>
          <w:rFonts w:hint="eastAsia" w:ascii="Arial" w:hAnsi="Arial"/>
          <w:b/>
          <w:sz w:val="28"/>
          <w:szCs w:val="32"/>
        </w:rPr>
        <w:t>5</w:t>
      </w:r>
      <w:r>
        <w:rPr>
          <w:rFonts w:hint="eastAsia" w:ascii="Arial" w:hAnsi="Arial"/>
          <w:b/>
          <w:sz w:val="28"/>
          <w:szCs w:val="32"/>
          <w:lang w:val="en-US" w:eastAsia="zh-CN"/>
        </w:rPr>
        <w:t xml:space="preserve">. </w:t>
      </w:r>
      <w:r>
        <w:rPr>
          <w:rFonts w:hint="eastAsia" w:ascii="Arial" w:hAnsi="Arial"/>
          <w:b/>
          <w:sz w:val="28"/>
          <w:szCs w:val="32"/>
        </w:rPr>
        <w:t>监理试验室要求</w:t>
      </w:r>
      <w:bookmarkEnd w:id="558"/>
      <w:bookmarkEnd w:id="559"/>
      <w:bookmarkEnd w:id="560"/>
      <w:bookmarkEnd w:id="561"/>
      <w:bookmarkEnd w:id="562"/>
      <w:bookmarkEnd w:id="563"/>
      <w:bookmarkEnd w:id="564"/>
      <w:bookmarkEnd w:id="565"/>
      <w:bookmarkEnd w:id="566"/>
      <w:bookmarkEnd w:id="567"/>
      <w:bookmarkEnd w:id="568"/>
    </w:p>
    <w:p w14:paraId="15EB2AA5">
      <w:pPr>
        <w:pStyle w:val="6"/>
        <w:rPr>
          <w:rFonts w:ascii="Calibri" w:hAnsi="Calibri"/>
          <w:b w:val="0"/>
          <w:bCs w:val="0"/>
          <w:sz w:val="28"/>
          <w:szCs w:val="32"/>
        </w:rPr>
      </w:pPr>
      <w:bookmarkStart w:id="569" w:name="_Toc523921821"/>
      <w:bookmarkStart w:id="570" w:name="_Toc74760902"/>
      <w:bookmarkStart w:id="571" w:name="_Toc520709514"/>
      <w:r>
        <w:rPr>
          <w:rFonts w:hint="default" w:ascii="Calibri" w:hAnsi="Calibri"/>
          <w:b w:val="0"/>
          <w:bCs w:val="0"/>
          <w:sz w:val="28"/>
          <w:szCs w:val="32"/>
        </w:rPr>
        <w:t>5.1监理试验室范围</w:t>
      </w:r>
      <w:bookmarkEnd w:id="569"/>
      <w:bookmarkEnd w:id="570"/>
      <w:bookmarkEnd w:id="571"/>
      <w:r>
        <w:rPr>
          <w:rFonts w:ascii="Calibri" w:hAnsi="Calibri"/>
          <w:b w:val="0"/>
          <w:bCs w:val="0"/>
          <w:sz w:val="28"/>
          <w:szCs w:val="32"/>
        </w:rPr>
        <w:t xml:space="preserve">  </w:t>
      </w:r>
    </w:p>
    <w:p w14:paraId="797075A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5.1.2</w:t>
      </w: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工程范围包括：</w:t>
      </w:r>
      <w:r>
        <w:rPr>
          <w:rFonts w:ascii="宋体" w:hAnsi="宋体" w:cs="宋体"/>
          <w:color w:val="auto"/>
          <w:sz w:val="24"/>
          <w:highlight w:val="none"/>
          <w:u w:val="single"/>
        </w:rPr>
        <w:t xml:space="preserve">                     </w:t>
      </w:r>
      <w:r>
        <w:rPr>
          <w:rFonts w:ascii="宋体" w:hAnsi="宋体" w:cs="宋体"/>
          <w:color w:val="auto"/>
          <w:sz w:val="24"/>
          <w:highlight w:val="none"/>
        </w:rPr>
        <w:t>。</w:t>
      </w:r>
    </w:p>
    <w:p w14:paraId="37ECA1B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5.1.3</w:t>
      </w: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阶段范围包括：</w:t>
      </w:r>
      <w:r>
        <w:rPr>
          <w:rFonts w:ascii="宋体" w:hAnsi="宋体" w:cs="宋体"/>
          <w:color w:val="auto"/>
          <w:sz w:val="24"/>
          <w:highlight w:val="none"/>
          <w:u w:val="single"/>
        </w:rPr>
        <w:t xml:space="preserve">                     </w:t>
      </w:r>
      <w:r>
        <w:rPr>
          <w:rFonts w:ascii="宋体" w:hAnsi="宋体" w:cs="宋体"/>
          <w:color w:val="auto"/>
          <w:sz w:val="24"/>
          <w:highlight w:val="none"/>
        </w:rPr>
        <w:t>。</w:t>
      </w:r>
    </w:p>
    <w:p w14:paraId="695051C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5.1.4</w:t>
      </w: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工作范围包括</w:t>
      </w:r>
      <w:r>
        <w:rPr>
          <w:rFonts w:hint="eastAsia" w:ascii="宋体" w:hAnsi="宋体" w:cs="宋体"/>
          <w:color w:val="auto"/>
          <w:sz w:val="24"/>
          <w:highlight w:val="none"/>
          <w:lang w:eastAsia="zh-CN"/>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31FFB97">
      <w:pPr>
        <w:pStyle w:val="6"/>
        <w:rPr>
          <w:rFonts w:ascii="Calibri" w:hAnsi="Calibri"/>
          <w:b w:val="0"/>
          <w:bCs w:val="0"/>
          <w:sz w:val="28"/>
          <w:szCs w:val="32"/>
        </w:rPr>
      </w:pPr>
      <w:bookmarkStart w:id="572" w:name="_Toc523921822"/>
      <w:bookmarkStart w:id="573" w:name="_Toc520709515"/>
      <w:bookmarkStart w:id="574" w:name="_Toc74760903"/>
      <w:r>
        <w:rPr>
          <w:rFonts w:hint="default" w:ascii="Calibri" w:hAnsi="Calibri"/>
          <w:b w:val="0"/>
          <w:bCs w:val="0"/>
          <w:sz w:val="28"/>
          <w:szCs w:val="32"/>
        </w:rPr>
        <w:t>5.3</w:t>
      </w:r>
      <w:r>
        <w:rPr>
          <w:rFonts w:hint="eastAsia"/>
          <w:b w:val="0"/>
          <w:bCs w:val="0"/>
          <w:sz w:val="28"/>
          <w:szCs w:val="32"/>
          <w:lang w:val="en-US" w:eastAsia="zh-CN"/>
        </w:rPr>
        <w:t xml:space="preserve"> </w:t>
      </w:r>
      <w:r>
        <w:rPr>
          <w:rFonts w:hint="default" w:ascii="Calibri" w:hAnsi="Calibri"/>
          <w:b w:val="0"/>
          <w:bCs w:val="0"/>
          <w:sz w:val="28"/>
          <w:szCs w:val="32"/>
        </w:rPr>
        <w:t>监理试验室内容</w:t>
      </w:r>
      <w:bookmarkEnd w:id="572"/>
      <w:bookmarkEnd w:id="573"/>
      <w:bookmarkEnd w:id="574"/>
    </w:p>
    <w:p w14:paraId="776F7D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监理试验室的</w:t>
      </w:r>
      <w:r>
        <w:rPr>
          <w:rFonts w:ascii="宋体" w:hAnsi="宋体" w:cs="宋体"/>
          <w:color w:val="auto"/>
          <w:sz w:val="24"/>
          <w:highlight w:val="none"/>
        </w:rPr>
        <w:t>检查项目</w:t>
      </w:r>
      <w:r>
        <w:rPr>
          <w:rFonts w:hint="eastAsia" w:ascii="宋体" w:hAnsi="宋体" w:cs="宋体"/>
          <w:color w:val="auto"/>
          <w:sz w:val="24"/>
          <w:highlight w:val="none"/>
        </w:rPr>
        <w:t>和</w:t>
      </w:r>
      <w:r>
        <w:rPr>
          <w:rFonts w:ascii="宋体" w:hAnsi="宋体" w:cs="宋体"/>
          <w:color w:val="auto"/>
          <w:sz w:val="24"/>
          <w:highlight w:val="none"/>
        </w:rPr>
        <w:t>抽检频率：</w:t>
      </w:r>
      <w:r>
        <w:rPr>
          <w:rFonts w:hint="eastAsia" w:hAnsi="宋体" w:cs="宋体"/>
          <w:color w:val="auto"/>
          <w:sz w:val="24"/>
          <w:highlight w:val="none"/>
          <w:u w:val="none"/>
        </w:rPr>
        <w:t>试验检测机构应按照《公路工程质量检验评定标准》及相关法律、法规开展监理试验室服务。根据招标文件中的标准、规程、规范等规定的检查项目和抽检频率以及委托人的规定开展试验检测工作</w:t>
      </w:r>
      <w:r>
        <w:rPr>
          <w:rFonts w:hint="eastAsia" w:hAnsi="宋体" w:cs="宋体"/>
          <w:color w:val="auto"/>
          <w:sz w:val="24"/>
          <w:highlight w:val="none"/>
        </w:rPr>
        <w:t>。</w:t>
      </w:r>
    </w:p>
    <w:p w14:paraId="6B6F25CC">
      <w:pPr>
        <w:pStyle w:val="6"/>
        <w:rPr>
          <w:rFonts w:ascii="Calibri" w:hAnsi="Calibri"/>
          <w:b w:val="0"/>
          <w:bCs w:val="0"/>
          <w:sz w:val="28"/>
          <w:szCs w:val="32"/>
        </w:rPr>
      </w:pPr>
      <w:bookmarkStart w:id="575" w:name="_Toc520709516"/>
      <w:bookmarkStart w:id="576" w:name="_Toc523921823"/>
      <w:bookmarkStart w:id="577" w:name="_Toc74760904"/>
      <w:bookmarkStart w:id="578" w:name="_Toc523921824"/>
      <w:bookmarkStart w:id="579" w:name="_Toc520709517"/>
      <w:r>
        <w:rPr>
          <w:rFonts w:hint="default" w:ascii="Calibri" w:hAnsi="Calibri"/>
          <w:b w:val="0"/>
          <w:bCs w:val="0"/>
          <w:sz w:val="28"/>
          <w:szCs w:val="32"/>
        </w:rPr>
        <w:t>5.4</w:t>
      </w:r>
      <w:r>
        <w:rPr>
          <w:rFonts w:hint="eastAsia"/>
          <w:b w:val="0"/>
          <w:bCs w:val="0"/>
          <w:sz w:val="28"/>
          <w:szCs w:val="32"/>
          <w:lang w:val="en-US" w:eastAsia="zh-CN"/>
        </w:rPr>
        <w:t xml:space="preserve"> </w:t>
      </w:r>
      <w:r>
        <w:rPr>
          <w:rFonts w:hint="default" w:ascii="Calibri" w:hAnsi="Calibri"/>
          <w:b w:val="0"/>
          <w:bCs w:val="0"/>
          <w:sz w:val="28"/>
          <w:szCs w:val="32"/>
        </w:rPr>
        <w:t>监理试验室文件要求</w:t>
      </w:r>
      <w:bookmarkEnd w:id="575"/>
      <w:bookmarkEnd w:id="576"/>
    </w:p>
    <w:p w14:paraId="5876F72A">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5.4.3</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本工程监理试验室文件包括的其他管理文件</w:t>
      </w:r>
      <w:r>
        <w:rPr>
          <w:rFonts w:hint="eastAsia" w:ascii="宋体" w:hAnsi="宋体" w:cs="宋体"/>
          <w:color w:val="auto"/>
          <w:sz w:val="24"/>
          <w:highlight w:val="none"/>
          <w:lang w:val="en-US" w:eastAsia="zh-CN"/>
        </w:rPr>
        <w:t>如下：</w:t>
      </w:r>
    </w:p>
    <w:p w14:paraId="09E479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（1）竣工文件：监理试验室应按照有关公路工程交竣工验收相关的法律法规、管理条例、实施细则等规定编制竣工图表和文件，在其管辖标段全部工程交工后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个月内监理试验室须向委托人提交</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套合格的竣工文件，缺陷责任期内应补充的竣工资料须在签发缺陷责任终止证书之前提交。若未能按时提交竣工文件，每拖期一天课以人民币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元违约金，由委托人在应付或到期应付给试验检测机构的任何款项中扣除，累计不超过委托人设定的限额（如有）。</w:t>
      </w:r>
    </w:p>
    <w:p w14:paraId="2D6E8DAA">
      <w:pPr>
        <w:spacing w:line="360" w:lineRule="auto"/>
        <w:ind w:firstLine="480" w:firstLineChars="200"/>
        <w:rPr>
          <w:rFonts w:hint="eastAsia" w:ascii="黑体" w:hAnsi="Times New Roman"/>
          <w:b w:val="0"/>
          <w:color w:val="auto"/>
          <w:sz w:val="24"/>
          <w:szCs w:val="24"/>
          <w:highlight w:val="none"/>
        </w:rPr>
      </w:pPr>
      <w:r>
        <w:rPr>
          <w:rFonts w:hint="eastAsia" w:ascii="宋体" w:hAnsi="宋体" w:cs="宋体"/>
          <w:color w:val="auto"/>
          <w:sz w:val="24"/>
          <w:highlight w:val="none"/>
        </w:rPr>
        <w:t>（2）其他管理文件（如有）：</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09B0B093">
      <w:pPr>
        <w:pStyle w:val="6"/>
        <w:rPr>
          <w:rFonts w:ascii="Calibri" w:hAnsi="Calibri"/>
          <w:b w:val="0"/>
          <w:bCs w:val="0"/>
          <w:sz w:val="28"/>
          <w:szCs w:val="32"/>
        </w:rPr>
      </w:pPr>
      <w:r>
        <w:rPr>
          <w:rFonts w:hint="default" w:ascii="Calibri" w:hAnsi="Calibri"/>
          <w:b w:val="0"/>
          <w:bCs w:val="0"/>
          <w:sz w:val="28"/>
          <w:szCs w:val="32"/>
        </w:rPr>
        <w:t>5.5</w:t>
      </w:r>
      <w:r>
        <w:rPr>
          <w:rFonts w:hint="eastAsia"/>
          <w:b w:val="0"/>
          <w:bCs w:val="0"/>
          <w:sz w:val="28"/>
          <w:szCs w:val="32"/>
          <w:lang w:val="en-US" w:eastAsia="zh-CN"/>
        </w:rPr>
        <w:t xml:space="preserve"> </w:t>
      </w:r>
      <w:r>
        <w:rPr>
          <w:rFonts w:hint="default" w:ascii="Calibri" w:hAnsi="Calibri"/>
          <w:b w:val="0"/>
          <w:bCs w:val="0"/>
          <w:sz w:val="28"/>
          <w:szCs w:val="32"/>
        </w:rPr>
        <w:t>监理试验室服务形式</w:t>
      </w:r>
      <w:bookmarkEnd w:id="577"/>
      <w:bookmarkEnd w:id="578"/>
      <w:bookmarkEnd w:id="579"/>
    </w:p>
    <w:p w14:paraId="2F8E2B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监理试验室服务机构设置：</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33692DAB">
      <w:pPr>
        <w:pStyle w:val="6"/>
        <w:rPr>
          <w:rFonts w:ascii="Calibri" w:hAnsi="Calibri"/>
          <w:b w:val="0"/>
          <w:bCs w:val="0"/>
          <w:sz w:val="28"/>
          <w:szCs w:val="32"/>
        </w:rPr>
      </w:pPr>
      <w:bookmarkStart w:id="580" w:name="_Toc523921825"/>
      <w:bookmarkStart w:id="581" w:name="_Toc74760905"/>
      <w:bookmarkStart w:id="582" w:name="_Toc520709518"/>
      <w:r>
        <w:rPr>
          <w:rFonts w:hint="default" w:ascii="Calibri" w:hAnsi="Calibri"/>
          <w:b w:val="0"/>
          <w:bCs w:val="0"/>
          <w:sz w:val="28"/>
          <w:szCs w:val="32"/>
        </w:rPr>
        <w:t>5.6</w:t>
      </w:r>
      <w:r>
        <w:rPr>
          <w:rFonts w:hint="eastAsia"/>
          <w:b w:val="0"/>
          <w:bCs w:val="0"/>
          <w:sz w:val="28"/>
          <w:szCs w:val="32"/>
          <w:lang w:val="en-US" w:eastAsia="zh-CN"/>
        </w:rPr>
        <w:t xml:space="preserve"> </w:t>
      </w:r>
      <w:r>
        <w:rPr>
          <w:rFonts w:hint="default" w:ascii="Calibri" w:hAnsi="Calibri"/>
          <w:b w:val="0"/>
          <w:bCs w:val="0"/>
          <w:sz w:val="28"/>
          <w:szCs w:val="32"/>
        </w:rPr>
        <w:t>监理试验室服务目标</w:t>
      </w:r>
      <w:bookmarkEnd w:id="580"/>
      <w:bookmarkEnd w:id="581"/>
      <w:bookmarkEnd w:id="582"/>
    </w:p>
    <w:p w14:paraId="3FE0828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5.6.2 </w:t>
      </w:r>
      <w:r>
        <w:rPr>
          <w:rFonts w:hint="eastAsia" w:ascii="宋体" w:hAnsi="宋体" w:cs="宋体"/>
          <w:color w:val="auto"/>
          <w:sz w:val="24"/>
          <w:highlight w:val="none"/>
        </w:rPr>
        <w:t>对第三方履约管理的服务目标：</w:t>
      </w:r>
      <w:r>
        <w:rPr>
          <w:rFonts w:ascii="宋体" w:hAnsi="宋体" w:cs="宋体"/>
          <w:color w:val="auto"/>
          <w:sz w:val="24"/>
          <w:highlight w:val="none"/>
          <w:u w:val="single"/>
        </w:rPr>
        <w:t xml:space="preserve">                             </w:t>
      </w:r>
      <w:r>
        <w:rPr>
          <w:rFonts w:ascii="宋体" w:hAnsi="宋体" w:cs="宋体"/>
          <w:color w:val="auto"/>
          <w:sz w:val="24"/>
          <w:highlight w:val="none"/>
        </w:rPr>
        <w:t>。</w:t>
      </w:r>
    </w:p>
    <w:p w14:paraId="170154BF">
      <w:pPr>
        <w:pStyle w:val="6"/>
        <w:rPr>
          <w:rFonts w:ascii="Calibri" w:hAnsi="Calibri"/>
          <w:b w:val="0"/>
          <w:bCs w:val="0"/>
          <w:sz w:val="28"/>
          <w:szCs w:val="32"/>
        </w:rPr>
      </w:pPr>
      <w:bookmarkStart w:id="583" w:name="_Toc523921826"/>
      <w:bookmarkStart w:id="584" w:name="_Toc520709519"/>
      <w:bookmarkStart w:id="585" w:name="_Toc74760906"/>
      <w:r>
        <w:rPr>
          <w:rFonts w:hint="default" w:ascii="Calibri" w:hAnsi="Calibri"/>
          <w:b w:val="0"/>
          <w:bCs w:val="0"/>
          <w:sz w:val="28"/>
          <w:szCs w:val="32"/>
        </w:rPr>
        <w:t>5.7</w:t>
      </w:r>
      <w:r>
        <w:rPr>
          <w:rFonts w:hint="eastAsia"/>
          <w:b w:val="0"/>
          <w:bCs w:val="0"/>
          <w:sz w:val="28"/>
          <w:szCs w:val="32"/>
          <w:lang w:val="en-US" w:eastAsia="zh-CN"/>
        </w:rPr>
        <w:t xml:space="preserve"> </w:t>
      </w:r>
      <w:r>
        <w:rPr>
          <w:rFonts w:hint="default" w:ascii="Calibri" w:hAnsi="Calibri"/>
          <w:b w:val="0"/>
          <w:bCs w:val="0"/>
          <w:sz w:val="28"/>
          <w:szCs w:val="32"/>
        </w:rPr>
        <w:t>委托人对监理试验室的授权</w:t>
      </w:r>
      <w:bookmarkEnd w:id="583"/>
      <w:bookmarkEnd w:id="584"/>
      <w:bookmarkEnd w:id="585"/>
    </w:p>
    <w:p w14:paraId="72101423">
      <w:pPr>
        <w:spacing w:line="360" w:lineRule="auto"/>
        <w:ind w:firstLine="480" w:firstLineChars="200"/>
        <w:rPr>
          <w:rFonts w:hint="eastAsia" w:ascii="宋体" w:hAnsi="宋体" w:cs="宋体"/>
          <w:color w:val="auto"/>
          <w:sz w:val="24"/>
          <w:highlight w:val="none"/>
        </w:rPr>
      </w:pPr>
      <w:r>
        <w:rPr>
          <w:rFonts w:hint="eastAsia" w:ascii="黑体" w:hAnsi="黑体" w:eastAsia="黑体" w:cs="黑体"/>
          <w:color w:val="auto"/>
          <w:sz w:val="24"/>
          <w:highlight w:val="none"/>
        </w:rPr>
        <w:t>5.7.1</w:t>
      </w:r>
      <w:r>
        <w:rPr>
          <w:rFonts w:hint="eastAsia" w:ascii="黑体" w:hAnsi="黑体" w:eastAsia="黑体" w:cs="黑体"/>
          <w:color w:val="auto"/>
          <w:sz w:val="24"/>
          <w:highlight w:val="none"/>
          <w:lang w:val="en-US" w:eastAsia="zh-CN"/>
        </w:rPr>
        <w:t xml:space="preserve"> </w:t>
      </w:r>
      <w:r>
        <w:rPr>
          <w:rFonts w:hint="eastAsia" w:ascii="黑体" w:hAnsi="黑体" w:eastAsia="黑体" w:cs="黑体"/>
          <w:color w:val="auto"/>
          <w:sz w:val="24"/>
          <w:highlight w:val="none"/>
        </w:rPr>
        <w:t>委托人对监理试验室的授权权限</w:t>
      </w:r>
    </w:p>
    <w:p w14:paraId="71B392F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当承包人工地试验室与监理试验室的试验检测数据有矛盾时，应进行复查，复查仍有矛盾时，原则上以监理试验室的检测结果为准，发包人保留委托具有相同或更高资质的独立第三方进行平行抽检或验证试验的权利，仲裁试验所发生的费用由过错方承担。</w:t>
      </w:r>
    </w:p>
    <w:p w14:paraId="1EB77A5E">
      <w:pPr>
        <w:pStyle w:val="5"/>
        <w:numPr>
          <w:ilvl w:val="0"/>
          <w:numId w:val="0"/>
        </w:numPr>
        <w:rPr>
          <w:rFonts w:hint="eastAsia" w:ascii="Arial" w:hAnsi="Arial"/>
          <w:b/>
          <w:sz w:val="28"/>
          <w:szCs w:val="32"/>
        </w:rPr>
      </w:pPr>
      <w:bookmarkStart w:id="586" w:name="_Toc74760907"/>
      <w:r>
        <w:rPr>
          <w:rFonts w:hint="eastAsia" w:ascii="Arial" w:hAnsi="Arial"/>
          <w:b/>
          <w:sz w:val="28"/>
          <w:szCs w:val="32"/>
        </w:rPr>
        <w:t>6</w:t>
      </w:r>
      <w:r>
        <w:rPr>
          <w:rFonts w:hint="eastAsia" w:ascii="Arial" w:hAnsi="Arial"/>
          <w:b/>
          <w:sz w:val="28"/>
          <w:szCs w:val="32"/>
          <w:lang w:val="en-US" w:eastAsia="zh-CN"/>
        </w:rPr>
        <w:t xml:space="preserve">. </w:t>
      </w:r>
      <w:r>
        <w:rPr>
          <w:rFonts w:hint="eastAsia" w:ascii="Arial" w:hAnsi="Arial"/>
          <w:b/>
          <w:sz w:val="28"/>
          <w:szCs w:val="32"/>
        </w:rPr>
        <w:t>开始监理试验室和完成监理试验室</w:t>
      </w:r>
      <w:bookmarkEnd w:id="586"/>
    </w:p>
    <w:p w14:paraId="7C5138A6">
      <w:pPr>
        <w:pStyle w:val="6"/>
        <w:rPr>
          <w:rFonts w:ascii="Calibri" w:hAnsi="Calibri"/>
          <w:b w:val="0"/>
          <w:bCs w:val="0"/>
          <w:sz w:val="28"/>
          <w:szCs w:val="32"/>
        </w:rPr>
      </w:pPr>
      <w:bookmarkStart w:id="587" w:name="_Toc74760908"/>
      <w:r>
        <w:rPr>
          <w:rFonts w:hint="default" w:ascii="Calibri" w:hAnsi="Calibri"/>
          <w:b w:val="0"/>
          <w:bCs w:val="0"/>
          <w:sz w:val="28"/>
          <w:szCs w:val="32"/>
        </w:rPr>
        <w:t>6.1</w:t>
      </w:r>
      <w:r>
        <w:rPr>
          <w:rFonts w:hint="eastAsia"/>
          <w:b w:val="0"/>
          <w:bCs w:val="0"/>
          <w:sz w:val="28"/>
          <w:szCs w:val="32"/>
          <w:lang w:val="en-US" w:eastAsia="zh-CN"/>
        </w:rPr>
        <w:t xml:space="preserve"> </w:t>
      </w:r>
      <w:r>
        <w:rPr>
          <w:rFonts w:hint="default" w:ascii="Calibri" w:hAnsi="Calibri"/>
          <w:b w:val="0"/>
          <w:bCs w:val="0"/>
          <w:sz w:val="28"/>
          <w:szCs w:val="32"/>
        </w:rPr>
        <w:t>开始监理试验室</w:t>
      </w:r>
      <w:bookmarkEnd w:id="587"/>
    </w:p>
    <w:p w14:paraId="5D0D454E">
      <w:pPr>
        <w:spacing w:line="360" w:lineRule="auto"/>
        <w:ind w:firstLine="480" w:firstLineChars="200"/>
        <w:jc w:val="left"/>
        <w:rPr>
          <w:rFonts w:hint="eastAsia" w:ascii="宋体" w:hAnsi="宋体" w:cs="宋体"/>
          <w:color w:val="auto"/>
          <w:sz w:val="24"/>
          <w:highlight w:val="none"/>
        </w:rPr>
      </w:pPr>
      <w:r>
        <w:rPr>
          <w:rFonts w:ascii="宋体" w:hAnsi="宋体" w:cs="宋体"/>
          <w:color w:val="auto"/>
          <w:sz w:val="24"/>
          <w:highlight w:val="none"/>
        </w:rPr>
        <w:t>6.1.1满足以下条件时，</w:t>
      </w:r>
      <w:r>
        <w:rPr>
          <w:rFonts w:hint="eastAsia" w:ascii="宋体" w:hAnsi="宋体" w:cs="宋体"/>
          <w:color w:val="auto"/>
          <w:sz w:val="24"/>
          <w:highlight w:val="none"/>
        </w:rPr>
        <w:t>试验检测机构应开始监理试验室工作：</w:t>
      </w:r>
    </w:p>
    <w:p w14:paraId="509450BB">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试验检测机构与委托人签订了合同协议书，试验检测机构应结合工程施工进程，合理安排</w:t>
      </w:r>
      <w:r>
        <w:rPr>
          <w:rFonts w:hint="eastAsia" w:ascii="宋体" w:hAnsi="宋体"/>
          <w:color w:val="auto"/>
          <w:sz w:val="24"/>
          <w:highlight w:val="none"/>
        </w:rPr>
        <w:t>监理试验室</w:t>
      </w:r>
      <w:r>
        <w:rPr>
          <w:rFonts w:hint="eastAsia" w:ascii="宋体" w:hAnsi="宋体" w:cs="宋体"/>
          <w:color w:val="auto"/>
          <w:sz w:val="24"/>
          <w:highlight w:val="none"/>
        </w:rPr>
        <w:t>试验检测人员进出场，并在技术建议书中写明</w:t>
      </w:r>
      <w:r>
        <w:rPr>
          <w:rFonts w:hint="eastAsia" w:ascii="宋体" w:hAnsi="宋体"/>
          <w:color w:val="auto"/>
          <w:sz w:val="24"/>
          <w:highlight w:val="none"/>
        </w:rPr>
        <w:t>监理试验室</w:t>
      </w:r>
      <w:r>
        <w:rPr>
          <w:rFonts w:hint="eastAsia" w:ascii="宋体" w:hAnsi="宋体" w:cs="宋体"/>
          <w:color w:val="auto"/>
          <w:sz w:val="24"/>
          <w:highlight w:val="none"/>
        </w:rPr>
        <w:t>人员的安排计划。同时委托人应向</w:t>
      </w:r>
      <w:r>
        <w:rPr>
          <w:rFonts w:hint="eastAsia" w:ascii="宋体" w:hAnsi="宋体"/>
          <w:color w:val="auto"/>
          <w:sz w:val="24"/>
          <w:highlight w:val="none"/>
        </w:rPr>
        <w:t>监理试验室</w:t>
      </w:r>
      <w:r>
        <w:rPr>
          <w:rFonts w:hint="eastAsia" w:ascii="宋体" w:hAnsi="宋体" w:cs="宋体"/>
          <w:color w:val="auto"/>
          <w:sz w:val="24"/>
          <w:highlight w:val="none"/>
        </w:rPr>
        <w:t>发出开始试验通知。</w:t>
      </w:r>
      <w:r>
        <w:rPr>
          <w:rFonts w:hint="eastAsia" w:ascii="宋体" w:hAnsi="宋体"/>
          <w:color w:val="auto"/>
          <w:sz w:val="24"/>
          <w:highlight w:val="none"/>
        </w:rPr>
        <w:t>完成监理试验室服务的施工阶段时间和所检测项目的施工合同相一致。监理试验室在合同协议书或补充协议书规定的期限已满，并实质上办理完了工程的缺陷责任终止证书后方可退场</w:t>
      </w:r>
      <w:r>
        <w:rPr>
          <w:rFonts w:ascii="宋体" w:hAnsi="宋体" w:cs="宋体"/>
          <w:color w:val="auto"/>
          <w:sz w:val="24"/>
          <w:highlight w:val="none"/>
        </w:rPr>
        <w:t>。</w:t>
      </w:r>
    </w:p>
    <w:p w14:paraId="68F1B694">
      <w:pPr>
        <w:pStyle w:val="6"/>
        <w:rPr>
          <w:rFonts w:ascii="Calibri" w:hAnsi="Calibri"/>
          <w:b w:val="0"/>
          <w:bCs w:val="0"/>
          <w:sz w:val="28"/>
          <w:szCs w:val="32"/>
        </w:rPr>
      </w:pPr>
      <w:bookmarkStart w:id="588" w:name="_Toc74760909"/>
      <w:r>
        <w:rPr>
          <w:rFonts w:hint="default" w:ascii="Calibri" w:hAnsi="Calibri"/>
          <w:b w:val="0"/>
          <w:bCs w:val="0"/>
          <w:sz w:val="28"/>
          <w:szCs w:val="32"/>
        </w:rPr>
        <w:t>6.2</w:t>
      </w:r>
      <w:r>
        <w:rPr>
          <w:rFonts w:hint="eastAsia"/>
          <w:b w:val="0"/>
          <w:bCs w:val="0"/>
          <w:sz w:val="28"/>
          <w:szCs w:val="32"/>
          <w:lang w:val="en-US" w:eastAsia="zh-CN"/>
        </w:rPr>
        <w:t xml:space="preserve"> </w:t>
      </w:r>
      <w:r>
        <w:rPr>
          <w:rFonts w:hint="default" w:ascii="Calibri" w:hAnsi="Calibri"/>
          <w:b w:val="0"/>
          <w:bCs w:val="0"/>
          <w:sz w:val="28"/>
          <w:szCs w:val="32"/>
        </w:rPr>
        <w:t>监理试验室周期延误</w:t>
      </w:r>
      <w:bookmarkEnd w:id="588"/>
    </w:p>
    <w:p w14:paraId="1AD024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延长监理试验室服务期限的计算方法：</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5CCAA7FC">
      <w:pPr>
        <w:spacing w:line="360" w:lineRule="auto"/>
        <w:ind w:firstLine="480" w:firstLineChars="200"/>
        <w:rPr>
          <w:rFonts w:hint="eastAsia" w:ascii="宋体" w:hAnsi="宋体" w:cs="宋体"/>
          <w:b w:val="0"/>
          <w:color w:val="auto"/>
          <w:sz w:val="24"/>
          <w:szCs w:val="24"/>
          <w:highlight w:val="none"/>
        </w:rPr>
      </w:pPr>
      <w:r>
        <w:rPr>
          <w:rFonts w:hint="eastAsia" w:ascii="宋体" w:hAnsi="宋体" w:cs="宋体"/>
          <w:color w:val="auto"/>
          <w:sz w:val="24"/>
          <w:highlight w:val="none"/>
        </w:rPr>
        <w:t>增加监理试验室服务费用的计算方法：</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bookmarkStart w:id="589" w:name="_Toc74760910"/>
    </w:p>
    <w:p w14:paraId="68F7CA10">
      <w:pPr>
        <w:pStyle w:val="6"/>
        <w:rPr>
          <w:rFonts w:ascii="Calibri" w:hAnsi="Calibri"/>
          <w:b w:val="0"/>
          <w:bCs w:val="0"/>
          <w:sz w:val="28"/>
          <w:szCs w:val="32"/>
        </w:rPr>
      </w:pPr>
      <w:r>
        <w:rPr>
          <w:rFonts w:ascii="Calibri" w:hAnsi="Calibri"/>
          <w:b w:val="0"/>
          <w:bCs w:val="0"/>
          <w:sz w:val="28"/>
          <w:szCs w:val="32"/>
        </w:rPr>
        <w:t xml:space="preserve">6.3 </w:t>
      </w:r>
      <w:r>
        <w:rPr>
          <w:rFonts w:hint="default" w:ascii="Calibri" w:hAnsi="Calibri"/>
          <w:b w:val="0"/>
          <w:bCs w:val="0"/>
          <w:sz w:val="28"/>
          <w:szCs w:val="32"/>
        </w:rPr>
        <w:t>完成监理</w:t>
      </w:r>
      <w:bookmarkEnd w:id="589"/>
      <w:r>
        <w:rPr>
          <w:rFonts w:ascii="Calibri" w:hAnsi="Calibri"/>
          <w:b w:val="0"/>
          <w:bCs w:val="0"/>
          <w:sz w:val="28"/>
          <w:szCs w:val="32"/>
        </w:rPr>
        <w:t xml:space="preserve"> </w:t>
      </w:r>
    </w:p>
    <w:p w14:paraId="7EC6461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6.3.</w:t>
      </w:r>
      <w:r>
        <w:rPr>
          <w:rFonts w:hint="eastAsia" w:ascii="宋体" w:hAnsi="宋体" w:cs="宋体"/>
          <w:color w:val="auto"/>
          <w:sz w:val="24"/>
          <w:highlight w:val="none"/>
          <w:lang w:val="en-US" w:eastAsia="zh-CN"/>
        </w:rPr>
        <w:t>4</w:t>
      </w:r>
      <w:r>
        <w:rPr>
          <w:rFonts w:ascii="宋体" w:hAnsi="宋体" w:cs="宋体"/>
          <w:color w:val="auto"/>
          <w:sz w:val="24"/>
          <w:highlight w:val="none"/>
        </w:rPr>
        <w:t>监理</w:t>
      </w:r>
      <w:r>
        <w:rPr>
          <w:rFonts w:hint="eastAsia" w:ascii="宋体" w:hAnsi="宋体" w:cs="宋体"/>
          <w:color w:val="auto"/>
          <w:sz w:val="24"/>
          <w:highlight w:val="none"/>
          <w:lang w:val="en-US" w:eastAsia="zh-CN"/>
        </w:rPr>
        <w:t>试验室</w:t>
      </w:r>
      <w:r>
        <w:rPr>
          <w:rFonts w:ascii="宋体" w:hAnsi="宋体" w:cs="宋体"/>
          <w:color w:val="auto"/>
          <w:sz w:val="24"/>
          <w:highlight w:val="none"/>
        </w:rPr>
        <w:t>文件的份数、纸幅、装订格式要求：</w:t>
      </w:r>
      <w:r>
        <w:rPr>
          <w:rFonts w:ascii="宋体" w:hAnsi="宋体" w:cs="宋体"/>
          <w:color w:val="auto"/>
          <w:sz w:val="24"/>
          <w:highlight w:val="none"/>
          <w:u w:val="single"/>
        </w:rPr>
        <w:t xml:space="preserve">                    </w:t>
      </w:r>
      <w:r>
        <w:rPr>
          <w:rFonts w:ascii="宋体" w:hAnsi="宋体" w:cs="宋体"/>
          <w:color w:val="auto"/>
          <w:sz w:val="24"/>
          <w:highlight w:val="none"/>
        </w:rPr>
        <w:t>。</w:t>
      </w:r>
    </w:p>
    <w:p w14:paraId="68E493D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本款补充第6.3.5</w:t>
      </w:r>
      <w:r>
        <w:rPr>
          <w:rFonts w:hint="eastAsia" w:ascii="宋体" w:hAnsi="宋体" w:cs="宋体"/>
          <w:color w:val="auto"/>
          <w:sz w:val="24"/>
          <w:highlight w:val="none"/>
        </w:rPr>
        <w:t>项：</w:t>
      </w:r>
    </w:p>
    <w:p w14:paraId="4C12E88F">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6</w:t>
      </w:r>
      <w:r>
        <w:rPr>
          <w:rFonts w:ascii="宋体" w:hAnsi="宋体" w:cs="宋体"/>
          <w:color w:val="auto"/>
          <w:sz w:val="24"/>
          <w:highlight w:val="none"/>
        </w:rPr>
        <w:t>.3.5</w:t>
      </w:r>
      <w:r>
        <w:rPr>
          <w:rFonts w:hint="eastAsia" w:ascii="宋体" w:hAnsi="宋体" w:cs="宋体"/>
          <w:color w:val="auto"/>
          <w:sz w:val="24"/>
          <w:highlight w:val="none"/>
        </w:rPr>
        <w:t>完成监理试验室试验检测施工期服务的时间和所试验检测项目的施工合同相一致，缺陷责任期同施工合同</w:t>
      </w:r>
      <w:r>
        <w:rPr>
          <w:rFonts w:hint="eastAsia" w:ascii="宋体" w:hAnsi="宋体" w:cs="宋体"/>
          <w:color w:val="auto"/>
          <w:sz w:val="24"/>
          <w:highlight w:val="none"/>
          <w:lang w:eastAsia="zh-CN"/>
        </w:rPr>
        <w:t>。</w:t>
      </w:r>
    </w:p>
    <w:p w14:paraId="34F67F2A">
      <w:pPr>
        <w:pStyle w:val="5"/>
        <w:numPr>
          <w:ilvl w:val="-1"/>
          <w:numId w:val="0"/>
        </w:numPr>
        <w:rPr>
          <w:rFonts w:hint="eastAsia" w:ascii="Arial" w:hAnsi="Arial"/>
          <w:b/>
          <w:sz w:val="28"/>
          <w:szCs w:val="32"/>
        </w:rPr>
      </w:pPr>
      <w:r>
        <w:rPr>
          <w:rFonts w:hint="eastAsia" w:ascii="Arial" w:hAnsi="Arial"/>
          <w:b/>
          <w:sz w:val="28"/>
          <w:szCs w:val="32"/>
          <w:lang w:val="en-US" w:eastAsia="zh-CN"/>
        </w:rPr>
        <w:t xml:space="preserve">7. </w:t>
      </w:r>
      <w:r>
        <w:rPr>
          <w:rFonts w:hint="eastAsia" w:ascii="Arial" w:hAnsi="Arial"/>
          <w:b/>
          <w:sz w:val="28"/>
          <w:szCs w:val="32"/>
        </w:rPr>
        <w:t>监理试验室责任与保险</w:t>
      </w:r>
    </w:p>
    <w:p w14:paraId="0087FAD6">
      <w:pPr>
        <w:pStyle w:val="6"/>
        <w:rPr>
          <w:rFonts w:ascii="Calibri" w:hAnsi="Calibri"/>
          <w:b w:val="0"/>
          <w:bCs w:val="0"/>
          <w:sz w:val="28"/>
          <w:szCs w:val="32"/>
        </w:rPr>
      </w:pPr>
      <w:r>
        <w:rPr>
          <w:rFonts w:hint="default" w:ascii="Calibri" w:hAnsi="Calibri"/>
          <w:b w:val="0"/>
          <w:bCs w:val="0"/>
          <w:sz w:val="28"/>
          <w:szCs w:val="32"/>
        </w:rPr>
        <w:t>7.1</w:t>
      </w:r>
      <w:r>
        <w:rPr>
          <w:rFonts w:hint="eastAsia"/>
          <w:b w:val="0"/>
          <w:bCs w:val="0"/>
          <w:sz w:val="28"/>
          <w:szCs w:val="32"/>
          <w:lang w:val="en-US" w:eastAsia="zh-CN"/>
        </w:rPr>
        <w:t xml:space="preserve"> </w:t>
      </w:r>
      <w:r>
        <w:rPr>
          <w:rFonts w:hint="default" w:ascii="Calibri" w:hAnsi="Calibri"/>
          <w:b w:val="0"/>
          <w:bCs w:val="0"/>
          <w:sz w:val="28"/>
          <w:szCs w:val="32"/>
        </w:rPr>
        <w:t>监理试验室责任主体</w:t>
      </w:r>
    </w:p>
    <w:p w14:paraId="7E7DBB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第7.1.4项细化为：</w:t>
      </w:r>
    </w:p>
    <w:p w14:paraId="3C3369C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（1）监理试验室与监理人的关系</w:t>
      </w:r>
      <w:r>
        <w:rPr>
          <w:rFonts w:hint="eastAsia" w:ascii="宋体" w:hAnsi="宋体" w:cs="宋体"/>
          <w:color w:val="auto"/>
          <w:sz w:val="24"/>
          <w:highlight w:val="none"/>
          <w:lang w:eastAsia="zh-CN"/>
        </w:rPr>
        <w:t>。</w:t>
      </w:r>
    </w:p>
    <w:p w14:paraId="6A10E71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监理试验室为对应监理标段总监办下辖的试验检测机构，业务上归总监理工程师管理。接</w:t>
      </w:r>
      <w:bookmarkStart w:id="590" w:name="_Toc520709523"/>
      <w:bookmarkStart w:id="591" w:name="_Toc523921830"/>
      <w:r>
        <w:rPr>
          <w:rFonts w:hint="eastAsia" w:ascii="宋体" w:hAnsi="宋体" w:cs="宋体"/>
          <w:color w:val="auto"/>
          <w:sz w:val="24"/>
          <w:highlight w:val="none"/>
        </w:rPr>
        <w:t>受总监办的指导、</w:t>
      </w:r>
      <w:bookmarkEnd w:id="590"/>
      <w:bookmarkEnd w:id="591"/>
      <w:r>
        <w:rPr>
          <w:rFonts w:hint="eastAsia" w:ascii="宋体" w:hAnsi="宋体" w:cs="宋体"/>
          <w:color w:val="auto"/>
          <w:sz w:val="24"/>
          <w:highlight w:val="none"/>
        </w:rPr>
        <w:t>检查、监督和协调，对监理服务要求的全部试验检测工作以及委托人、上级主管部门要求的有关试验检测工作负责。</w:t>
      </w:r>
      <w:bookmarkStart w:id="592" w:name="_Toc519778500"/>
      <w:bookmarkStart w:id="593" w:name="_Toc519777887"/>
      <w:bookmarkStart w:id="594" w:name="_Toc513555605"/>
      <w:bookmarkStart w:id="595" w:name="_Toc523921831"/>
      <w:bookmarkStart w:id="596" w:name="_Toc519777835"/>
      <w:bookmarkStart w:id="597" w:name="_Toc519601507"/>
      <w:bookmarkStart w:id="598" w:name="_Toc513556684"/>
      <w:bookmarkStart w:id="599" w:name="_Toc519777939"/>
      <w:bookmarkStart w:id="600" w:name="_Toc513555849"/>
      <w:bookmarkStart w:id="601" w:name="_Toc520709524"/>
    </w:p>
    <w:p w14:paraId="53EB0414">
      <w:pPr>
        <w:spacing w:line="360" w:lineRule="auto"/>
        <w:ind w:firstLine="480" w:firstLineChars="200"/>
        <w:rPr>
          <w:rStyle w:val="50"/>
          <w:rFonts w:hint="eastAsia" w:ascii="宋体" w:hAnsi="宋体"/>
          <w:sz w:val="24"/>
          <w:szCs w:val="24"/>
          <w:highlight w:val="none"/>
          <w:lang w:eastAsia="zh-CN"/>
        </w:rPr>
      </w:pPr>
      <w:r>
        <w:rPr>
          <w:rFonts w:hint="eastAsia" w:ascii="宋体" w:hAnsi="宋体" w:cs="宋体"/>
          <w:color w:val="auto"/>
          <w:sz w:val="24"/>
          <w:highlight w:val="none"/>
        </w:rPr>
        <w:t>监理试验室应及时、准确地</w:t>
      </w:r>
      <w:bookmarkEnd w:id="592"/>
      <w:bookmarkEnd w:id="593"/>
      <w:bookmarkEnd w:id="594"/>
      <w:bookmarkEnd w:id="595"/>
      <w:bookmarkEnd w:id="596"/>
      <w:bookmarkEnd w:id="597"/>
      <w:bookmarkEnd w:id="598"/>
      <w:bookmarkEnd w:id="599"/>
      <w:bookmarkEnd w:id="600"/>
      <w:bookmarkEnd w:id="601"/>
      <w:r>
        <w:rPr>
          <w:rFonts w:hint="eastAsia" w:ascii="宋体" w:hAnsi="宋体" w:cs="宋体"/>
          <w:color w:val="auto"/>
          <w:sz w:val="24"/>
          <w:highlight w:val="none"/>
        </w:rPr>
        <w:t>为</w:t>
      </w:r>
      <w:bookmarkStart w:id="602" w:name="_Toc520709525"/>
      <w:bookmarkStart w:id="603" w:name="_Toc523921832"/>
      <w:r>
        <w:rPr>
          <w:rFonts w:hint="eastAsia" w:ascii="宋体" w:hAnsi="宋体" w:cs="宋体"/>
          <w:color w:val="auto"/>
          <w:sz w:val="24"/>
          <w:highlight w:val="none"/>
        </w:rPr>
        <w:t>监理工程师提供试验报告和</w:t>
      </w:r>
      <w:bookmarkEnd w:id="602"/>
      <w:bookmarkEnd w:id="603"/>
      <w:r>
        <w:rPr>
          <w:rFonts w:hint="eastAsia" w:ascii="宋体" w:hAnsi="宋体" w:cs="宋体"/>
          <w:color w:val="auto"/>
          <w:sz w:val="24"/>
          <w:highlight w:val="none"/>
        </w:rPr>
        <w:t>分析意见，为监理工程师进行工程质量控制和评估提供依据。</w:t>
      </w:r>
      <w:r>
        <w:rPr>
          <w:rStyle w:val="50"/>
          <w:rFonts w:hint="eastAsia" w:ascii="宋体" w:hAnsi="宋体"/>
          <w:sz w:val="24"/>
          <w:szCs w:val="24"/>
          <w:highlight w:val="none"/>
        </w:rPr>
        <w:t>监理试验室在总监办的监督和管理下完成主要原材料的平行试验和主要混合料的配合比、路基填料击实试验的验证试验，并负责合同范围内的试验抽检工作</w:t>
      </w:r>
      <w:r>
        <w:rPr>
          <w:rStyle w:val="50"/>
          <w:rFonts w:hint="eastAsia" w:ascii="宋体" w:hAnsi="宋体"/>
          <w:sz w:val="24"/>
          <w:szCs w:val="24"/>
          <w:highlight w:val="none"/>
          <w:lang w:eastAsia="zh-CN"/>
        </w:rPr>
        <w:t>。</w:t>
      </w:r>
    </w:p>
    <w:p w14:paraId="685C2DBF">
      <w:pPr>
        <w:spacing w:line="360" w:lineRule="auto"/>
        <w:ind w:firstLine="480" w:firstLineChars="200"/>
        <w:rPr>
          <w:rFonts w:ascii="宋体" w:hAnsi="宋体" w:cs="宋体"/>
          <w:color w:val="auto"/>
          <w:sz w:val="24"/>
          <w:highlight w:val="none"/>
        </w:rPr>
      </w:pPr>
      <w:r>
        <w:rPr>
          <w:rStyle w:val="50"/>
          <w:rFonts w:hint="eastAsia" w:ascii="宋体" w:hAnsi="宋体"/>
          <w:sz w:val="24"/>
          <w:szCs w:val="24"/>
          <w:highlight w:val="none"/>
        </w:rPr>
        <w:t>当监理工程师对工程材料或实体质量有疑问时，应进行抽检（该项抽检的频率不受上述抽检频率比例的限定）；对承包人外部采购和委托制作的主要工程构配件或设备，监理</w:t>
      </w:r>
      <w:r>
        <w:rPr>
          <w:rStyle w:val="50"/>
          <w:rFonts w:hint="eastAsia" w:ascii="宋体" w:hAnsi="宋体" w:cs="宋体"/>
          <w:color w:val="auto"/>
          <w:sz w:val="24"/>
          <w:szCs w:val="24"/>
          <w:highlight w:val="none"/>
        </w:rPr>
        <w:t>工程师应核查产品合格证明文件和承包人自检报告，进场后对关键项目进行抽检，验收合格后方可使用</w:t>
      </w:r>
      <w:r>
        <w:rPr>
          <w:rStyle w:val="50"/>
          <w:rFonts w:hint="eastAsia" w:ascii="宋体" w:hAnsi="宋体" w:cs="宋体"/>
          <w:color w:val="auto"/>
          <w:sz w:val="24"/>
          <w:szCs w:val="24"/>
          <w:highlight w:val="none"/>
          <w:lang w:eastAsia="zh-CN"/>
        </w:rPr>
        <w:t>。</w:t>
      </w:r>
      <w:r>
        <w:rPr>
          <w:rStyle w:val="50"/>
          <w:rFonts w:hint="eastAsia" w:ascii="宋体" w:hAnsi="宋体" w:cs="宋体"/>
          <w:color w:val="auto"/>
          <w:sz w:val="24"/>
          <w:szCs w:val="24"/>
          <w:highlight w:val="none"/>
        </w:rPr>
        <w:t>对在施工现场不具备检测条件的，监理工程师应按合同约定到厂监督检验。</w:t>
      </w:r>
    </w:p>
    <w:p w14:paraId="0A706796">
      <w:pPr>
        <w:pStyle w:val="297"/>
        <w:numPr>
          <w:ilvl w:val="0"/>
          <w:numId w:val="0"/>
        </w:numPr>
        <w:spacing w:line="360" w:lineRule="auto"/>
        <w:ind w:firstLine="480" w:firstLineChars="200"/>
        <w:rPr>
          <w:rStyle w:val="50"/>
          <w:rFonts w:hint="eastAsia" w:ascii="宋体" w:hAnsi="宋体" w:cs="宋体"/>
          <w:color w:val="auto"/>
          <w:sz w:val="24"/>
          <w:szCs w:val="24"/>
          <w:highlight w:val="none"/>
        </w:rPr>
      </w:pPr>
      <w:r>
        <w:rPr>
          <w:rStyle w:val="50"/>
          <w:rFonts w:hint="eastAsia" w:ascii="宋体" w:hAnsi="宋体" w:cs="宋体"/>
          <w:color w:val="auto"/>
          <w:sz w:val="24"/>
          <w:szCs w:val="24"/>
          <w:highlight w:val="none"/>
        </w:rPr>
        <w:t>监理工程师有责任和义务配合监理试验室完成抽检工作，并应根据承包人的施工计划及工程进展情况及时通知监理试验室进行现场抽检。</w:t>
      </w:r>
    </w:p>
    <w:p w14:paraId="639C5680">
      <w:pPr>
        <w:spacing w:line="360" w:lineRule="auto"/>
        <w:ind w:firstLine="480" w:firstLineChars="200"/>
        <w:rPr>
          <w:rFonts w:hint="eastAsia" w:ascii="宋体" w:hAnsi="宋体" w:cs="宋体"/>
          <w:color w:val="auto"/>
          <w:sz w:val="24"/>
          <w:highlight w:val="none"/>
          <w:u w:val="single"/>
          <w:lang w:val="en-US" w:eastAsia="zh-CN"/>
        </w:rPr>
      </w:pPr>
      <w:r>
        <w:rPr>
          <w:rFonts w:hint="eastAsia" w:ascii="宋体" w:hAnsi="宋体" w:cs="宋体"/>
          <w:color w:val="auto"/>
          <w:sz w:val="24"/>
          <w:highlight w:val="none"/>
          <w:shd w:val="clear" w:color="auto" w:fill="FFFFFF"/>
        </w:rPr>
        <w:t>监理人应定期或不定期核查监理试验室试验检测人员、仪器设备、场地环境、管理制度和试验检测能力是否满足合同要求及工程施工管理需要。</w:t>
      </w:r>
    </w:p>
    <w:p w14:paraId="1BBDB5B5">
      <w:pPr>
        <w:numPr>
          <w:ilvl w:val="0"/>
          <w:numId w:val="3"/>
        </w:num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监理试验室</w:t>
      </w:r>
      <w:r>
        <w:rPr>
          <w:rFonts w:hint="eastAsia" w:ascii="宋体" w:hAnsi="宋体" w:cs="宋体"/>
          <w:color w:val="auto"/>
          <w:sz w:val="24"/>
          <w:highlight w:val="none"/>
          <w:lang w:val="en-US" w:eastAsia="zh-CN"/>
        </w:rPr>
        <w:t>的组建要求。</w:t>
      </w:r>
    </w:p>
    <w:p w14:paraId="37C735BD">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t>①</w:t>
      </w:r>
      <w:r>
        <w:rPr>
          <w:rFonts w:hint="eastAsia" w:ascii="宋体" w:hAnsi="宋体" w:eastAsia="宋体" w:cs="宋体"/>
          <w:color w:val="auto"/>
          <w:sz w:val="24"/>
          <w:highlight w:val="none"/>
        </w:rPr>
        <w:fldChar w:fldCharType="end"/>
      </w:r>
      <w:r>
        <w:rPr>
          <w:rFonts w:hint="eastAsia" w:ascii="宋体" w:hAnsi="宋体" w:cs="宋体"/>
          <w:color w:val="auto"/>
          <w:sz w:val="24"/>
          <w:highlight w:val="none"/>
        </w:rPr>
        <w:t>试验检测机构应按照交通运输部《工地试验室标准化建设要点》（厅质监字〔2012〕200号）</w:t>
      </w:r>
      <w:r>
        <w:rPr>
          <w:rFonts w:hint="eastAsia" w:ascii="宋体" w:hAnsi="宋体" w:cs="宋体"/>
          <w:color w:val="auto"/>
          <w:sz w:val="24"/>
          <w:highlight w:val="none"/>
          <w:lang w:eastAsia="zh-CN"/>
        </w:rPr>
        <w:t>、</w:t>
      </w:r>
      <w:r>
        <w:rPr>
          <w:rFonts w:hint="eastAsia" w:ascii="宋体" w:hAnsi="宋体" w:cs="宋体"/>
          <w:color w:val="auto"/>
          <w:sz w:val="24"/>
          <w:highlight w:val="none"/>
          <w:shd w:val="clear" w:color="auto" w:fill="FFFFFF"/>
        </w:rPr>
        <w:t>《“两区三厂”建设安全标准化指南》</w:t>
      </w:r>
      <w:r>
        <w:rPr>
          <w:rFonts w:hint="eastAsia" w:ascii="宋体" w:hAnsi="宋体"/>
          <w:color w:val="auto"/>
          <w:sz w:val="24"/>
          <w:highlight w:val="none"/>
        </w:rPr>
        <w:t>以及四川省交通运输厅《</w:t>
      </w:r>
      <w:r>
        <w:rPr>
          <w:rFonts w:ascii="宋体" w:hAnsi="宋体"/>
          <w:color w:val="auto"/>
          <w:sz w:val="24"/>
          <w:highlight w:val="none"/>
        </w:rPr>
        <w:t>四川省公路水运工程工地试验室和</w:t>
      </w:r>
      <w:r>
        <w:rPr>
          <w:rFonts w:hint="eastAsia" w:ascii="宋体" w:hAnsi="宋体"/>
          <w:color w:val="auto"/>
          <w:sz w:val="24"/>
          <w:highlight w:val="none"/>
        </w:rPr>
        <w:t>现场检测项目管理办法》（2</w:t>
      </w:r>
      <w:r>
        <w:rPr>
          <w:rFonts w:ascii="宋体" w:hAnsi="宋体"/>
          <w:color w:val="auto"/>
          <w:sz w:val="24"/>
          <w:highlight w:val="none"/>
        </w:rPr>
        <w:t>022</w:t>
      </w:r>
      <w:r>
        <w:rPr>
          <w:rFonts w:hint="eastAsia" w:ascii="宋体" w:hAnsi="宋体"/>
          <w:color w:val="auto"/>
          <w:sz w:val="24"/>
          <w:highlight w:val="none"/>
        </w:rPr>
        <w:t>年5月1日起施行）的规定</w:t>
      </w:r>
      <w:r>
        <w:rPr>
          <w:rFonts w:hint="eastAsia" w:ascii="宋体" w:hAnsi="宋体" w:cs="宋体"/>
          <w:color w:val="auto"/>
          <w:sz w:val="24"/>
          <w:highlight w:val="none"/>
        </w:rPr>
        <w:t>建设标准化</w:t>
      </w:r>
      <w:r>
        <w:rPr>
          <w:rFonts w:hint="eastAsia" w:ascii="宋体" w:hAnsi="宋体" w:cs="宋体"/>
          <w:color w:val="auto"/>
          <w:sz w:val="24"/>
          <w:highlight w:val="none"/>
          <w:lang w:val="en-US" w:eastAsia="zh-CN"/>
        </w:rPr>
        <w:t>监理</w:t>
      </w:r>
      <w:r>
        <w:rPr>
          <w:rFonts w:hint="eastAsia" w:ascii="宋体" w:hAnsi="宋体" w:cs="宋体"/>
          <w:color w:val="auto"/>
          <w:sz w:val="24"/>
          <w:highlight w:val="none"/>
        </w:rPr>
        <w:t>试验室</w:t>
      </w:r>
      <w:r>
        <w:rPr>
          <w:rFonts w:hint="eastAsia" w:ascii="宋体" w:hAnsi="宋体" w:cs="宋体"/>
          <w:color w:val="auto"/>
          <w:sz w:val="24"/>
          <w:highlight w:val="none"/>
          <w:lang w:eastAsia="zh-CN"/>
        </w:rPr>
        <w:t>。</w:t>
      </w:r>
      <w:r>
        <w:rPr>
          <w:rFonts w:hint="eastAsia" w:ascii="宋体" w:hAnsi="宋体"/>
          <w:color w:val="auto"/>
          <w:sz w:val="24"/>
          <w:highlight w:val="none"/>
        </w:rPr>
        <w:t>经</w:t>
      </w:r>
      <w:r>
        <w:rPr>
          <w:rFonts w:hint="eastAsia" w:ascii="宋体" w:hAnsi="宋体"/>
          <w:color w:val="auto"/>
          <w:sz w:val="24"/>
          <w:highlight w:val="none"/>
          <w:lang w:val="en-US" w:eastAsia="zh-CN"/>
        </w:rPr>
        <w:t>委托</w:t>
      </w:r>
      <w:r>
        <w:rPr>
          <w:rFonts w:hint="eastAsia" w:ascii="宋体" w:hAnsi="宋体"/>
          <w:color w:val="auto"/>
          <w:sz w:val="24"/>
          <w:highlight w:val="none"/>
        </w:rPr>
        <w:t>人验收后报送项目质监机构，项目质监机构应对监理试验室验收工作进行检查，并对通过验收的监理试验室进行登记备案，取得质监机构“公路水运工程监理工地试验室备案通知书”</w:t>
      </w:r>
      <w:r>
        <w:rPr>
          <w:rFonts w:hint="eastAsia" w:ascii="宋体" w:hAnsi="宋体" w:cs="宋体"/>
          <w:color w:val="auto"/>
          <w:sz w:val="24"/>
          <w:highlight w:val="none"/>
        </w:rPr>
        <w:t>。</w:t>
      </w:r>
    </w:p>
    <w:p w14:paraId="4AD12D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2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②</w:t>
      </w:r>
      <w:r>
        <w:rPr>
          <w:rFonts w:hint="eastAsia" w:ascii="宋体" w:hAnsi="宋体" w:cs="宋体"/>
          <w:color w:val="auto"/>
          <w:sz w:val="24"/>
          <w:highlight w:val="none"/>
        </w:rPr>
        <w:fldChar w:fldCharType="end"/>
      </w:r>
      <w:r>
        <w:rPr>
          <w:rFonts w:hint="eastAsia" w:ascii="宋体" w:hAnsi="宋体" w:cs="宋体"/>
          <w:color w:val="auto"/>
          <w:sz w:val="24"/>
          <w:highlight w:val="none"/>
        </w:rPr>
        <w:t>监理试验室应取得母体试验检测机构授权。授权内容应包括工地试验室可开展的试验检测项目及参数、授权负责人、授权</w:t>
      </w:r>
      <w:r>
        <w:rPr>
          <w:rFonts w:hint="eastAsia" w:ascii="宋体" w:hAnsi="宋体" w:cs="宋体"/>
          <w:color w:val="auto"/>
          <w:sz w:val="24"/>
          <w:highlight w:val="none"/>
          <w:lang w:val="en-US" w:eastAsia="zh-CN"/>
        </w:rPr>
        <w:t>监理</w:t>
      </w:r>
      <w:r>
        <w:rPr>
          <w:rFonts w:hint="eastAsia" w:ascii="宋体" w:hAnsi="宋体" w:cs="宋体"/>
          <w:color w:val="auto"/>
          <w:sz w:val="24"/>
          <w:highlight w:val="none"/>
        </w:rPr>
        <w:t>试验室的公章、授权期限等。</w:t>
      </w:r>
    </w:p>
    <w:p w14:paraId="5D0B23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3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③</w:t>
      </w:r>
      <w:r>
        <w:rPr>
          <w:rFonts w:hint="eastAsia" w:ascii="宋体" w:hAnsi="宋体" w:cs="宋体"/>
          <w:color w:val="auto"/>
          <w:sz w:val="24"/>
          <w:highlight w:val="none"/>
        </w:rPr>
        <w:fldChar w:fldCharType="end"/>
      </w:r>
      <w:r>
        <w:rPr>
          <w:rFonts w:hint="eastAsia" w:ascii="宋体" w:hAnsi="宋体" w:cs="宋体"/>
          <w:color w:val="auto"/>
          <w:sz w:val="24"/>
          <w:highlight w:val="none"/>
        </w:rPr>
        <w:t>监理</w:t>
      </w:r>
      <w:r>
        <w:rPr>
          <w:rFonts w:hint="eastAsia" w:ascii="宋体" w:hAnsi="宋体" w:cs="宋体"/>
          <w:color w:val="auto"/>
          <w:sz w:val="24"/>
          <w:highlight w:val="none"/>
          <w:shd w:val="clear" w:color="auto" w:fill="FFFFFF"/>
        </w:rPr>
        <w:t>试验室应优先配置具有自动采集、储存、处理、上传和打印于一体的智能化检测仪器设备。标准养护室应配置全自动温、湿度同步控制设备；检测区各功能室应具备实时监控功能，用以记录工地试验室检测行为；</w:t>
      </w:r>
      <w:r>
        <w:rPr>
          <w:rFonts w:hint="eastAsia" w:ascii="宋体" w:hAnsi="宋体" w:cs="宋体"/>
          <w:color w:val="auto"/>
          <w:sz w:val="24"/>
          <w:highlight w:val="none"/>
          <w:shd w:val="clear" w:color="auto" w:fill="FFFFFF"/>
          <w:lang w:eastAsia="zh-CN"/>
        </w:rPr>
        <w:t>拌和站</w:t>
      </w:r>
      <w:r>
        <w:rPr>
          <w:rFonts w:hint="eastAsia" w:ascii="宋体" w:hAnsi="宋体" w:cs="宋体"/>
          <w:color w:val="auto"/>
          <w:sz w:val="24"/>
          <w:highlight w:val="none"/>
          <w:shd w:val="clear" w:color="auto" w:fill="FFFFFF"/>
        </w:rPr>
        <w:t>也应安装自动采集设备，对相关数据实现自动采集及上传。</w:t>
      </w:r>
    </w:p>
    <w:p w14:paraId="4BA880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④</w:t>
      </w:r>
      <w:r>
        <w:rPr>
          <w:rFonts w:hint="eastAsia" w:ascii="宋体" w:hAnsi="宋体" w:cs="宋体"/>
          <w:color w:val="auto"/>
          <w:sz w:val="24"/>
          <w:highlight w:val="none"/>
        </w:rPr>
        <w:fldChar w:fldCharType="end"/>
      </w:r>
      <w:r>
        <w:rPr>
          <w:rFonts w:hint="eastAsia" w:ascii="宋体" w:hAnsi="宋体" w:cs="宋体"/>
          <w:color w:val="auto"/>
          <w:sz w:val="24"/>
          <w:highlight w:val="none"/>
          <w:shd w:val="clear" w:color="auto" w:fill="FFFFFF"/>
        </w:rPr>
        <w:t>监理试验室应采用信息化手段进行管理，纳入委托人建立的工程质量检测信息监控系统。系统通过关键试验检测设备上安装的自动采集设备，实现对关键材料、结构等检测参数的试验检测数据自动采集、上传，实现试验检测报告实时上传，具有提醒和监控功能，确保检测数据、报告的真实性和可追溯性。同时在系统内</w:t>
      </w:r>
      <w:r>
        <w:rPr>
          <w:rFonts w:hint="eastAsia" w:ascii="宋体" w:hAnsi="宋体"/>
          <w:color w:val="auto"/>
          <w:sz w:val="24"/>
          <w:highlight w:val="none"/>
        </w:rPr>
        <w:t>对检测人员身份进行登记管理。</w:t>
      </w:r>
    </w:p>
    <w:p w14:paraId="7F8300A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fldChar w:fldCharType="begin"/>
      </w:r>
      <w:r>
        <w:rPr>
          <w:rFonts w:ascii="宋体" w:hAnsi="宋体" w:cs="宋体"/>
          <w:color w:val="auto"/>
          <w:sz w:val="24"/>
          <w:highlight w:val="none"/>
        </w:rPr>
        <w:instrText xml:space="preserve"> </w:instrText>
      </w:r>
      <w:r>
        <w:rPr>
          <w:rFonts w:hint="eastAsia" w:ascii="宋体" w:hAnsi="宋体" w:cs="宋体"/>
          <w:color w:val="auto"/>
          <w:sz w:val="24"/>
          <w:highlight w:val="none"/>
        </w:rPr>
        <w:instrText xml:space="preserve">= 5 \* GB3</w:instrText>
      </w:r>
      <w:r>
        <w:rPr>
          <w:rFonts w:ascii="宋体" w:hAnsi="宋体" w:cs="宋体"/>
          <w:color w:val="auto"/>
          <w:sz w:val="24"/>
          <w:highlight w:val="none"/>
        </w:rPr>
        <w:instrText xml:space="preserve"> </w:instrText>
      </w:r>
      <w:r>
        <w:rPr>
          <w:rFonts w:ascii="宋体" w:hAnsi="宋体" w:cs="宋体"/>
          <w:color w:val="auto"/>
          <w:sz w:val="24"/>
          <w:highlight w:val="none"/>
        </w:rPr>
        <w:fldChar w:fldCharType="separate"/>
      </w:r>
      <w:r>
        <w:rPr>
          <w:rFonts w:hint="eastAsia" w:ascii="宋体" w:hAnsi="宋体" w:cs="宋体"/>
          <w:color w:val="auto"/>
          <w:sz w:val="24"/>
          <w:highlight w:val="none"/>
        </w:rPr>
        <w:t>⑤</w:t>
      </w:r>
      <w:r>
        <w:rPr>
          <w:rFonts w:ascii="宋体" w:hAnsi="宋体" w:cs="宋体"/>
          <w:color w:val="auto"/>
          <w:sz w:val="24"/>
          <w:highlight w:val="none"/>
        </w:rPr>
        <w:fldChar w:fldCharType="end"/>
      </w:r>
      <w:r>
        <w:rPr>
          <w:rFonts w:hint="eastAsia" w:ascii="宋体" w:hAnsi="宋体" w:cs="宋体"/>
          <w:color w:val="auto"/>
          <w:sz w:val="24"/>
          <w:highlight w:val="none"/>
        </w:rPr>
        <w:t>对包含在</w:t>
      </w:r>
      <w:r>
        <w:rPr>
          <w:rFonts w:hint="eastAsia" w:ascii="宋体" w:hAnsi="宋体" w:cs="宋体"/>
          <w:color w:val="auto"/>
          <w:sz w:val="24"/>
          <w:highlight w:val="none"/>
          <w:lang w:val="en-US" w:eastAsia="zh-CN"/>
        </w:rPr>
        <w:t>招标要求</w:t>
      </w:r>
      <w:r>
        <w:rPr>
          <w:rFonts w:hint="eastAsia" w:ascii="宋体" w:hAnsi="宋体" w:cs="宋体"/>
          <w:color w:val="auto"/>
          <w:sz w:val="24"/>
          <w:highlight w:val="none"/>
        </w:rPr>
        <w:t>资质检测范围（含必测和选测）内，但监理试验室有可能不具备该项参数检测资质和能力的或现场不能承担的检测项目，试验检测机构经委托人核准同意后，可委托有相应试验检测资质和能力的试验检测机构来完成，该费用由试验检测机构自行承担。</w:t>
      </w:r>
    </w:p>
    <w:p w14:paraId="3A9E55A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shd w:val="clear" w:color="auto" w:fill="FFFFFF"/>
        </w:rPr>
        <w:fldChar w:fldCharType="begin"/>
      </w:r>
      <w:r>
        <w:rPr>
          <w:rFonts w:ascii="宋体" w:hAnsi="宋体" w:cs="宋体"/>
          <w:color w:val="auto"/>
          <w:sz w:val="24"/>
          <w:highlight w:val="none"/>
          <w:shd w:val="clear" w:color="auto" w:fill="FFFFFF"/>
        </w:rPr>
        <w:instrText xml:space="preserve"> </w:instrText>
      </w:r>
      <w:r>
        <w:rPr>
          <w:rFonts w:hint="eastAsia" w:ascii="宋体" w:hAnsi="宋体" w:cs="宋体"/>
          <w:color w:val="auto"/>
          <w:sz w:val="24"/>
          <w:highlight w:val="none"/>
          <w:shd w:val="clear" w:color="auto" w:fill="FFFFFF"/>
        </w:rPr>
        <w:instrText xml:space="preserve">= 6 \* GB3</w:instrText>
      </w:r>
      <w:r>
        <w:rPr>
          <w:rFonts w:ascii="宋体" w:hAnsi="宋体" w:cs="宋体"/>
          <w:color w:val="auto"/>
          <w:sz w:val="24"/>
          <w:highlight w:val="none"/>
          <w:shd w:val="clear" w:color="auto" w:fill="FFFFFF"/>
        </w:rPr>
        <w:instrText xml:space="preserve"> </w:instrText>
      </w:r>
      <w:r>
        <w:rPr>
          <w:rFonts w:ascii="宋体" w:hAnsi="宋体" w:cs="宋体"/>
          <w:color w:val="auto"/>
          <w:sz w:val="24"/>
          <w:highlight w:val="none"/>
          <w:shd w:val="clear" w:color="auto" w:fill="FFFFFF"/>
        </w:rPr>
        <w:fldChar w:fldCharType="separate"/>
      </w:r>
      <w:r>
        <w:rPr>
          <w:rFonts w:hint="eastAsia" w:ascii="宋体" w:hAnsi="宋体" w:cs="宋体"/>
          <w:color w:val="auto"/>
          <w:sz w:val="24"/>
          <w:highlight w:val="none"/>
          <w:shd w:val="clear" w:color="auto" w:fill="FFFFFF"/>
        </w:rPr>
        <w:t>⑥</w:t>
      </w:r>
      <w:r>
        <w:rPr>
          <w:rFonts w:ascii="宋体" w:hAnsi="宋体" w:cs="宋体"/>
          <w:color w:val="auto"/>
          <w:sz w:val="24"/>
          <w:highlight w:val="none"/>
          <w:shd w:val="clear" w:color="auto" w:fill="FFFFFF"/>
        </w:rPr>
        <w:fldChar w:fldCharType="end"/>
      </w:r>
      <w:r>
        <w:rPr>
          <w:rFonts w:hint="eastAsia" w:ascii="宋体" w:hAnsi="宋体" w:cs="宋体"/>
          <w:color w:val="auto"/>
          <w:sz w:val="24"/>
          <w:highlight w:val="none"/>
        </w:rPr>
        <w:t>对未包含在</w:t>
      </w:r>
      <w:r>
        <w:rPr>
          <w:rFonts w:hint="eastAsia" w:ascii="宋体" w:hAnsi="宋体" w:cs="宋体"/>
          <w:color w:val="auto"/>
          <w:sz w:val="24"/>
          <w:highlight w:val="none"/>
          <w:lang w:val="en-US" w:eastAsia="zh-CN"/>
        </w:rPr>
        <w:t>招标要求</w:t>
      </w:r>
      <w:r>
        <w:rPr>
          <w:rFonts w:hint="eastAsia" w:ascii="宋体" w:hAnsi="宋体" w:cs="宋体"/>
          <w:color w:val="auto"/>
          <w:sz w:val="24"/>
          <w:highlight w:val="none"/>
        </w:rPr>
        <w:t>资质检测范围（含必测和选测）的项目，试验检测机构报请委托人同意可委托有相应试验检测资质和能力的试验检测机构来完成，该费用</w:t>
      </w:r>
      <w:r>
        <w:rPr>
          <w:rFonts w:hint="eastAsia" w:ascii="宋体" w:hAnsi="宋体" w:cs="宋体"/>
          <w:color w:val="auto"/>
          <w:sz w:val="24"/>
          <w:highlight w:val="none"/>
          <w:lang w:val="en-US" w:eastAsia="zh-CN"/>
        </w:rPr>
        <w:t>具体约定为：</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58BF3DE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对需委托第三方试验检测机构的试验项目，由监理试验室负责取样、送样或进行见证。且第三方试验检测资料应归口监理人。</w:t>
      </w:r>
    </w:p>
    <w:p w14:paraId="0674540F">
      <w:pPr>
        <w:spacing w:line="360" w:lineRule="auto"/>
        <w:ind w:firstLine="480" w:firstLineChars="200"/>
        <w:rPr>
          <w:rFonts w:ascii="宋体" w:hAnsi="宋体" w:cs="宋体"/>
          <w:color w:val="auto"/>
          <w:sz w:val="24"/>
          <w:highlight w:val="none"/>
          <w:shd w:val="clear" w:color="auto" w:fill="FFFFFF"/>
        </w:rPr>
      </w:pPr>
      <w:r>
        <w:rPr>
          <w:rFonts w:ascii="宋体" w:hAnsi="宋体"/>
          <w:color w:val="auto"/>
          <w:sz w:val="24"/>
          <w:highlight w:val="none"/>
        </w:rPr>
        <w:fldChar w:fldCharType="begin"/>
      </w:r>
      <w:r>
        <w:rPr>
          <w:rFonts w:ascii="宋体" w:hAnsi="宋体"/>
          <w:color w:val="auto"/>
          <w:sz w:val="24"/>
          <w:highlight w:val="none"/>
        </w:rPr>
        <w:instrText xml:space="preserve"> </w:instrText>
      </w:r>
      <w:r>
        <w:rPr>
          <w:rFonts w:hint="eastAsia" w:ascii="宋体" w:hAnsi="宋体"/>
          <w:color w:val="auto"/>
          <w:sz w:val="24"/>
          <w:highlight w:val="none"/>
        </w:rPr>
        <w:instrText xml:space="preserve">= 7 \* GB3</w:instrText>
      </w:r>
      <w:r>
        <w:rPr>
          <w:rFonts w:ascii="宋体" w:hAnsi="宋体"/>
          <w:color w:val="auto"/>
          <w:sz w:val="24"/>
          <w:highlight w:val="none"/>
        </w:rPr>
        <w:instrText xml:space="preserve"> </w:instrText>
      </w:r>
      <w:r>
        <w:rPr>
          <w:rFonts w:ascii="宋体" w:hAnsi="宋体"/>
          <w:color w:val="auto"/>
          <w:sz w:val="24"/>
          <w:highlight w:val="none"/>
        </w:rPr>
        <w:fldChar w:fldCharType="separate"/>
      </w:r>
      <w:r>
        <w:rPr>
          <w:rFonts w:hint="eastAsia" w:ascii="宋体" w:hAnsi="宋体"/>
          <w:color w:val="auto"/>
          <w:sz w:val="24"/>
          <w:highlight w:val="none"/>
        </w:rPr>
        <w:t>⑦</w:t>
      </w:r>
      <w:r>
        <w:rPr>
          <w:rFonts w:ascii="宋体" w:hAnsi="宋体"/>
          <w:color w:val="auto"/>
          <w:sz w:val="24"/>
          <w:highlight w:val="none"/>
        </w:rPr>
        <w:fldChar w:fldCharType="end"/>
      </w:r>
      <w:r>
        <w:rPr>
          <w:rFonts w:hint="eastAsia" w:ascii="宋体" w:hAnsi="宋体" w:cs="宋体"/>
          <w:color w:val="auto"/>
          <w:sz w:val="24"/>
          <w:highlight w:val="none"/>
          <w:shd w:val="clear" w:color="auto" w:fill="FFFFFF"/>
        </w:rPr>
        <w:t>监理试验室的持证试验检测人员均应在“公路水运工程试验检测管理信息系统”中录入到母体检测机构，且不得同时在两个及两个以上工地试验室从事检测工作。监理试验室试验检测人员应保持稳定，因特殊原因需变更的，须报建设单位审批同意，但变更后的人员资格条件不得降低，同时将变更情况向项目质监机构报备。</w:t>
      </w:r>
    </w:p>
    <w:p w14:paraId="6B070661">
      <w:pPr>
        <w:spacing w:line="360" w:lineRule="auto"/>
        <w:ind w:firstLine="480" w:firstLineChars="200"/>
        <w:rPr>
          <w:rFonts w:ascii="宋体" w:hAnsi="宋体" w:cs="宋体"/>
          <w:color w:val="auto"/>
          <w:sz w:val="24"/>
          <w:highlight w:val="none"/>
          <w:shd w:val="clear" w:color="auto" w:fill="FFFFFF"/>
        </w:rPr>
      </w:pPr>
      <w:r>
        <w:rPr>
          <w:rFonts w:ascii="宋体" w:hAnsi="宋体" w:cs="宋体"/>
          <w:color w:val="auto"/>
          <w:sz w:val="24"/>
          <w:highlight w:val="none"/>
          <w:shd w:val="clear" w:color="auto" w:fill="FFFFFF"/>
        </w:rPr>
        <w:fldChar w:fldCharType="begin"/>
      </w:r>
      <w:r>
        <w:rPr>
          <w:rFonts w:ascii="宋体" w:hAnsi="宋体" w:cs="宋体"/>
          <w:color w:val="auto"/>
          <w:sz w:val="24"/>
          <w:highlight w:val="none"/>
          <w:shd w:val="clear" w:color="auto" w:fill="FFFFFF"/>
        </w:rPr>
        <w:instrText xml:space="preserve"> </w:instrText>
      </w:r>
      <w:r>
        <w:rPr>
          <w:rFonts w:hint="eastAsia" w:ascii="宋体" w:hAnsi="宋体" w:cs="宋体"/>
          <w:color w:val="auto"/>
          <w:sz w:val="24"/>
          <w:highlight w:val="none"/>
          <w:shd w:val="clear" w:color="auto" w:fill="FFFFFF"/>
        </w:rPr>
        <w:instrText xml:space="preserve">= 8 \* GB3</w:instrText>
      </w:r>
      <w:r>
        <w:rPr>
          <w:rFonts w:ascii="宋体" w:hAnsi="宋体" w:cs="宋体"/>
          <w:color w:val="auto"/>
          <w:sz w:val="24"/>
          <w:highlight w:val="none"/>
          <w:shd w:val="clear" w:color="auto" w:fill="FFFFFF"/>
        </w:rPr>
        <w:instrText xml:space="preserve"> </w:instrText>
      </w:r>
      <w:r>
        <w:rPr>
          <w:rFonts w:ascii="宋体" w:hAnsi="宋体" w:cs="宋体"/>
          <w:color w:val="auto"/>
          <w:sz w:val="24"/>
          <w:highlight w:val="none"/>
          <w:shd w:val="clear" w:color="auto" w:fill="FFFFFF"/>
        </w:rPr>
        <w:fldChar w:fldCharType="separate"/>
      </w:r>
      <w:r>
        <w:rPr>
          <w:rFonts w:hint="eastAsia" w:ascii="宋体" w:hAnsi="宋体" w:cs="宋体"/>
          <w:color w:val="auto"/>
          <w:sz w:val="24"/>
          <w:highlight w:val="none"/>
          <w:shd w:val="clear" w:color="auto" w:fill="FFFFFF"/>
        </w:rPr>
        <w:t>⑧</w:t>
      </w:r>
      <w:r>
        <w:rPr>
          <w:rFonts w:ascii="宋体" w:hAnsi="宋体" w:cs="宋体"/>
          <w:color w:val="auto"/>
          <w:sz w:val="24"/>
          <w:highlight w:val="none"/>
          <w:shd w:val="clear" w:color="auto" w:fill="FFFFFF"/>
        </w:rPr>
        <w:fldChar w:fldCharType="end"/>
      </w:r>
      <w:r>
        <w:rPr>
          <w:rFonts w:ascii="宋体" w:hAnsi="宋体" w:eastAsia="宋体" w:cs="宋体"/>
          <w:sz w:val="24"/>
          <w:szCs w:val="24"/>
        </w:rPr>
        <w:t>试验检测机构应加强对监理试验室履行指导和监管职责，并且定期对其运行情况开展检查，同时应对派驻现场的试验检测人员岗位能力进行考核</w:t>
      </w:r>
      <w:r>
        <w:rPr>
          <w:rFonts w:hint="eastAsia" w:ascii="宋体" w:hAnsi="宋体" w:cs="宋体"/>
          <w:color w:val="auto"/>
          <w:sz w:val="24"/>
          <w:highlight w:val="none"/>
          <w:shd w:val="clear" w:color="auto" w:fill="FFFFFF"/>
        </w:rPr>
        <w:t>。</w:t>
      </w:r>
    </w:p>
    <w:p w14:paraId="0FDD3A3D">
      <w:pPr>
        <w:spacing w:line="360" w:lineRule="auto"/>
        <w:ind w:firstLine="480" w:firstLineChars="200"/>
        <w:rPr>
          <w:rFonts w:ascii="宋体" w:hAnsi="宋体" w:cs="宋体"/>
          <w:color w:val="auto"/>
          <w:sz w:val="24"/>
          <w:highlight w:val="none"/>
          <w:shd w:val="clear" w:color="auto" w:fill="FFFFFF"/>
        </w:rPr>
      </w:pPr>
      <w:r>
        <w:rPr>
          <w:rFonts w:ascii="宋体" w:hAnsi="宋体" w:cs="宋体"/>
          <w:color w:val="auto"/>
          <w:sz w:val="24"/>
          <w:highlight w:val="none"/>
          <w:shd w:val="clear" w:color="auto" w:fill="FFFFFF"/>
        </w:rPr>
        <w:fldChar w:fldCharType="begin"/>
      </w:r>
      <w:r>
        <w:rPr>
          <w:rFonts w:ascii="宋体" w:hAnsi="宋体" w:cs="宋体"/>
          <w:color w:val="auto"/>
          <w:sz w:val="24"/>
          <w:highlight w:val="none"/>
          <w:shd w:val="clear" w:color="auto" w:fill="FFFFFF"/>
        </w:rPr>
        <w:instrText xml:space="preserve"> = 9 \* GB3 </w:instrText>
      </w:r>
      <w:r>
        <w:rPr>
          <w:rFonts w:ascii="宋体" w:hAnsi="宋体" w:cs="宋体"/>
          <w:color w:val="auto"/>
          <w:sz w:val="24"/>
          <w:highlight w:val="none"/>
          <w:shd w:val="clear" w:color="auto" w:fill="FFFFFF"/>
        </w:rPr>
        <w:fldChar w:fldCharType="separate"/>
      </w:r>
      <w:r>
        <w:rPr>
          <w:rFonts w:hint="eastAsia" w:ascii="宋体" w:hAnsi="宋体" w:cs="宋体"/>
          <w:color w:val="auto"/>
          <w:sz w:val="24"/>
          <w:highlight w:val="none"/>
          <w:shd w:val="clear" w:color="auto" w:fill="FFFFFF"/>
        </w:rPr>
        <w:t>⑨</w:t>
      </w:r>
      <w:r>
        <w:rPr>
          <w:rFonts w:ascii="宋体" w:hAnsi="宋体" w:cs="宋体"/>
          <w:color w:val="auto"/>
          <w:sz w:val="24"/>
          <w:highlight w:val="none"/>
          <w:shd w:val="clear" w:color="auto" w:fill="FFFFFF"/>
        </w:rPr>
        <w:fldChar w:fldCharType="end"/>
      </w:r>
      <w:r>
        <w:rPr>
          <w:rFonts w:hint="eastAsia" w:ascii="宋体" w:hAnsi="宋体" w:cs="宋体"/>
          <w:color w:val="auto"/>
          <w:sz w:val="24"/>
          <w:highlight w:val="none"/>
          <w:shd w:val="clear" w:color="auto" w:fill="FFFFFF"/>
        </w:rPr>
        <w:t>监理试验室检测大纲及实施细则</w:t>
      </w:r>
      <w:r>
        <w:rPr>
          <w:rFonts w:hint="eastAsia" w:ascii="宋体" w:hAnsi="宋体" w:cs="宋体"/>
          <w:color w:val="auto"/>
          <w:sz w:val="24"/>
          <w:highlight w:val="none"/>
          <w:shd w:val="clear" w:color="auto" w:fill="FFFFFF"/>
          <w:lang w:val="en-US" w:eastAsia="zh-CN"/>
        </w:rPr>
        <w:t>应经</w:t>
      </w:r>
      <w:r>
        <w:rPr>
          <w:rFonts w:hint="eastAsia" w:ascii="宋体" w:hAnsi="宋体" w:cs="宋体"/>
          <w:color w:val="auto"/>
          <w:sz w:val="24"/>
          <w:highlight w:val="none"/>
          <w:shd w:val="clear" w:color="auto" w:fill="FFFFFF"/>
        </w:rPr>
        <w:t>委托人验收。</w:t>
      </w:r>
    </w:p>
    <w:p w14:paraId="155D7478">
      <w:pPr>
        <w:numPr>
          <w:ilvl w:val="0"/>
          <w:numId w:val="0"/>
        </w:numPr>
        <w:spacing w:line="360" w:lineRule="auto"/>
        <w:ind w:firstLine="480" w:firstLineChars="200"/>
        <w:rPr>
          <w:rFonts w:hint="eastAsia" w:ascii="宋体" w:hAnsi="宋体" w:cs="宋体"/>
          <w:color w:val="auto"/>
          <w:sz w:val="24"/>
          <w:highlight w:val="none"/>
          <w:lang w:eastAsia="zh-CN"/>
        </w:rPr>
      </w:pPr>
      <w:r>
        <w:rPr>
          <w:rFonts w:ascii="宋体" w:hAnsi="宋体" w:cs="宋体"/>
          <w:color w:val="auto"/>
          <w:sz w:val="24"/>
          <w:highlight w:val="none"/>
          <w:shd w:val="clear" w:color="auto" w:fill="FFFFFF"/>
        </w:rPr>
        <w:fldChar w:fldCharType="begin"/>
      </w:r>
      <w:r>
        <w:rPr>
          <w:rFonts w:ascii="宋体" w:hAnsi="宋体" w:cs="宋体"/>
          <w:color w:val="auto"/>
          <w:sz w:val="24"/>
          <w:highlight w:val="none"/>
          <w:shd w:val="clear" w:color="auto" w:fill="FFFFFF"/>
        </w:rPr>
        <w:instrText xml:space="preserve"> = 10 \* GB3 </w:instrText>
      </w:r>
      <w:r>
        <w:rPr>
          <w:rFonts w:ascii="宋体" w:hAnsi="宋体" w:cs="宋体"/>
          <w:color w:val="auto"/>
          <w:sz w:val="24"/>
          <w:highlight w:val="none"/>
          <w:shd w:val="clear" w:color="auto" w:fill="FFFFFF"/>
        </w:rPr>
        <w:fldChar w:fldCharType="separate"/>
      </w:r>
      <w:r>
        <w:rPr>
          <w:rFonts w:hint="eastAsia" w:ascii="宋体" w:hAnsi="宋体" w:cs="宋体"/>
          <w:color w:val="auto"/>
          <w:sz w:val="24"/>
          <w:highlight w:val="none"/>
          <w:shd w:val="clear" w:color="auto" w:fill="FFFFFF"/>
        </w:rPr>
        <w:t>⑩</w:t>
      </w:r>
      <w:r>
        <w:rPr>
          <w:rFonts w:ascii="宋体" w:hAnsi="宋体" w:cs="宋体"/>
          <w:color w:val="auto"/>
          <w:sz w:val="24"/>
          <w:highlight w:val="none"/>
          <w:shd w:val="clear" w:color="auto" w:fill="FFFFFF"/>
        </w:rPr>
        <w:fldChar w:fldCharType="end"/>
      </w:r>
      <w:r>
        <w:rPr>
          <w:rFonts w:hint="eastAsia" w:ascii="宋体" w:hAnsi="宋体" w:cs="宋体"/>
          <w:color w:val="auto"/>
          <w:sz w:val="24"/>
          <w:highlight w:val="none"/>
          <w:shd w:val="clear" w:color="auto" w:fill="FFFFFF"/>
        </w:rPr>
        <w:t>监理试验室应接受委托人</w:t>
      </w:r>
      <w:r>
        <w:rPr>
          <w:rFonts w:hint="eastAsia" w:ascii="宋体" w:hAnsi="宋体" w:cs="宋体"/>
          <w:color w:val="auto"/>
          <w:sz w:val="24"/>
          <w:highlight w:val="none"/>
          <w:shd w:val="clear" w:color="auto" w:fill="FFFFFF"/>
          <w:lang w:val="en-US" w:eastAsia="zh-CN"/>
        </w:rPr>
        <w:t>的</w:t>
      </w:r>
      <w:r>
        <w:rPr>
          <w:rFonts w:hint="eastAsia" w:ascii="宋体" w:hAnsi="宋体" w:cs="宋体"/>
          <w:color w:val="auto"/>
          <w:sz w:val="24"/>
          <w:highlight w:val="none"/>
          <w:shd w:val="clear" w:color="auto" w:fill="FFFFFF"/>
        </w:rPr>
        <w:t>管理和检查。同时还应接受交通运输主管部门、项目质监机构采取“双随机</w:t>
      </w:r>
      <w:r>
        <w:rPr>
          <w:rFonts w:hint="eastAsia" w:ascii="宋体" w:hAnsi="宋体" w:cs="宋体"/>
          <w:color w:val="auto"/>
          <w:sz w:val="24"/>
          <w:highlight w:val="none"/>
          <w:shd w:val="clear" w:color="auto" w:fill="FFFFFF"/>
          <w:lang w:eastAsia="zh-CN"/>
        </w:rPr>
        <w:t>、</w:t>
      </w:r>
      <w:r>
        <w:rPr>
          <w:rFonts w:hint="eastAsia" w:ascii="宋体" w:hAnsi="宋体" w:cs="宋体"/>
          <w:color w:val="auto"/>
          <w:sz w:val="24"/>
          <w:highlight w:val="none"/>
          <w:shd w:val="clear" w:color="auto" w:fill="FFFFFF"/>
        </w:rPr>
        <w:t>一公开”等方式，对其进行定期或不定期的监督检查，及时纠正、查处违规行为。</w:t>
      </w:r>
    </w:p>
    <w:p w14:paraId="5288774B">
      <w:pPr>
        <w:pStyle w:val="6"/>
        <w:rPr>
          <w:rFonts w:ascii="Calibri" w:hAnsi="Calibri"/>
          <w:b w:val="0"/>
          <w:bCs w:val="0"/>
          <w:sz w:val="28"/>
          <w:szCs w:val="32"/>
        </w:rPr>
      </w:pPr>
      <w:r>
        <w:rPr>
          <w:rFonts w:hint="default" w:ascii="Calibri" w:hAnsi="Calibri"/>
          <w:b w:val="0"/>
          <w:bCs w:val="0"/>
          <w:sz w:val="28"/>
          <w:szCs w:val="32"/>
        </w:rPr>
        <w:t xml:space="preserve">7.2 监理试验室责任保险 </w:t>
      </w:r>
    </w:p>
    <w:p w14:paraId="69512F10">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color w:val="auto"/>
          <w:sz w:val="24"/>
          <w:highlight w:val="none"/>
        </w:rPr>
        <w:t xml:space="preserve"> 试验检测机构根据工程情况对监理</w:t>
      </w:r>
      <w:r>
        <w:rPr>
          <w:rFonts w:hint="eastAsia" w:ascii="宋体" w:hAnsi="宋体" w:cs="宋体"/>
          <w:color w:val="auto"/>
          <w:sz w:val="24"/>
          <w:highlight w:val="none"/>
          <w:lang w:val="en-US" w:eastAsia="zh-CN"/>
        </w:rPr>
        <w:t>试验室</w:t>
      </w:r>
      <w:r>
        <w:rPr>
          <w:rFonts w:hint="eastAsia" w:ascii="宋体" w:hAnsi="宋体" w:cs="宋体"/>
          <w:color w:val="auto"/>
          <w:sz w:val="24"/>
          <w:highlight w:val="none"/>
        </w:rPr>
        <w:t>责任进行保险，并在合同履行期间保持足额、有效。</w:t>
      </w:r>
    </w:p>
    <w:p w14:paraId="6ABA27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责任保险的费率：</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42B2742">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cs="宋体"/>
          <w:b/>
          <w:bCs/>
          <w:color w:val="auto"/>
          <w:sz w:val="24"/>
          <w:highlight w:val="none"/>
        </w:rPr>
        <w:t>□</w:t>
      </w:r>
      <w:r>
        <w:rPr>
          <w:rFonts w:hint="eastAsia" w:ascii="宋体" w:hAnsi="宋体" w:cs="宋体"/>
          <w:color w:val="auto"/>
          <w:sz w:val="24"/>
          <w:highlight w:val="none"/>
        </w:rPr>
        <w:t xml:space="preserve"> 由试验检测机构自行选择，委托人不</w:t>
      </w:r>
      <w:r>
        <w:rPr>
          <w:rFonts w:hint="eastAsia" w:ascii="宋体" w:hAnsi="宋体" w:cs="宋体"/>
          <w:color w:val="auto"/>
          <w:sz w:val="24"/>
          <w:highlight w:val="none"/>
          <w:lang w:eastAsia="zh-CN"/>
        </w:rPr>
        <w:t>作</w:t>
      </w:r>
      <w:r>
        <w:rPr>
          <w:rFonts w:hint="eastAsia" w:ascii="宋体" w:hAnsi="宋体" w:cs="宋体"/>
          <w:color w:val="auto"/>
          <w:sz w:val="24"/>
          <w:highlight w:val="none"/>
        </w:rPr>
        <w:t>要求。</w:t>
      </w:r>
    </w:p>
    <w:p w14:paraId="2605900E">
      <w:pPr>
        <w:pStyle w:val="5"/>
        <w:numPr>
          <w:ilvl w:val="0"/>
          <w:numId w:val="0"/>
        </w:numPr>
        <w:rPr>
          <w:rFonts w:hint="eastAsia" w:ascii="Arial" w:hAnsi="Arial"/>
          <w:b/>
          <w:sz w:val="28"/>
          <w:szCs w:val="32"/>
        </w:rPr>
      </w:pPr>
      <w:bookmarkStart w:id="604" w:name="_Toc74760911"/>
      <w:r>
        <w:rPr>
          <w:rFonts w:hint="eastAsia" w:ascii="Arial" w:hAnsi="Arial"/>
          <w:b/>
          <w:sz w:val="28"/>
          <w:szCs w:val="32"/>
        </w:rPr>
        <w:t>8</w:t>
      </w:r>
      <w:r>
        <w:rPr>
          <w:rFonts w:hint="eastAsia" w:ascii="Arial" w:hAnsi="Arial"/>
          <w:b/>
          <w:sz w:val="28"/>
          <w:szCs w:val="32"/>
          <w:lang w:val="en-US" w:eastAsia="zh-CN"/>
        </w:rPr>
        <w:t xml:space="preserve">. </w:t>
      </w:r>
      <w:r>
        <w:rPr>
          <w:rFonts w:hint="eastAsia" w:ascii="Arial" w:hAnsi="Arial"/>
          <w:b/>
          <w:sz w:val="28"/>
          <w:szCs w:val="32"/>
        </w:rPr>
        <w:t>合同变更</w:t>
      </w:r>
      <w:bookmarkEnd w:id="604"/>
    </w:p>
    <w:p w14:paraId="5EE292C7">
      <w:pPr>
        <w:pStyle w:val="6"/>
        <w:rPr>
          <w:rFonts w:ascii="Calibri" w:hAnsi="Calibri"/>
          <w:b w:val="0"/>
          <w:bCs w:val="0"/>
          <w:sz w:val="28"/>
          <w:szCs w:val="32"/>
        </w:rPr>
      </w:pPr>
      <w:bookmarkStart w:id="605" w:name="_Toc74760912"/>
      <w:r>
        <w:rPr>
          <w:rFonts w:hint="default" w:ascii="Calibri" w:hAnsi="Calibri"/>
          <w:b w:val="0"/>
          <w:bCs w:val="0"/>
          <w:sz w:val="28"/>
          <w:szCs w:val="32"/>
        </w:rPr>
        <w:t>8.1</w:t>
      </w:r>
      <w:r>
        <w:rPr>
          <w:rFonts w:hint="eastAsia"/>
          <w:b w:val="0"/>
          <w:bCs w:val="0"/>
          <w:sz w:val="28"/>
          <w:szCs w:val="32"/>
          <w:lang w:val="en-US" w:eastAsia="zh-CN"/>
        </w:rPr>
        <w:t xml:space="preserve"> </w:t>
      </w:r>
      <w:r>
        <w:rPr>
          <w:rFonts w:hint="default" w:ascii="Calibri" w:hAnsi="Calibri"/>
          <w:b w:val="0"/>
          <w:bCs w:val="0"/>
          <w:sz w:val="28"/>
          <w:szCs w:val="32"/>
        </w:rPr>
        <w:t>变更情形</w:t>
      </w:r>
      <w:bookmarkEnd w:id="605"/>
    </w:p>
    <w:p w14:paraId="6522B8A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8.1.1合同变更时，</w:t>
      </w:r>
      <w:r>
        <w:rPr>
          <w:rFonts w:hint="eastAsia" w:ascii="宋体" w:hAnsi="宋体" w:cs="宋体"/>
          <w:color w:val="auto"/>
          <w:sz w:val="24"/>
          <w:highlight w:val="none"/>
        </w:rPr>
        <w:t>监理试验室服务费用（含利润）的调整方法：</w:t>
      </w:r>
      <w:r>
        <w:rPr>
          <w:rFonts w:ascii="宋体" w:hAnsi="宋体" w:cs="宋体"/>
          <w:color w:val="auto"/>
          <w:sz w:val="24"/>
          <w:highlight w:val="none"/>
        </w:rPr>
        <w:t xml:space="preserve"> </w:t>
      </w:r>
    </w:p>
    <w:p w14:paraId="569DF0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（1）监理试验室服务期限调整方法：</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2668B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（2）监理试验室人员服务费用的调整方法</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686F5B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（3）监理试验室设施设备的调整方法：</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17309D9">
      <w:pPr>
        <w:pStyle w:val="6"/>
        <w:rPr>
          <w:rFonts w:ascii="Calibri" w:hAnsi="Calibri"/>
          <w:b w:val="0"/>
          <w:bCs w:val="0"/>
          <w:sz w:val="28"/>
          <w:szCs w:val="32"/>
        </w:rPr>
      </w:pPr>
      <w:bookmarkStart w:id="606" w:name="_Toc74760913"/>
      <w:r>
        <w:rPr>
          <w:rFonts w:hint="default" w:ascii="Calibri" w:hAnsi="Calibri"/>
          <w:b w:val="0"/>
          <w:bCs w:val="0"/>
          <w:sz w:val="28"/>
          <w:szCs w:val="32"/>
        </w:rPr>
        <w:t>8.2</w:t>
      </w:r>
      <w:r>
        <w:rPr>
          <w:rFonts w:hint="eastAsia"/>
          <w:b w:val="0"/>
          <w:bCs w:val="0"/>
          <w:sz w:val="28"/>
          <w:szCs w:val="32"/>
          <w:lang w:val="en-US" w:eastAsia="zh-CN"/>
        </w:rPr>
        <w:t xml:space="preserve"> </w:t>
      </w:r>
      <w:r>
        <w:rPr>
          <w:rFonts w:hint="default" w:ascii="Calibri" w:hAnsi="Calibri"/>
          <w:b w:val="0"/>
          <w:bCs w:val="0"/>
          <w:sz w:val="28"/>
          <w:szCs w:val="32"/>
        </w:rPr>
        <w:t>合理化建议</w:t>
      </w:r>
      <w:bookmarkEnd w:id="606"/>
    </w:p>
    <w:p w14:paraId="624C0BF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8.2.2监理</w:t>
      </w:r>
      <w:r>
        <w:rPr>
          <w:rFonts w:hint="eastAsia" w:ascii="宋体" w:hAnsi="宋体" w:cs="宋体"/>
          <w:color w:val="auto"/>
          <w:sz w:val="24"/>
          <w:highlight w:val="none"/>
        </w:rPr>
        <w:t>试验室提出的合理化建议降低了工程投资、缩短了施工期限或者提高了工程经济效益的，委托人给予试验检测机构如下奖励：</w:t>
      </w:r>
      <w:r>
        <w:rPr>
          <w:rFonts w:ascii="宋体" w:hAnsi="宋体" w:cs="宋体"/>
          <w:color w:val="auto"/>
          <w:sz w:val="24"/>
          <w:highlight w:val="none"/>
          <w:u w:val="single"/>
        </w:rPr>
        <w:t xml:space="preserve">               </w:t>
      </w:r>
      <w:r>
        <w:rPr>
          <w:rFonts w:ascii="宋体" w:hAnsi="宋体" w:cs="宋体"/>
          <w:color w:val="auto"/>
          <w:sz w:val="24"/>
          <w:highlight w:val="none"/>
        </w:rPr>
        <w:t>。</w:t>
      </w:r>
    </w:p>
    <w:p w14:paraId="140A6F2B">
      <w:pPr>
        <w:pStyle w:val="5"/>
        <w:numPr>
          <w:ilvl w:val="0"/>
          <w:numId w:val="0"/>
        </w:numPr>
        <w:rPr>
          <w:rFonts w:hint="eastAsia" w:ascii="Arial" w:hAnsi="Arial"/>
          <w:b/>
          <w:sz w:val="28"/>
          <w:szCs w:val="32"/>
        </w:rPr>
      </w:pPr>
      <w:bookmarkStart w:id="607" w:name="_Toc74760914"/>
      <w:r>
        <w:rPr>
          <w:rFonts w:hint="eastAsia" w:ascii="Arial" w:hAnsi="Arial"/>
          <w:b/>
          <w:sz w:val="28"/>
          <w:szCs w:val="32"/>
        </w:rPr>
        <w:t>9</w:t>
      </w:r>
      <w:r>
        <w:rPr>
          <w:rFonts w:hint="eastAsia" w:ascii="Arial" w:hAnsi="Arial"/>
          <w:b/>
          <w:sz w:val="28"/>
          <w:szCs w:val="32"/>
          <w:lang w:val="en-US" w:eastAsia="zh-CN"/>
        </w:rPr>
        <w:t xml:space="preserve">. </w:t>
      </w:r>
      <w:r>
        <w:rPr>
          <w:rFonts w:hint="eastAsia" w:ascii="Arial" w:hAnsi="Arial"/>
          <w:b/>
          <w:sz w:val="28"/>
          <w:szCs w:val="32"/>
        </w:rPr>
        <w:t>合同价格与支付</w:t>
      </w:r>
      <w:bookmarkEnd w:id="607"/>
    </w:p>
    <w:p w14:paraId="625BFA4E">
      <w:pPr>
        <w:pStyle w:val="6"/>
        <w:rPr>
          <w:rFonts w:ascii="Calibri" w:hAnsi="Calibri"/>
          <w:b w:val="0"/>
          <w:bCs w:val="0"/>
          <w:sz w:val="28"/>
          <w:szCs w:val="32"/>
        </w:rPr>
      </w:pPr>
      <w:bookmarkStart w:id="608" w:name="_Toc74760915"/>
      <w:r>
        <w:rPr>
          <w:rFonts w:hint="default" w:ascii="Calibri" w:hAnsi="Calibri"/>
          <w:b w:val="0"/>
          <w:bCs w:val="0"/>
          <w:sz w:val="28"/>
          <w:szCs w:val="32"/>
        </w:rPr>
        <w:t>9.1</w:t>
      </w:r>
      <w:r>
        <w:rPr>
          <w:rFonts w:hint="eastAsia"/>
          <w:b w:val="0"/>
          <w:bCs w:val="0"/>
          <w:sz w:val="28"/>
          <w:szCs w:val="32"/>
          <w:lang w:val="en-US" w:eastAsia="zh-CN"/>
        </w:rPr>
        <w:t xml:space="preserve"> </w:t>
      </w:r>
      <w:r>
        <w:rPr>
          <w:rFonts w:hint="default" w:ascii="Calibri" w:hAnsi="Calibri"/>
          <w:b w:val="0"/>
          <w:bCs w:val="0"/>
          <w:sz w:val="28"/>
          <w:szCs w:val="32"/>
        </w:rPr>
        <w:t>合同价格</w:t>
      </w:r>
      <w:bookmarkEnd w:id="608"/>
    </w:p>
    <w:p w14:paraId="7426C75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9.1.1本合同的价款确定方式：</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ascii="宋体" w:hAnsi="宋体" w:cs="宋体"/>
          <w:color w:val="auto"/>
          <w:sz w:val="24"/>
          <w:highlight w:val="none"/>
        </w:rPr>
        <w:t>。</w:t>
      </w:r>
    </w:p>
    <w:p w14:paraId="7D0E23F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监理试验室服务费用</w:t>
      </w:r>
      <w:bookmarkStart w:id="609" w:name="_Toc520709529"/>
      <w:bookmarkStart w:id="610" w:name="_Toc523921836"/>
      <w:r>
        <w:rPr>
          <w:rFonts w:hint="eastAsia" w:ascii="宋体" w:hAnsi="宋体" w:cs="宋体"/>
          <w:color w:val="auto"/>
          <w:sz w:val="24"/>
          <w:highlight w:val="none"/>
        </w:rPr>
        <w:t>组成细化为：</w:t>
      </w:r>
    </w:p>
    <w:p w14:paraId="02F34E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bookmarkEnd w:id="609"/>
      <w:bookmarkEnd w:id="610"/>
      <w:r>
        <w:rPr>
          <w:rFonts w:hint="eastAsia" w:ascii="宋体" w:hAnsi="宋体" w:cs="宋体"/>
          <w:color w:val="auto"/>
          <w:sz w:val="24"/>
          <w:highlight w:val="none"/>
        </w:rPr>
        <w:t>（1）监理试验室人员服务费；</w:t>
      </w:r>
    </w:p>
    <w:p w14:paraId="3669EED4">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（2）监理试验室办公设施费；</w:t>
      </w:r>
    </w:p>
    <w:p w14:paraId="1180CB7C">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（3）监理试验室交通设施费；</w:t>
      </w:r>
    </w:p>
    <w:p w14:paraId="31584539">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（4）监理试验室生活设施费；</w:t>
      </w:r>
    </w:p>
    <w:p w14:paraId="6B94CCDA">
      <w:pPr>
        <w:spacing w:line="360" w:lineRule="auto"/>
        <w:ind w:firstLine="600" w:firstLineChars="250"/>
        <w:rPr>
          <w:rFonts w:hint="eastAsia" w:ascii="宋体" w:hAnsi="宋体" w:eastAsia="宋体" w:cs="宋体"/>
          <w:color w:val="auto"/>
          <w:sz w:val="24"/>
          <w:highlight w:val="none"/>
          <w:lang w:eastAsia="zh-CN"/>
        </w:rPr>
      </w:pPr>
      <w:r>
        <w:rPr>
          <w:rFonts w:hint="eastAsia" w:ascii="宋体" w:hAnsi="宋体" w:cs="宋体"/>
          <w:color w:val="auto"/>
          <w:sz w:val="24"/>
          <w:highlight w:val="none"/>
        </w:rPr>
        <w:t>（5）监理试验室试验设施费</w:t>
      </w:r>
      <w:r>
        <w:rPr>
          <w:rFonts w:hint="eastAsia" w:ascii="宋体" w:hAnsi="宋体" w:cs="宋体"/>
          <w:color w:val="auto"/>
          <w:sz w:val="24"/>
          <w:highlight w:val="none"/>
          <w:lang w:eastAsia="zh-CN"/>
        </w:rPr>
        <w:t>；</w:t>
      </w:r>
    </w:p>
    <w:p w14:paraId="56A0B077">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（6）</w:t>
      </w:r>
      <w:bookmarkStart w:id="611" w:name="_Toc523921837"/>
      <w:bookmarkStart w:id="612" w:name="_Toc513556686"/>
      <w:bookmarkStart w:id="613" w:name="_Toc519601509"/>
      <w:bookmarkStart w:id="614" w:name="_Toc519777889"/>
      <w:bookmarkStart w:id="615" w:name="_Toc513555851"/>
      <w:bookmarkStart w:id="616" w:name="_Toc519777941"/>
      <w:bookmarkStart w:id="617" w:name="_Toc513555607"/>
      <w:bookmarkStart w:id="618" w:name="_Toc520709530"/>
      <w:bookmarkStart w:id="619" w:name="_Toc519778502"/>
      <w:bookmarkStart w:id="620" w:name="_Toc519777837"/>
      <w:r>
        <w:rPr>
          <w:rFonts w:hint="eastAsia" w:ascii="宋体" w:hAnsi="宋体" w:cs="宋体"/>
          <w:color w:val="auto"/>
          <w:sz w:val="24"/>
          <w:highlight w:val="none"/>
        </w:rPr>
        <w:t>专项暂估价；</w:t>
      </w:r>
    </w:p>
    <w:p w14:paraId="0558A4DA">
      <w:pPr>
        <w:spacing w:line="360" w:lineRule="auto"/>
        <w:ind w:firstLine="600" w:firstLineChars="250"/>
        <w:rPr>
          <w:rFonts w:ascii="宋体" w:hAnsi="宋体" w:cs="宋体"/>
          <w:color w:val="auto"/>
          <w:sz w:val="24"/>
          <w:highlight w:val="none"/>
        </w:rPr>
      </w:pPr>
      <w:r>
        <w:rPr>
          <w:rFonts w:hint="eastAsia" w:ascii="宋体" w:hAnsi="宋体" w:cs="宋体"/>
          <w:color w:val="auto"/>
          <w:sz w:val="24"/>
          <w:highlight w:val="none"/>
        </w:rPr>
        <w:t>（7</w:t>
      </w:r>
      <w:bookmarkEnd w:id="611"/>
      <w:bookmarkEnd w:id="612"/>
      <w:bookmarkEnd w:id="613"/>
      <w:bookmarkEnd w:id="614"/>
      <w:bookmarkEnd w:id="615"/>
      <w:bookmarkEnd w:id="616"/>
      <w:bookmarkEnd w:id="617"/>
      <w:bookmarkEnd w:id="618"/>
      <w:bookmarkEnd w:id="619"/>
      <w:bookmarkEnd w:id="620"/>
      <w:r>
        <w:rPr>
          <w:rFonts w:hint="eastAsia" w:ascii="宋体" w:hAnsi="宋体" w:cs="宋体"/>
          <w:color w:val="auto"/>
          <w:sz w:val="24"/>
          <w:highlight w:val="none"/>
        </w:rPr>
        <w:t>）</w:t>
      </w:r>
      <w:bookmarkStart w:id="621" w:name="_Toc523921838"/>
      <w:bookmarkStart w:id="622" w:name="_Toc520709531"/>
      <w:r>
        <w:rPr>
          <w:rFonts w:hint="eastAsia" w:ascii="宋体" w:hAnsi="宋体" w:cs="宋体"/>
          <w:color w:val="auto"/>
          <w:sz w:val="24"/>
          <w:highlight w:val="none"/>
        </w:rPr>
        <w:t>暂列金额；</w:t>
      </w:r>
    </w:p>
    <w:p w14:paraId="4AC67AC7">
      <w:pPr>
        <w:spacing w:line="360" w:lineRule="auto"/>
        <w:ind w:firstLine="600" w:firstLineChars="250"/>
        <w:rPr>
          <w:rFonts w:hint="eastAsia" w:ascii="宋体" w:hAnsi="宋体" w:cs="宋体"/>
          <w:color w:val="auto"/>
          <w:sz w:val="24"/>
          <w:highlight w:val="none"/>
          <w:lang w:eastAsia="zh-CN"/>
        </w:rPr>
      </w:pPr>
      <w:r>
        <w:rPr>
          <w:rFonts w:hint="eastAsia" w:ascii="宋体" w:hAnsi="宋体" w:cs="宋体"/>
          <w:color w:val="auto"/>
          <w:sz w:val="24"/>
          <w:highlight w:val="none"/>
        </w:rPr>
        <w:t>（</w:t>
      </w:r>
      <w:bookmarkEnd w:id="621"/>
      <w:bookmarkEnd w:id="622"/>
      <w:r>
        <w:rPr>
          <w:rFonts w:hint="eastAsia" w:ascii="宋体" w:hAnsi="宋体" w:cs="宋体"/>
          <w:color w:val="auto"/>
          <w:sz w:val="24"/>
          <w:highlight w:val="none"/>
        </w:rPr>
        <w:t>8）其他</w:t>
      </w:r>
      <w:r>
        <w:rPr>
          <w:rFonts w:hint="eastAsia" w:ascii="宋体" w:hAnsi="宋体" w:cs="宋体"/>
          <w:color w:val="auto"/>
          <w:sz w:val="24"/>
          <w:highlight w:val="none"/>
          <w:lang w:eastAsia="zh-CN"/>
        </w:rPr>
        <w:t>；</w:t>
      </w:r>
    </w:p>
    <w:p w14:paraId="3AA75071">
      <w:pPr>
        <w:spacing w:line="36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（9）利润。</w:t>
      </w:r>
    </w:p>
    <w:p w14:paraId="6891DA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在合同实施期间，由于人工、材料、设备等因素的市场价格变化导致本项目监理试验室服务费用变化，合同价格的调整方式和风险范围划分：</w:t>
      </w:r>
      <w:r>
        <w:rPr>
          <w:rFonts w:hint="eastAsia" w:ascii="宋体" w:hAnsi="宋体" w:cs="宋体"/>
          <w:color w:val="auto"/>
          <w:sz w:val="24"/>
          <w:highlight w:val="none"/>
          <w:u w:val="single"/>
        </w:rPr>
        <w:t>合同执行期间不调整</w:t>
      </w:r>
      <w:r>
        <w:rPr>
          <w:rFonts w:ascii="宋体" w:hAnsi="宋体" w:cs="宋体"/>
          <w:color w:val="auto"/>
          <w:sz w:val="24"/>
          <w:highlight w:val="none"/>
          <w:u w:val="single"/>
        </w:rPr>
        <w:t xml:space="preserve"> </w:t>
      </w:r>
      <w:r>
        <w:rPr>
          <w:rFonts w:ascii="宋体" w:hAnsi="宋体" w:cs="宋体"/>
          <w:color w:val="auto"/>
          <w:sz w:val="24"/>
          <w:highlight w:val="none"/>
        </w:rPr>
        <w:t>。</w:t>
      </w:r>
    </w:p>
    <w:p w14:paraId="3D47981A">
      <w:pPr>
        <w:pStyle w:val="6"/>
        <w:rPr>
          <w:rFonts w:ascii="Calibri" w:hAnsi="Calibri"/>
          <w:b w:val="0"/>
          <w:bCs w:val="0"/>
          <w:sz w:val="28"/>
          <w:szCs w:val="32"/>
        </w:rPr>
      </w:pPr>
      <w:bookmarkStart w:id="623" w:name="_Toc74760916"/>
      <w:r>
        <w:rPr>
          <w:rFonts w:hint="default" w:ascii="Calibri" w:hAnsi="Calibri"/>
          <w:b w:val="0"/>
          <w:bCs w:val="0"/>
          <w:sz w:val="28"/>
          <w:szCs w:val="32"/>
        </w:rPr>
        <w:t>9.</w:t>
      </w:r>
      <w:r>
        <w:rPr>
          <w:rFonts w:ascii="Calibri" w:hAnsi="Calibri"/>
          <w:b w:val="0"/>
          <w:bCs w:val="0"/>
          <w:sz w:val="28"/>
          <w:szCs w:val="32"/>
        </w:rPr>
        <w:t>2</w:t>
      </w:r>
      <w:r>
        <w:rPr>
          <w:rFonts w:hint="eastAsia"/>
          <w:b w:val="0"/>
          <w:bCs w:val="0"/>
          <w:sz w:val="28"/>
          <w:szCs w:val="32"/>
          <w:lang w:val="en-US" w:eastAsia="zh-CN"/>
        </w:rPr>
        <w:t xml:space="preserve"> </w:t>
      </w:r>
      <w:r>
        <w:rPr>
          <w:rFonts w:hint="default" w:ascii="Calibri" w:hAnsi="Calibri"/>
          <w:b w:val="0"/>
          <w:bCs w:val="0"/>
          <w:sz w:val="28"/>
          <w:szCs w:val="32"/>
        </w:rPr>
        <w:t>预付款</w:t>
      </w:r>
    </w:p>
    <w:p w14:paraId="697CBF8D">
      <w:pPr>
        <w:spacing w:line="360" w:lineRule="auto"/>
        <w:ind w:firstLine="480" w:firstLineChars="200"/>
        <w:rPr>
          <w:rFonts w:hint="eastAsia" w:ascii="宋体" w:hAnsi="宋体" w:cs="宋体"/>
          <w:b w:val="0"/>
          <w:color w:val="auto"/>
          <w:sz w:val="24"/>
          <w:szCs w:val="24"/>
          <w:highlight w:val="none"/>
        </w:rPr>
      </w:pPr>
      <w:r>
        <w:rPr>
          <w:rFonts w:hint="eastAsia" w:ascii="宋体" w:hAnsi="宋体" w:cs="宋体"/>
          <w:color w:val="auto"/>
          <w:sz w:val="24"/>
          <w:highlight w:val="none"/>
        </w:rPr>
        <w:t>9.2.1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预付款的额度、支付及抵扣方式约定为：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02961DB">
      <w:pPr>
        <w:pStyle w:val="6"/>
        <w:rPr>
          <w:rFonts w:ascii="Calibri" w:hAnsi="Calibri"/>
          <w:b w:val="0"/>
          <w:bCs w:val="0"/>
          <w:sz w:val="28"/>
          <w:szCs w:val="32"/>
        </w:rPr>
      </w:pPr>
      <w:r>
        <w:rPr>
          <w:rFonts w:hint="default" w:ascii="Calibri" w:hAnsi="Calibri"/>
          <w:b w:val="0"/>
          <w:bCs w:val="0"/>
          <w:sz w:val="28"/>
          <w:szCs w:val="32"/>
        </w:rPr>
        <w:t>9.3</w:t>
      </w:r>
      <w:r>
        <w:rPr>
          <w:rFonts w:hint="eastAsia"/>
          <w:b w:val="0"/>
          <w:bCs w:val="0"/>
          <w:sz w:val="28"/>
          <w:szCs w:val="32"/>
          <w:lang w:val="en-US" w:eastAsia="zh-CN"/>
        </w:rPr>
        <w:t xml:space="preserve"> </w:t>
      </w:r>
      <w:r>
        <w:rPr>
          <w:rFonts w:hint="default" w:ascii="Calibri" w:hAnsi="Calibri"/>
          <w:b w:val="0"/>
          <w:bCs w:val="0"/>
          <w:sz w:val="28"/>
          <w:szCs w:val="32"/>
        </w:rPr>
        <w:t>中期支付</w:t>
      </w:r>
      <w:bookmarkEnd w:id="623"/>
    </w:p>
    <w:p w14:paraId="2D99FA3F">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9.3.2</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中期支付原则</w:t>
      </w:r>
      <w:r>
        <w:rPr>
          <w:rFonts w:hint="eastAsia" w:ascii="宋体" w:hAnsi="宋体" w:cs="宋体"/>
          <w:color w:val="auto"/>
          <w:sz w:val="24"/>
          <w:highlight w:val="none"/>
          <w:lang w:eastAsia="zh-CN"/>
        </w:rPr>
        <w:t>：</w:t>
      </w:r>
    </w:p>
    <w:p w14:paraId="518E63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其中第（1）～（5）目细化为：</w:t>
      </w:r>
    </w:p>
    <w:p w14:paraId="1B7085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（1）施工期间的监理试验室人员服务费根据各级试验检测人员的人月单价及本月实际完成的监理试验室服务时间（包含变更工程）按</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计量，按</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支付（各岗位试验检测人员的人月数以试验检测机构记录并经委托人签字确认的试验检测人员出勤情况为依据）。</w:t>
      </w:r>
    </w:p>
    <w:p w14:paraId="57AEEC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本项目各期累计支付的试验检测人员服务费总额不得超过试验检测机构在监理试验室服务费报价清单中填报的施工期试验检测人员服务费合计金额，超过部分委托人将不再予以支付。</w:t>
      </w:r>
    </w:p>
    <w:p w14:paraId="4928EA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（2）施工期间的监理试验室办公设施费、交通设施费及生活设施费、试验设施费由试验检测机构包干使用，上述设施费</w:t>
      </w:r>
      <w:r>
        <w:rPr>
          <w:rFonts w:hint="eastAsia" w:ascii="宋体" w:hAnsi="宋体" w:cs="宋体"/>
          <w:color w:val="auto"/>
          <w:sz w:val="24"/>
          <w:highlight w:val="none"/>
          <w:lang w:val="en-US" w:eastAsia="zh-CN"/>
        </w:rPr>
        <w:t>支付方式为：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。试验检测机构必须保证实际投入本项目的办公设施、交通设施及生活设施、试验</w:t>
      </w:r>
      <w:r>
        <w:rPr>
          <w:rFonts w:hint="eastAsia" w:ascii="宋体" w:hAnsi="宋体" w:cs="宋体"/>
          <w:color w:val="auto"/>
          <w:sz w:val="24"/>
          <w:highlight w:val="none"/>
          <w:lang w:eastAsia="zh-CN"/>
        </w:rPr>
        <w:t>设施</w:t>
      </w:r>
      <w:r>
        <w:rPr>
          <w:rFonts w:hint="eastAsia" w:ascii="宋体" w:hAnsi="宋体" w:cs="宋体"/>
          <w:color w:val="auto"/>
          <w:sz w:val="24"/>
          <w:highlight w:val="none"/>
        </w:rPr>
        <w:t>能满足本招标文件的要求和实际工作的需要，且不低于试验检测机构投标文件中所列设施，否则委托人将根据本合同第11.1.1项按违约处理。</w:t>
      </w:r>
    </w:p>
    <w:p w14:paraId="61ED4A3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（3）缺陷责任期内的试验检测人员服务费、办公设施费、交通设施费、试验设施费、生活设施费将在本项目的缺陷责任期开始后，</w:t>
      </w:r>
      <w:r>
        <w:rPr>
          <w:rFonts w:hint="eastAsia" w:ascii="宋体" w:hAnsi="宋体" w:cs="宋体"/>
          <w:color w:val="auto"/>
          <w:sz w:val="24"/>
          <w:highlight w:val="none"/>
          <w:lang w:val="en-US" w:eastAsia="zh-CN"/>
        </w:rPr>
        <w:t>按</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en-US" w:eastAsia="zh-CN"/>
        </w:rPr>
        <w:t>方式</w:t>
      </w:r>
      <w:r>
        <w:rPr>
          <w:rFonts w:hint="eastAsia" w:ascii="宋体" w:hAnsi="宋体" w:cs="宋体"/>
          <w:color w:val="auto"/>
          <w:sz w:val="24"/>
          <w:highlight w:val="none"/>
        </w:rPr>
        <w:t>支付给试验检测机构。</w:t>
      </w:r>
    </w:p>
    <w:p w14:paraId="5E926D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（4）监理试验室服务变更费用经双方协商确认后，在监理试验室服务所对应工作期限内按</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en-US" w:eastAsia="zh-CN"/>
        </w:rPr>
        <w:t>方</w:t>
      </w:r>
      <w:r>
        <w:rPr>
          <w:rFonts w:hint="eastAsia" w:ascii="宋体" w:hAnsi="宋体" w:cs="宋体"/>
          <w:color w:val="auto"/>
          <w:sz w:val="24"/>
          <w:highlight w:val="none"/>
          <w:u w:val="none"/>
          <w:lang w:val="en-US" w:eastAsia="zh-CN"/>
        </w:rPr>
        <w:t>式</w:t>
      </w:r>
      <w:r>
        <w:rPr>
          <w:rFonts w:hint="eastAsia" w:ascii="宋体" w:hAnsi="宋体" w:cs="宋体"/>
          <w:color w:val="auto"/>
          <w:sz w:val="24"/>
          <w:highlight w:val="none"/>
        </w:rPr>
        <w:t>支付。</w:t>
      </w:r>
    </w:p>
    <w:p w14:paraId="2B2F81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（5）根据项目专用合同条款第8.2.2项约定对试验检测机构的奖励：</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06C4F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第9.3.2项补充第（8）目</w:t>
      </w:r>
      <w:r>
        <w:rPr>
          <w:rFonts w:hint="eastAsia" w:ascii="宋体" w:hAnsi="宋体" w:cs="宋体"/>
          <w:color w:val="auto"/>
          <w:sz w:val="24"/>
          <w:highlight w:val="none"/>
        </w:rPr>
        <w:t>：</w:t>
      </w:r>
    </w:p>
    <w:p w14:paraId="1B5B4A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（8）委托人单列的“其他”项</w:t>
      </w:r>
      <w:r>
        <w:rPr>
          <w:rStyle w:val="58"/>
          <w:rFonts w:hint="eastAsia" w:ascii="宋体" w:hAnsi="宋体" w:cs="宋体"/>
          <w:color w:val="auto"/>
          <w:sz w:val="24"/>
          <w:highlight w:val="none"/>
        </w:rPr>
        <w:footnoteReference w:id="114"/>
      </w:r>
      <w:r>
        <w:rPr>
          <w:rFonts w:hint="eastAsia" w:ascii="宋体" w:hAnsi="宋体" w:cs="宋体"/>
          <w:color w:val="auto"/>
          <w:sz w:val="24"/>
          <w:highlight w:val="none"/>
        </w:rPr>
        <w:t>费用计量支付要求：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068F7E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9.3.5</w:t>
      </w: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最终结清付款涉及政府投资资金的，支付规定如下：</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651CFFCB">
      <w:pPr>
        <w:pStyle w:val="6"/>
        <w:rPr>
          <w:rFonts w:ascii="Calibri" w:hAnsi="Calibri"/>
          <w:b w:val="0"/>
          <w:bCs w:val="0"/>
          <w:sz w:val="28"/>
          <w:szCs w:val="32"/>
        </w:rPr>
      </w:pPr>
      <w:bookmarkStart w:id="624" w:name="_Toc74760917"/>
      <w:r>
        <w:rPr>
          <w:rFonts w:hint="default" w:ascii="Calibri" w:hAnsi="Calibri"/>
          <w:b w:val="0"/>
          <w:bCs w:val="0"/>
          <w:sz w:val="28"/>
          <w:szCs w:val="32"/>
        </w:rPr>
        <w:t>9.5</w:t>
      </w:r>
      <w:r>
        <w:rPr>
          <w:rFonts w:hint="eastAsia"/>
          <w:b w:val="0"/>
          <w:bCs w:val="0"/>
          <w:sz w:val="28"/>
          <w:szCs w:val="32"/>
          <w:lang w:val="en-US" w:eastAsia="zh-CN"/>
        </w:rPr>
        <w:t xml:space="preserve"> </w:t>
      </w:r>
      <w:r>
        <w:rPr>
          <w:rFonts w:hint="default" w:ascii="Calibri" w:hAnsi="Calibri"/>
          <w:b w:val="0"/>
          <w:bCs w:val="0"/>
          <w:sz w:val="28"/>
          <w:szCs w:val="32"/>
        </w:rPr>
        <w:t>暂列金额</w:t>
      </w:r>
      <w:bookmarkEnd w:id="624"/>
    </w:p>
    <w:p w14:paraId="0C3003C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本合同暂列金额为监理试验室服务费的</w:t>
      </w:r>
      <w:r>
        <w:rPr>
          <w:rFonts w:ascii="宋体" w:hAnsi="宋体" w:cs="宋体"/>
          <w:color w:val="auto"/>
          <w:sz w:val="24"/>
          <w:highlight w:val="none"/>
          <w:u w:val="single"/>
        </w:rPr>
        <w:t xml:space="preserve">      </w:t>
      </w:r>
      <w:r>
        <w:rPr>
          <w:rFonts w:ascii="宋体" w:hAnsi="宋体" w:cs="宋体"/>
          <w:color w:val="auto"/>
          <w:sz w:val="24"/>
          <w:highlight w:val="none"/>
        </w:rPr>
        <w:t>%</w:t>
      </w:r>
      <w:r>
        <w:rPr>
          <w:rStyle w:val="58"/>
          <w:rFonts w:ascii="宋体" w:hAnsi="宋体" w:cs="宋体"/>
          <w:color w:val="auto"/>
          <w:sz w:val="24"/>
          <w:highlight w:val="none"/>
        </w:rPr>
        <w:footnoteReference w:id="115"/>
      </w:r>
      <w:r>
        <w:rPr>
          <w:rFonts w:hint="eastAsia" w:ascii="宋体" w:hAnsi="宋体" w:cs="宋体"/>
          <w:color w:val="auto"/>
          <w:sz w:val="24"/>
          <w:highlight w:val="none"/>
        </w:rPr>
        <w:t>。</w:t>
      </w:r>
    </w:p>
    <w:p w14:paraId="1748A7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本条补充</w:t>
      </w:r>
      <w:r>
        <w:rPr>
          <w:rFonts w:hint="eastAsia" w:ascii="宋体" w:hAnsi="宋体" w:cs="宋体"/>
          <w:color w:val="auto"/>
          <w:sz w:val="24"/>
          <w:highlight w:val="none"/>
          <w:lang w:val="en-US" w:eastAsia="zh-CN"/>
        </w:rPr>
        <w:t>第</w:t>
      </w:r>
      <w:r>
        <w:rPr>
          <w:rFonts w:ascii="宋体" w:hAnsi="宋体" w:cs="宋体"/>
          <w:color w:val="auto"/>
          <w:sz w:val="24"/>
          <w:highlight w:val="none"/>
        </w:rPr>
        <w:t>9.7款：</w:t>
      </w:r>
    </w:p>
    <w:p w14:paraId="317DE929">
      <w:pPr>
        <w:pStyle w:val="6"/>
        <w:rPr>
          <w:rFonts w:ascii="Calibri" w:hAnsi="Calibri"/>
          <w:b w:val="0"/>
          <w:bCs w:val="0"/>
          <w:sz w:val="28"/>
          <w:szCs w:val="32"/>
        </w:rPr>
      </w:pPr>
      <w:bookmarkStart w:id="625" w:name="_Toc74760918"/>
      <w:r>
        <w:rPr>
          <w:rFonts w:hint="default" w:ascii="Calibri" w:hAnsi="Calibri"/>
          <w:b w:val="0"/>
          <w:bCs w:val="0"/>
          <w:sz w:val="28"/>
          <w:szCs w:val="32"/>
        </w:rPr>
        <w:t>9.7</w:t>
      </w:r>
      <w:r>
        <w:rPr>
          <w:rFonts w:hint="eastAsia"/>
          <w:b w:val="0"/>
          <w:bCs w:val="0"/>
          <w:sz w:val="28"/>
          <w:szCs w:val="32"/>
          <w:lang w:val="en-US" w:eastAsia="zh-CN"/>
        </w:rPr>
        <w:t xml:space="preserve"> </w:t>
      </w:r>
      <w:r>
        <w:rPr>
          <w:rFonts w:hint="default" w:ascii="Calibri" w:hAnsi="Calibri"/>
          <w:b w:val="0"/>
          <w:bCs w:val="0"/>
          <w:sz w:val="28"/>
          <w:szCs w:val="32"/>
        </w:rPr>
        <w:t>专项暂估价</w:t>
      </w:r>
      <w:bookmarkEnd w:id="625"/>
    </w:p>
    <w:p w14:paraId="3CC123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专项暂估价：指委托人在报价清单中给定的用于支付必然发生但暂时不能确定价格的服务的金额。专项暂估价见监理试验室服务费清单，由委托人据实掌握使用并支付。</w:t>
      </w:r>
    </w:p>
    <w:p w14:paraId="04544D7A">
      <w:pPr>
        <w:pStyle w:val="5"/>
        <w:numPr>
          <w:ilvl w:val="0"/>
          <w:numId w:val="0"/>
        </w:numPr>
        <w:rPr>
          <w:rFonts w:hint="eastAsia" w:ascii="Arial" w:hAnsi="Arial"/>
          <w:b/>
          <w:sz w:val="28"/>
          <w:szCs w:val="32"/>
        </w:rPr>
      </w:pPr>
      <w:bookmarkStart w:id="626" w:name="_Toc74760919"/>
      <w:r>
        <w:rPr>
          <w:rFonts w:hint="eastAsia" w:ascii="Arial" w:hAnsi="Arial"/>
          <w:b/>
          <w:sz w:val="28"/>
          <w:szCs w:val="32"/>
        </w:rPr>
        <w:t>11</w:t>
      </w:r>
      <w:r>
        <w:rPr>
          <w:rFonts w:hint="eastAsia" w:ascii="Arial" w:hAnsi="Arial"/>
          <w:b/>
          <w:sz w:val="28"/>
          <w:szCs w:val="32"/>
          <w:lang w:val="en-US" w:eastAsia="zh-CN"/>
        </w:rPr>
        <w:t xml:space="preserve">. </w:t>
      </w:r>
      <w:r>
        <w:rPr>
          <w:rFonts w:hint="eastAsia" w:ascii="Arial" w:hAnsi="Arial"/>
          <w:b/>
          <w:sz w:val="28"/>
          <w:szCs w:val="32"/>
        </w:rPr>
        <w:t>违约</w:t>
      </w:r>
      <w:bookmarkEnd w:id="626"/>
    </w:p>
    <w:p w14:paraId="2ACB2D0B">
      <w:pPr>
        <w:pStyle w:val="6"/>
        <w:rPr>
          <w:rFonts w:ascii="Calibri" w:hAnsi="Calibri"/>
          <w:b w:val="0"/>
          <w:bCs w:val="0"/>
          <w:sz w:val="28"/>
          <w:szCs w:val="32"/>
        </w:rPr>
      </w:pPr>
      <w:bookmarkStart w:id="627" w:name="_Toc74760920"/>
      <w:r>
        <w:rPr>
          <w:rFonts w:ascii="Calibri" w:hAnsi="Calibri"/>
          <w:b w:val="0"/>
          <w:bCs w:val="0"/>
          <w:sz w:val="28"/>
          <w:szCs w:val="32"/>
        </w:rPr>
        <w:t>11.1</w:t>
      </w:r>
      <w:bookmarkStart w:id="628" w:name="_Toc520709533"/>
      <w:bookmarkStart w:id="629" w:name="_Toc523921840"/>
      <w:r>
        <w:rPr>
          <w:rFonts w:hint="eastAsia"/>
          <w:b w:val="0"/>
          <w:bCs w:val="0"/>
          <w:sz w:val="28"/>
          <w:szCs w:val="32"/>
          <w:lang w:val="en-US" w:eastAsia="zh-CN"/>
        </w:rPr>
        <w:t xml:space="preserve"> </w:t>
      </w:r>
      <w:r>
        <w:rPr>
          <w:rFonts w:hint="default" w:ascii="Calibri" w:hAnsi="Calibri"/>
          <w:b w:val="0"/>
          <w:bCs w:val="0"/>
          <w:sz w:val="28"/>
          <w:szCs w:val="32"/>
        </w:rPr>
        <w:t>监理试验室违约</w:t>
      </w:r>
      <w:bookmarkEnd w:id="627"/>
    </w:p>
    <w:p w14:paraId="761AE514">
      <w:pPr>
        <w:spacing w:line="360" w:lineRule="auto"/>
        <w:ind w:firstLine="360" w:firstLineChars="150"/>
        <w:rPr>
          <w:rFonts w:ascii="黑体" w:hAnsi="黑体" w:eastAsia="黑体" w:cs="宋体"/>
          <w:color w:val="auto"/>
          <w:sz w:val="24"/>
          <w:highlight w:val="none"/>
        </w:rPr>
      </w:pPr>
      <w:r>
        <w:rPr>
          <w:rFonts w:hint="eastAsia" w:ascii="黑体" w:hAnsi="黑体" w:eastAsia="黑体" w:cs="宋体"/>
          <w:color w:val="auto"/>
          <w:sz w:val="24"/>
          <w:highlight w:val="none"/>
        </w:rPr>
        <w:t>11.1.1监理试验室的违约情形</w:t>
      </w:r>
    </w:p>
    <w:p w14:paraId="06E9041C">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Courier New"/>
          <w:sz w:val="24"/>
        </w:rPr>
        <w:t>第</w:t>
      </w:r>
      <w:r>
        <w:rPr>
          <w:rFonts w:hint="eastAsia" w:ascii="宋体" w:hAnsi="宋体" w:cs="Courier New"/>
          <w:sz w:val="24"/>
          <w:lang w:val="en-US" w:eastAsia="zh-CN"/>
        </w:rPr>
        <w:t>11</w:t>
      </w:r>
      <w:r>
        <w:rPr>
          <w:rFonts w:hint="eastAsia" w:ascii="宋体" w:hAnsi="宋体" w:cs="Courier New"/>
          <w:sz w:val="24"/>
        </w:rPr>
        <w:t>.1.1项（</w:t>
      </w:r>
      <w:r>
        <w:rPr>
          <w:rFonts w:hint="eastAsia" w:ascii="宋体" w:hAnsi="宋体" w:cs="Courier New"/>
          <w:sz w:val="24"/>
          <w:lang w:val="en-US" w:eastAsia="zh-CN"/>
        </w:rPr>
        <w:t>8</w:t>
      </w:r>
      <w:r>
        <w:rPr>
          <w:rFonts w:hint="eastAsia" w:ascii="宋体" w:hAnsi="宋体" w:cs="Courier New"/>
          <w:sz w:val="24"/>
        </w:rPr>
        <w:t>）目修改为第（</w:t>
      </w:r>
      <w:r>
        <w:rPr>
          <w:rFonts w:hint="eastAsia" w:ascii="宋体" w:hAnsi="宋体" w:cs="Courier New"/>
          <w:sz w:val="24"/>
          <w:lang w:val="en-US" w:eastAsia="zh-CN"/>
        </w:rPr>
        <w:t>12</w:t>
      </w:r>
      <w:r>
        <w:rPr>
          <w:rFonts w:hint="eastAsia" w:ascii="宋体" w:hAnsi="宋体" w:cs="Courier New"/>
          <w:sz w:val="24"/>
        </w:rPr>
        <w:t>）目。</w:t>
      </w:r>
    </w:p>
    <w:p w14:paraId="0106D2B2">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本项补充</w:t>
      </w:r>
      <w:r>
        <w:rPr>
          <w:rFonts w:hint="eastAsia" w:ascii="宋体" w:hAnsi="宋体" w:cs="Courier New"/>
          <w:sz w:val="24"/>
        </w:rPr>
        <w:t>第（</w:t>
      </w:r>
      <w:r>
        <w:rPr>
          <w:rFonts w:hint="eastAsia" w:ascii="宋体" w:hAnsi="宋体" w:cs="Courier New"/>
          <w:sz w:val="24"/>
          <w:lang w:val="en-US" w:eastAsia="zh-CN"/>
        </w:rPr>
        <w:t>8</w:t>
      </w:r>
      <w:r>
        <w:rPr>
          <w:rFonts w:hint="eastAsia" w:ascii="宋体" w:hAnsi="宋体" w:cs="Courier New"/>
          <w:sz w:val="24"/>
        </w:rPr>
        <w:t>）</w:t>
      </w:r>
      <w:r>
        <w:rPr>
          <w:rFonts w:hint="eastAsia" w:ascii="宋体" w:hAnsi="宋体" w:cs="宋体"/>
          <w:sz w:val="24"/>
        </w:rPr>
        <w:t>～</w:t>
      </w:r>
      <w:r>
        <w:rPr>
          <w:rFonts w:hint="eastAsia" w:ascii="宋体" w:hAnsi="宋体" w:cs="Courier New"/>
          <w:sz w:val="24"/>
        </w:rPr>
        <w:t>（</w:t>
      </w:r>
      <w:r>
        <w:rPr>
          <w:rFonts w:hint="eastAsia" w:ascii="宋体" w:hAnsi="宋体" w:cs="Courier New"/>
          <w:sz w:val="24"/>
          <w:lang w:val="en-US" w:eastAsia="zh-CN"/>
        </w:rPr>
        <w:t>11</w:t>
      </w:r>
      <w:r>
        <w:rPr>
          <w:rFonts w:hint="eastAsia" w:ascii="宋体" w:hAnsi="宋体" w:cs="Courier New"/>
          <w:sz w:val="24"/>
        </w:rPr>
        <w:t>）目</w:t>
      </w:r>
      <w:r>
        <w:rPr>
          <w:rFonts w:hint="eastAsia" w:ascii="宋体" w:hAnsi="宋体" w:cs="宋体"/>
          <w:color w:val="auto"/>
          <w:sz w:val="24"/>
          <w:highlight w:val="none"/>
          <w:lang w:val="en-US" w:eastAsia="zh-CN"/>
        </w:rPr>
        <w:t>：</w:t>
      </w:r>
    </w:p>
    <w:p w14:paraId="17DB37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lang w:eastAsia="zh-CN"/>
        </w:rPr>
        <w:t>）</w:t>
      </w:r>
      <w:bookmarkStart w:id="630" w:name="_Toc523921841"/>
      <w:bookmarkStart w:id="631" w:name="_Toc513555608"/>
      <w:bookmarkStart w:id="632" w:name="_Toc520709534"/>
      <w:bookmarkStart w:id="633" w:name="_Toc519777890"/>
      <w:bookmarkStart w:id="634" w:name="_Toc519777838"/>
      <w:bookmarkStart w:id="635" w:name="_Toc519777942"/>
      <w:bookmarkStart w:id="636" w:name="_Toc513556687"/>
      <w:bookmarkStart w:id="637" w:name="_Toc519778503"/>
      <w:bookmarkStart w:id="638" w:name="_Toc513555852"/>
      <w:bookmarkStart w:id="639" w:name="_Toc519601510"/>
      <w:r>
        <w:rPr>
          <w:rFonts w:hint="eastAsia" w:ascii="宋体" w:hAnsi="宋体" w:cs="宋体"/>
          <w:color w:val="auto"/>
          <w:sz w:val="24"/>
          <w:highlight w:val="none"/>
        </w:rPr>
        <w:t>由</w:t>
      </w:r>
      <w:bookmarkEnd w:id="630"/>
      <w:r>
        <w:rPr>
          <w:rFonts w:hint="eastAsia" w:ascii="宋体" w:hAnsi="宋体" w:cs="宋体"/>
          <w:color w:val="auto"/>
          <w:sz w:val="24"/>
          <w:highlight w:val="none"/>
        </w:rPr>
        <w:t>于监理试验室的试验检测工作不及时，数据缺乏科学真实性，给工程造成损失或损害的</w:t>
      </w:r>
      <w:r>
        <w:rPr>
          <w:rFonts w:hint="eastAsia" w:ascii="宋体" w:hAnsi="宋体" w:cs="宋体"/>
          <w:color w:val="auto"/>
          <w:sz w:val="24"/>
          <w:highlight w:val="none"/>
          <w:lang w:eastAsia="zh-CN"/>
        </w:rPr>
        <w:t>；</w:t>
      </w:r>
      <w:bookmarkEnd w:id="631"/>
      <w:bookmarkEnd w:id="632"/>
      <w:bookmarkEnd w:id="633"/>
      <w:bookmarkEnd w:id="634"/>
      <w:bookmarkEnd w:id="635"/>
      <w:bookmarkEnd w:id="636"/>
      <w:bookmarkEnd w:id="637"/>
      <w:bookmarkEnd w:id="638"/>
      <w:bookmarkEnd w:id="639"/>
    </w:p>
    <w:p w14:paraId="107FB8E4">
      <w:pPr>
        <w:spacing w:line="360" w:lineRule="auto"/>
        <w:ind w:firstLine="480" w:firstLineChars="200"/>
        <w:rPr>
          <w:rFonts w:hint="eastAsia" w:cs="宋体" w:asciiTheme="minorEastAsia" w:hAnsiTheme="minorEastAsia" w:eastAsiaTheme="minorEastAsia"/>
          <w:color w:val="auto"/>
          <w:sz w:val="24"/>
          <w:highlight w:val="none"/>
          <w:lang w:eastAsia="zh-CN"/>
        </w:rPr>
      </w:pP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9</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当委托人发现试验检测人员有意弄虚作假者，或和承包人有关人员互相勾结，在工程材料、工程质量、工程投资等方面给委托人造成损失或产生不良影响者，或在施工期间玩忽职守，不负责任，对质量问题视而不见，以合格工程签字验收的</w:t>
      </w:r>
      <w:r>
        <w:rPr>
          <w:rFonts w:hint="eastAsia" w:cs="宋体" w:asciiTheme="minorEastAsia" w:hAnsiTheme="minorEastAsia" w:eastAsiaTheme="minorEastAsia"/>
          <w:color w:val="auto"/>
          <w:sz w:val="24"/>
          <w:highlight w:val="none"/>
          <w:lang w:eastAsia="zh-CN"/>
        </w:rPr>
        <w:t>；</w:t>
      </w:r>
    </w:p>
    <w:p w14:paraId="2B13566E">
      <w:pPr>
        <w:pStyle w:val="295"/>
        <w:adjustRightInd w:val="0"/>
        <w:snapToGrid w:val="0"/>
        <w:spacing w:line="360" w:lineRule="auto"/>
        <w:ind w:firstLine="480" w:firstLineChars="200"/>
        <w:rPr>
          <w:rFonts w:hint="eastAsia" w:cs="宋体" w:asciiTheme="minorEastAsia" w:hAnsiTheme="minorEastAsia" w:eastAsiaTheme="minorEastAsia"/>
          <w:color w:val="auto"/>
          <w:sz w:val="24"/>
          <w:szCs w:val="24"/>
          <w:highlight w:val="none"/>
          <w:lang w:eastAsia="zh-CN"/>
        </w:rPr>
      </w:pPr>
      <w:r>
        <w:rPr>
          <w:rFonts w:hint="eastAsia" w:cs="宋体" w:asciiTheme="minorEastAsia" w:hAnsiTheme="minorEastAsia" w:eastAsiaTheme="minorEastAsia"/>
          <w:color w:val="auto"/>
          <w:sz w:val="24"/>
          <w:szCs w:val="24"/>
          <w:highlight w:val="none"/>
          <w:lang w:eastAsia="zh-CN"/>
        </w:rPr>
        <w:t>（</w:t>
      </w:r>
      <w:r>
        <w:rPr>
          <w:rFonts w:hint="eastAsia" w:cs="宋体" w:asciiTheme="minorEastAsia" w:hAnsiTheme="minorEastAsia" w:eastAsiaTheme="minorEastAsia"/>
          <w:color w:val="auto"/>
          <w:sz w:val="24"/>
          <w:szCs w:val="24"/>
          <w:highlight w:val="none"/>
          <w:lang w:val="en-US" w:eastAsia="zh-CN"/>
        </w:rPr>
        <w:t>10</w:t>
      </w:r>
      <w:r>
        <w:rPr>
          <w:rFonts w:hint="eastAsia" w:cs="宋体" w:asciiTheme="minorEastAsia" w:hAnsiTheme="minorEastAsia" w:eastAsiaTheme="minorEastAsia"/>
          <w:color w:val="auto"/>
          <w:sz w:val="24"/>
          <w:szCs w:val="24"/>
          <w:highlight w:val="none"/>
          <w:lang w:eastAsia="zh-CN"/>
        </w:rPr>
        <w:t>）</w:t>
      </w:r>
      <w:r>
        <w:rPr>
          <w:rFonts w:hint="eastAsia" w:asciiTheme="minorEastAsia" w:hAnsiTheme="minorEastAsia" w:eastAsiaTheme="minorEastAsia"/>
          <w:color w:val="auto"/>
          <w:sz w:val="24"/>
          <w:szCs w:val="24"/>
          <w:highlight w:val="none"/>
        </w:rPr>
        <w:t>监理试验室</w:t>
      </w:r>
      <w:r>
        <w:rPr>
          <w:rFonts w:hint="eastAsia" w:cs="宋体" w:asciiTheme="minorEastAsia" w:hAnsiTheme="minorEastAsia" w:eastAsiaTheme="minorEastAsia"/>
          <w:color w:val="auto"/>
          <w:sz w:val="24"/>
          <w:szCs w:val="24"/>
          <w:highlight w:val="none"/>
        </w:rPr>
        <w:t>人员忽视安全管理，造成安全隐患</w:t>
      </w:r>
      <w:r>
        <w:rPr>
          <w:rFonts w:hint="eastAsia" w:cs="宋体" w:asciiTheme="minorEastAsia" w:hAnsiTheme="minorEastAsia" w:eastAsiaTheme="minorEastAsia"/>
          <w:color w:val="auto"/>
          <w:sz w:val="24"/>
          <w:szCs w:val="24"/>
          <w:highlight w:val="none"/>
          <w:lang w:eastAsia="zh-CN"/>
        </w:rPr>
        <w:t>；</w:t>
      </w:r>
    </w:p>
    <w:p w14:paraId="32A514C0">
      <w:pPr>
        <w:pStyle w:val="294"/>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w:t>
      </w:r>
      <w:r>
        <w:rPr>
          <w:rFonts w:hint="eastAsia" w:ascii="宋体" w:hAnsi="宋体"/>
          <w:color w:val="auto"/>
          <w:sz w:val="24"/>
          <w:highlight w:val="none"/>
        </w:rPr>
        <w:t>监理试验室</w:t>
      </w:r>
      <w:r>
        <w:rPr>
          <w:rFonts w:hint="eastAsia" w:ascii="宋体" w:hAnsi="宋体" w:cs="宋体"/>
          <w:color w:val="auto"/>
          <w:sz w:val="24"/>
          <w:highlight w:val="none"/>
        </w:rPr>
        <w:t>忽视环境保护及水土保持，造成不良后果</w:t>
      </w:r>
      <w:r>
        <w:rPr>
          <w:rFonts w:hint="eastAsia" w:ascii="宋体" w:hAnsi="宋体" w:cs="宋体"/>
          <w:color w:val="auto"/>
          <w:sz w:val="24"/>
          <w:highlight w:val="none"/>
          <w:lang w:eastAsia="zh-CN"/>
        </w:rPr>
        <w:t>；</w:t>
      </w:r>
    </w:p>
    <w:p w14:paraId="13CA2CFD">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第（12）目细化为：</w:t>
      </w:r>
    </w:p>
    <w:p w14:paraId="1A077A7F">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（12）其他违约情形：</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w:t>
      </w:r>
    </w:p>
    <w:p w14:paraId="18887CC1">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第</w:t>
      </w:r>
      <w:r>
        <w:rPr>
          <w:rFonts w:hint="eastAsia" w:ascii="宋体" w:hAnsi="宋体" w:eastAsia="宋体" w:cs="宋体"/>
          <w:color w:val="auto"/>
          <w:sz w:val="24"/>
          <w:highlight w:val="none"/>
        </w:rPr>
        <w:t>11.1.2</w:t>
      </w:r>
      <w:r>
        <w:rPr>
          <w:rFonts w:hint="eastAsia" w:ascii="宋体" w:hAnsi="宋体" w:eastAsia="宋体" w:cs="宋体"/>
          <w:color w:val="auto"/>
          <w:sz w:val="24"/>
          <w:highlight w:val="none"/>
          <w:lang w:val="en-US" w:eastAsia="zh-CN"/>
        </w:rPr>
        <w:t>项</w:t>
      </w:r>
      <w:r>
        <w:rPr>
          <w:rFonts w:hint="eastAsia" w:ascii="宋体" w:hAnsi="宋体" w:cs="宋体"/>
          <w:color w:val="auto"/>
          <w:sz w:val="24"/>
          <w:highlight w:val="none"/>
          <w:lang w:val="en-US" w:eastAsia="zh-CN"/>
        </w:rPr>
        <w:t>细化为</w:t>
      </w:r>
      <w:r>
        <w:rPr>
          <w:rFonts w:hint="eastAsia" w:ascii="宋体" w:hAnsi="宋体" w:eastAsia="宋体" w:cs="宋体"/>
          <w:color w:val="auto"/>
          <w:sz w:val="24"/>
          <w:highlight w:val="none"/>
          <w:lang w:val="en-US" w:eastAsia="zh-CN"/>
        </w:rPr>
        <w:t>：</w:t>
      </w:r>
    </w:p>
    <w:p w14:paraId="29DCFEE0">
      <w:pPr>
        <w:spacing w:line="360" w:lineRule="auto"/>
        <w:ind w:firstLine="360" w:firstLineChars="150"/>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lang w:val="en-US" w:eastAsia="zh-CN"/>
        </w:rPr>
        <w:t>监理</w:t>
      </w:r>
      <w:r>
        <w:rPr>
          <w:rFonts w:hint="eastAsia" w:ascii="宋体" w:hAnsi="宋体" w:cs="宋体"/>
          <w:color w:val="auto"/>
          <w:sz w:val="24"/>
          <w:highlight w:val="none"/>
          <w:lang w:val="en-US" w:eastAsia="zh-CN"/>
        </w:rPr>
        <w:t>试验室</w:t>
      </w:r>
      <w:r>
        <w:rPr>
          <w:rFonts w:hint="eastAsia" w:ascii="宋体" w:hAnsi="宋体" w:cs="宋体"/>
          <w:color w:val="auto"/>
          <w:sz w:val="24"/>
          <w:highlight w:val="none"/>
        </w:rPr>
        <w:t>发生</w:t>
      </w:r>
      <w:r>
        <w:rPr>
          <w:rFonts w:hint="eastAsia" w:ascii="宋体" w:hAnsi="宋体" w:cs="宋体"/>
          <w:color w:val="auto"/>
          <w:sz w:val="24"/>
          <w:highlight w:val="none"/>
          <w:lang w:val="en-US" w:eastAsia="zh-CN"/>
        </w:rPr>
        <w:t>第11.1.1项</w:t>
      </w:r>
      <w:r>
        <w:rPr>
          <w:rFonts w:hint="eastAsia" w:ascii="宋体" w:hAnsi="宋体" w:cs="宋体"/>
          <w:color w:val="auto"/>
          <w:sz w:val="24"/>
          <w:highlight w:val="none"/>
        </w:rPr>
        <w:t>违约情况时</w:t>
      </w:r>
      <w:r>
        <w:rPr>
          <w:rFonts w:ascii="宋体" w:hAnsi="宋体" w:cs="宋体"/>
          <w:color w:val="auto"/>
          <w:sz w:val="24"/>
          <w:highlight w:val="none"/>
        </w:rPr>
        <w:t>，</w:t>
      </w:r>
      <w:r>
        <w:rPr>
          <w:rFonts w:hint="eastAsia" w:ascii="宋体" w:hAnsi="宋体" w:cs="宋体"/>
          <w:color w:val="auto"/>
          <w:sz w:val="24"/>
          <w:highlight w:val="none"/>
          <w:lang w:val="en-US" w:eastAsia="zh-CN"/>
        </w:rPr>
        <w:t>委托人向试验检测机构发出整改通知，要求其在限定的期限内纠正；逾期仍不纠正的，委托人有权解除合同并向试验检测机构发出解除合同通知。</w:t>
      </w:r>
    </w:p>
    <w:p w14:paraId="4D6EA02A">
      <w:pPr>
        <w:pStyle w:val="294"/>
        <w:adjustRightInd w:val="0"/>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lang w:val="en-US" w:eastAsia="zh-CN"/>
        </w:rPr>
        <w:t>试验检测机构应当承担由于违约造成的费用增加、周期延误和委托人损失等。</w:t>
      </w:r>
      <w:r>
        <w:rPr>
          <w:rFonts w:ascii="宋体" w:hAnsi="宋体" w:cs="宋体"/>
          <w:color w:val="auto"/>
          <w:sz w:val="24"/>
          <w:highlight w:val="none"/>
        </w:rPr>
        <w:t>委托人</w:t>
      </w:r>
      <w:r>
        <w:rPr>
          <w:rFonts w:hint="eastAsia" w:ascii="宋体" w:hAnsi="宋体" w:cs="宋体"/>
          <w:color w:val="auto"/>
          <w:sz w:val="24"/>
          <w:highlight w:val="none"/>
        </w:rPr>
        <w:t>有权</w:t>
      </w:r>
      <w:r>
        <w:rPr>
          <w:rFonts w:ascii="宋体" w:hAnsi="宋体" w:cs="宋体"/>
          <w:color w:val="auto"/>
          <w:sz w:val="24"/>
          <w:highlight w:val="none"/>
        </w:rPr>
        <w:t>向</w:t>
      </w:r>
      <w:r>
        <w:rPr>
          <w:rFonts w:hint="eastAsia" w:ascii="宋体" w:hAnsi="宋体" w:cs="宋体"/>
          <w:color w:val="auto"/>
          <w:sz w:val="24"/>
          <w:highlight w:val="none"/>
          <w:lang w:val="en-US" w:eastAsia="zh-CN"/>
        </w:rPr>
        <w:t>试验检测机构</w:t>
      </w:r>
      <w:r>
        <w:rPr>
          <w:rFonts w:hint="eastAsia" w:ascii="宋体" w:hAnsi="宋体" w:cs="宋体"/>
          <w:color w:val="auto"/>
          <w:sz w:val="24"/>
          <w:highlight w:val="none"/>
        </w:rPr>
        <w:t>课以</w:t>
      </w:r>
      <w:r>
        <w:rPr>
          <w:rFonts w:ascii="宋体" w:hAnsi="宋体" w:cs="宋体"/>
          <w:color w:val="auto"/>
          <w:sz w:val="24"/>
          <w:highlight w:val="none"/>
        </w:rPr>
        <w:t>违约金</w:t>
      </w:r>
      <w:r>
        <w:rPr>
          <w:rFonts w:hint="eastAsia" w:ascii="宋体" w:hAnsi="宋体" w:cs="宋体"/>
          <w:color w:val="auto"/>
          <w:sz w:val="24"/>
          <w:highlight w:val="none"/>
          <w:lang w:eastAsia="zh-CN"/>
        </w:rPr>
        <w:t>，</w:t>
      </w:r>
      <w:r>
        <w:rPr>
          <w:rFonts w:ascii="宋体" w:hAnsi="宋体"/>
          <w:color w:val="auto"/>
          <w:sz w:val="24"/>
          <w:highlight w:val="none"/>
        </w:rPr>
        <w:t>具体约定</w:t>
      </w:r>
      <w:r>
        <w:rPr>
          <w:rFonts w:hint="eastAsia" w:ascii="宋体" w:hAnsi="宋体"/>
          <w:color w:val="auto"/>
          <w:sz w:val="24"/>
          <w:highlight w:val="none"/>
          <w:lang w:val="en-US" w:eastAsia="zh-CN"/>
        </w:rPr>
        <w:t>为</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3EDC7395">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以上违约金将在监理</w:t>
      </w:r>
      <w:r>
        <w:rPr>
          <w:rFonts w:hint="eastAsia" w:ascii="宋体" w:hAnsi="宋体" w:cs="宋体"/>
          <w:color w:val="auto"/>
          <w:sz w:val="24"/>
          <w:highlight w:val="none"/>
          <w:lang w:val="en-US" w:eastAsia="zh-CN"/>
        </w:rPr>
        <w:t>试验室</w:t>
      </w:r>
      <w:r>
        <w:rPr>
          <w:rFonts w:hint="eastAsia" w:ascii="宋体" w:hAnsi="宋体" w:cs="宋体"/>
          <w:color w:val="auto"/>
          <w:sz w:val="24"/>
          <w:highlight w:val="none"/>
        </w:rPr>
        <w:t>的任何款项中扣支，对给委托人造成损失的赔偿金按第11.1.3项相应条款处理。出现上述情形，</w:t>
      </w:r>
      <w:r>
        <w:rPr>
          <w:rFonts w:hint="eastAsia" w:ascii="宋体" w:hAnsi="宋体" w:cs="宋体"/>
          <w:color w:val="auto"/>
          <w:sz w:val="24"/>
          <w:highlight w:val="none"/>
          <w:lang w:val="en-US" w:eastAsia="zh-CN"/>
        </w:rPr>
        <w:t>同时</w:t>
      </w:r>
      <w:r>
        <w:rPr>
          <w:rFonts w:hint="eastAsia" w:ascii="宋体" w:hAnsi="宋体" w:cs="宋体"/>
          <w:color w:val="auto"/>
          <w:sz w:val="24"/>
          <w:highlight w:val="none"/>
        </w:rPr>
        <w:t>将按</w:t>
      </w:r>
      <w:r>
        <w:rPr>
          <w:rFonts w:hint="eastAsia" w:ascii="宋体" w:hAnsi="宋体" w:cs="宋体"/>
          <w:color w:val="auto"/>
          <w:sz w:val="24"/>
          <w:highlight w:val="none"/>
          <w:u w:val="single"/>
        </w:rPr>
        <w:t>四川省</w:t>
      </w:r>
      <w:r>
        <w:rPr>
          <w:rFonts w:hint="eastAsia" w:ascii="宋体" w:hAnsi="宋体" w:cs="宋体"/>
          <w:color w:val="auto"/>
          <w:sz w:val="24"/>
          <w:highlight w:val="none"/>
          <w:u w:val="single"/>
          <w:lang w:val="en-US" w:eastAsia="zh-CN"/>
        </w:rPr>
        <w:t>交通运输厅</w:t>
      </w:r>
      <w:r>
        <w:rPr>
          <w:rFonts w:hint="eastAsia" w:ascii="宋体" w:hAnsi="宋体" w:cs="宋体"/>
          <w:color w:val="auto"/>
          <w:sz w:val="24"/>
          <w:highlight w:val="none"/>
          <w:u w:val="single"/>
        </w:rPr>
        <w:t>从业单位信用管理办法</w:t>
      </w:r>
      <w:r>
        <w:rPr>
          <w:rFonts w:hint="eastAsia" w:ascii="宋体" w:hAnsi="宋体" w:cs="宋体"/>
          <w:color w:val="auto"/>
          <w:sz w:val="24"/>
          <w:highlight w:val="none"/>
        </w:rPr>
        <w:t>规定上报交通运输主管部门，作为不良记录纳入公路建设市场</w:t>
      </w:r>
      <w:r>
        <w:rPr>
          <w:rFonts w:hint="eastAsia" w:ascii="宋体" w:hAnsi="宋体" w:cs="宋体"/>
          <w:color w:val="auto"/>
          <w:sz w:val="24"/>
          <w:highlight w:val="none"/>
          <w:lang w:val="en-US" w:eastAsia="zh-CN"/>
        </w:rPr>
        <w:t>监督</w:t>
      </w:r>
      <w:r>
        <w:rPr>
          <w:rFonts w:hint="eastAsia" w:ascii="宋体" w:hAnsi="宋体" w:cs="宋体"/>
          <w:color w:val="auto"/>
          <w:sz w:val="24"/>
          <w:highlight w:val="none"/>
        </w:rPr>
        <w:t>管理系统。</w:t>
      </w:r>
      <w:bookmarkEnd w:id="628"/>
      <w:bookmarkEnd w:id="629"/>
    </w:p>
    <w:p w14:paraId="4949CD0E">
      <w:pPr>
        <w:pStyle w:val="6"/>
        <w:rPr>
          <w:rFonts w:ascii="Calibri" w:hAnsi="Calibri"/>
          <w:b w:val="0"/>
          <w:bCs w:val="0"/>
          <w:sz w:val="28"/>
          <w:szCs w:val="32"/>
        </w:rPr>
      </w:pPr>
      <w:bookmarkStart w:id="640" w:name="_Toc74760921"/>
      <w:r>
        <w:rPr>
          <w:rFonts w:hint="default" w:ascii="Calibri" w:hAnsi="Calibri"/>
          <w:b w:val="0"/>
          <w:bCs w:val="0"/>
          <w:sz w:val="28"/>
          <w:szCs w:val="32"/>
        </w:rPr>
        <w:t>11.2</w:t>
      </w:r>
      <w:r>
        <w:rPr>
          <w:rFonts w:hint="eastAsia"/>
          <w:b w:val="0"/>
          <w:bCs w:val="0"/>
          <w:sz w:val="28"/>
          <w:szCs w:val="32"/>
          <w:lang w:val="en-US" w:eastAsia="zh-CN"/>
        </w:rPr>
        <w:t xml:space="preserve"> </w:t>
      </w:r>
      <w:r>
        <w:rPr>
          <w:rFonts w:hint="default" w:ascii="Calibri" w:hAnsi="Calibri"/>
          <w:b w:val="0"/>
          <w:bCs w:val="0"/>
          <w:sz w:val="28"/>
          <w:szCs w:val="32"/>
        </w:rPr>
        <w:t>委托人违约</w:t>
      </w:r>
      <w:bookmarkEnd w:id="640"/>
    </w:p>
    <w:p w14:paraId="34C5CC5D">
      <w:pPr>
        <w:spacing w:line="360" w:lineRule="auto"/>
        <w:ind w:firstLine="480" w:firstLineChars="200"/>
        <w:jc w:val="left"/>
        <w:rPr>
          <w:rFonts w:hint="eastAsia" w:ascii="宋体" w:hAnsi="宋体" w:cs="宋体"/>
          <w:color w:val="auto"/>
          <w:sz w:val="24"/>
          <w:highlight w:val="none"/>
        </w:rPr>
      </w:pPr>
      <w:r>
        <w:rPr>
          <w:rFonts w:ascii="宋体" w:hAnsi="宋体" w:cs="宋体"/>
          <w:color w:val="auto"/>
          <w:sz w:val="24"/>
          <w:highlight w:val="none"/>
        </w:rPr>
        <w:t>11.2.2委托人发生违约情况时，</w:t>
      </w:r>
      <w:r>
        <w:rPr>
          <w:rFonts w:hint="eastAsia" w:ascii="宋体" w:hAnsi="宋体" w:cs="宋体"/>
          <w:color w:val="auto"/>
          <w:sz w:val="24"/>
          <w:highlight w:val="none"/>
        </w:rPr>
        <w:t>试验检测机构有权向委托人</w:t>
      </w:r>
      <w:r>
        <w:rPr>
          <w:rFonts w:hint="eastAsia" w:ascii="宋体" w:hAnsi="宋体" w:cs="宋体"/>
          <w:color w:val="auto"/>
          <w:sz w:val="24"/>
          <w:highlight w:val="none"/>
          <w:lang w:val="en-US" w:eastAsia="zh-CN"/>
        </w:rPr>
        <w:t>提出违约赔偿</w:t>
      </w:r>
      <w:r>
        <w:rPr>
          <w:rFonts w:hint="eastAsia" w:ascii="宋体" w:hAnsi="宋体" w:cs="宋体"/>
          <w:color w:val="auto"/>
          <w:sz w:val="24"/>
          <w:highlight w:val="none"/>
        </w:rPr>
        <w:t>，具体约定如下：</w:t>
      </w:r>
    </w:p>
    <w:p w14:paraId="418F657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委托人因违反</w:t>
      </w:r>
      <w:r>
        <w:rPr>
          <w:rFonts w:hint="eastAsia" w:ascii="宋体" w:hAnsi="宋体"/>
          <w:color w:val="auto"/>
          <w:sz w:val="24"/>
          <w:highlight w:val="none"/>
        </w:rPr>
        <w:t>监理试验室</w:t>
      </w:r>
      <w:r>
        <w:rPr>
          <w:rFonts w:hint="eastAsia" w:ascii="宋体" w:hAnsi="宋体" w:cs="宋体"/>
          <w:color w:val="auto"/>
          <w:sz w:val="24"/>
          <w:highlight w:val="none"/>
        </w:rPr>
        <w:t>合同的规定造成</w:t>
      </w:r>
      <w:r>
        <w:rPr>
          <w:rFonts w:hint="eastAsia" w:ascii="宋体" w:hAnsi="宋体"/>
          <w:color w:val="auto"/>
          <w:sz w:val="24"/>
          <w:highlight w:val="none"/>
          <w:lang w:val="en-US" w:eastAsia="zh-CN"/>
        </w:rPr>
        <w:t>试验检测机构</w:t>
      </w:r>
      <w:r>
        <w:rPr>
          <w:rFonts w:hint="eastAsia" w:ascii="宋体" w:hAnsi="宋体" w:cs="宋体"/>
          <w:color w:val="auto"/>
          <w:sz w:val="24"/>
          <w:highlight w:val="none"/>
        </w:rPr>
        <w:t>的经济损失时，由</w:t>
      </w:r>
      <w:r>
        <w:rPr>
          <w:rFonts w:hint="eastAsia" w:ascii="宋体" w:hAnsi="宋体"/>
          <w:color w:val="auto"/>
          <w:sz w:val="24"/>
          <w:highlight w:val="none"/>
          <w:lang w:val="en-US" w:eastAsia="zh-CN"/>
        </w:rPr>
        <w:t>试验检测机构</w:t>
      </w:r>
      <w:r>
        <w:rPr>
          <w:rFonts w:hint="eastAsia" w:ascii="宋体" w:hAnsi="宋体" w:cs="宋体"/>
          <w:color w:val="auto"/>
          <w:sz w:val="24"/>
          <w:highlight w:val="none"/>
        </w:rPr>
        <w:t>提出处理意见与委托人协商，并由委托人据实向</w:t>
      </w:r>
      <w:r>
        <w:rPr>
          <w:rFonts w:hint="eastAsia" w:ascii="宋体" w:hAnsi="宋体"/>
          <w:color w:val="auto"/>
          <w:sz w:val="24"/>
          <w:highlight w:val="none"/>
          <w:lang w:val="en-US" w:eastAsia="zh-CN"/>
        </w:rPr>
        <w:t>试验检测机构</w:t>
      </w:r>
      <w:r>
        <w:rPr>
          <w:rFonts w:hint="eastAsia" w:ascii="宋体" w:hAnsi="宋体" w:cs="宋体"/>
          <w:color w:val="auto"/>
          <w:sz w:val="24"/>
          <w:highlight w:val="none"/>
        </w:rPr>
        <w:t>赔偿经济损失。赔偿金为</w:t>
      </w:r>
      <w:r>
        <w:rPr>
          <w:rFonts w:hint="eastAsia" w:ascii="宋体" w:hAnsi="宋体"/>
          <w:color w:val="auto"/>
          <w:sz w:val="24"/>
          <w:highlight w:val="none"/>
          <w:lang w:val="en-US" w:eastAsia="zh-CN"/>
        </w:rPr>
        <w:t>试验检测机构</w:t>
      </w:r>
      <w:r>
        <w:rPr>
          <w:rFonts w:hint="eastAsia" w:ascii="宋体" w:hAnsi="宋体" w:cs="宋体"/>
          <w:color w:val="auto"/>
          <w:sz w:val="24"/>
          <w:highlight w:val="none"/>
        </w:rPr>
        <w:t>的直接经济损失。</w:t>
      </w:r>
    </w:p>
    <w:p w14:paraId="736F2DAB">
      <w:pPr>
        <w:pStyle w:val="5"/>
        <w:numPr>
          <w:ilvl w:val="-1"/>
          <w:numId w:val="0"/>
        </w:numPr>
        <w:rPr>
          <w:rFonts w:hint="eastAsia" w:ascii="Arial" w:hAnsi="Arial"/>
          <w:b/>
          <w:sz w:val="28"/>
          <w:szCs w:val="32"/>
        </w:rPr>
      </w:pPr>
      <w:bookmarkStart w:id="641" w:name="_Toc74760922"/>
      <w:r>
        <w:rPr>
          <w:rFonts w:hint="eastAsia" w:ascii="Arial" w:hAnsi="Arial"/>
          <w:b/>
          <w:sz w:val="28"/>
          <w:szCs w:val="32"/>
          <w:lang w:val="en-US" w:eastAsia="zh-CN"/>
        </w:rPr>
        <w:t xml:space="preserve">12. </w:t>
      </w:r>
      <w:r>
        <w:rPr>
          <w:rFonts w:hint="eastAsia" w:ascii="Arial" w:hAnsi="Arial"/>
          <w:b/>
          <w:sz w:val="28"/>
          <w:szCs w:val="32"/>
        </w:rPr>
        <w:t>争议的解决</w:t>
      </w:r>
      <w:bookmarkEnd w:id="641"/>
    </w:p>
    <w:p w14:paraId="647A7C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争议</w:t>
      </w:r>
      <w:r>
        <w:rPr>
          <w:rFonts w:hint="eastAsia" w:ascii="宋体" w:hAnsi="宋体" w:cs="宋体"/>
          <w:color w:val="auto"/>
          <w:sz w:val="24"/>
          <w:highlight w:val="none"/>
          <w:lang w:eastAsia="zh-CN"/>
        </w:rPr>
        <w:t>的</w:t>
      </w:r>
      <w:r>
        <w:rPr>
          <w:rFonts w:hint="eastAsia" w:ascii="宋体" w:hAnsi="宋体" w:cs="宋体"/>
          <w:color w:val="auto"/>
          <w:sz w:val="24"/>
          <w:highlight w:val="none"/>
        </w:rPr>
        <w:t>最终解决方式：</w:t>
      </w:r>
    </w:p>
    <w:p w14:paraId="75245A12">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 xml:space="preserve"> </w:t>
      </w:r>
      <w:r>
        <w:rPr>
          <w:rFonts w:hint="eastAsia" w:ascii="宋体" w:hAnsi="宋体" w:cs="宋体"/>
          <w:b w:val="0"/>
          <w:bCs w:val="0"/>
          <w:color w:val="auto"/>
          <w:sz w:val="24"/>
          <w:highlight w:val="none"/>
        </w:rPr>
        <w:t>诉讼</w:t>
      </w:r>
      <w:r>
        <w:rPr>
          <w:rFonts w:ascii="宋体" w:hAnsi="宋体" w:cs="宋体"/>
          <w:color w:val="auto"/>
          <w:sz w:val="24"/>
          <w:highlight w:val="none"/>
        </w:rPr>
        <w:t xml:space="preserve">    </w:t>
      </w:r>
      <w:r>
        <w:rPr>
          <w:rFonts w:hint="eastAsia" w:ascii="宋体" w:hAnsi="宋体" w:cs="宋体"/>
          <w:color w:val="auto"/>
          <w:sz w:val="24"/>
          <w:highlight w:val="none"/>
        </w:rPr>
        <w:t>诉讼机构名称：</w:t>
      </w:r>
      <w:r>
        <w:rPr>
          <w:rFonts w:ascii="宋体" w:hAnsi="宋体" w:cs="宋体"/>
          <w:color w:val="auto"/>
          <w:sz w:val="24"/>
          <w:highlight w:val="none"/>
          <w:u w:val="single"/>
        </w:rPr>
        <w:t xml:space="preserve">                   </w:t>
      </w:r>
      <w:r>
        <w:rPr>
          <w:rFonts w:ascii="宋体" w:hAnsi="宋体" w:cs="宋体"/>
          <w:color w:val="auto"/>
          <w:sz w:val="24"/>
          <w:highlight w:val="none"/>
        </w:rPr>
        <w:t>法院。</w:t>
      </w:r>
    </w:p>
    <w:p w14:paraId="3BC37D3F">
      <w:pPr>
        <w:spacing w:line="360" w:lineRule="auto"/>
        <w:ind w:firstLine="482" w:firstLineChars="200"/>
        <w:rPr>
          <w:rFonts w:ascii="宋体" w:hAnsi="宋体" w:cs="宋体"/>
          <w:color w:val="auto"/>
          <w:sz w:val="24"/>
          <w:highlight w:val="none"/>
          <w:u w:val="single"/>
        </w:rPr>
      </w:pPr>
      <w:r>
        <w:rPr>
          <w:rFonts w:hint="eastAsia" w:ascii="宋体" w:hAnsi="宋体" w:cs="宋体"/>
          <w:b/>
          <w:bCs/>
          <w:color w:val="auto"/>
          <w:sz w:val="24"/>
          <w:highlight w:val="none"/>
        </w:rPr>
        <w:t>□</w:t>
      </w:r>
      <w:r>
        <w:rPr>
          <w:rFonts w:hint="eastAsia" w:ascii="宋体" w:hAnsi="宋体" w:cs="宋体"/>
          <w:b/>
          <w:bCs/>
          <w:color w:val="auto"/>
          <w:sz w:val="24"/>
          <w:highlight w:val="none"/>
          <w:lang w:val="en-US" w:eastAsia="zh-CN"/>
        </w:rPr>
        <w:t xml:space="preserve"> </w:t>
      </w:r>
      <w:r>
        <w:rPr>
          <w:rFonts w:hint="eastAsia" w:ascii="宋体" w:hAnsi="宋体" w:cs="宋体"/>
          <w:b w:val="0"/>
          <w:bCs w:val="0"/>
          <w:color w:val="auto"/>
          <w:sz w:val="24"/>
          <w:highlight w:val="none"/>
        </w:rPr>
        <w:t>仲裁</w:t>
      </w:r>
      <w:r>
        <w:rPr>
          <w:rFonts w:ascii="宋体" w:hAnsi="宋体" w:cs="宋体"/>
          <w:color w:val="auto"/>
          <w:sz w:val="24"/>
          <w:highlight w:val="none"/>
        </w:rPr>
        <w:t xml:space="preserve">    仲裁机构名称：</w:t>
      </w:r>
      <w:r>
        <w:rPr>
          <w:rFonts w:ascii="宋体" w:hAnsi="宋体" w:cs="宋体"/>
          <w:color w:val="auto"/>
          <w:sz w:val="24"/>
          <w:highlight w:val="none"/>
          <w:u w:val="single"/>
        </w:rPr>
        <w:t xml:space="preserve">      </w:t>
      </w:r>
      <w:bookmarkStart w:id="642" w:name="_Toc520709536"/>
      <w:bookmarkStart w:id="643" w:name="_Toc523921844"/>
      <w:r>
        <w:rPr>
          <w:rFonts w:ascii="宋体" w:hAnsi="宋体" w:cs="宋体"/>
          <w:color w:val="auto"/>
          <w:sz w:val="24"/>
          <w:highlight w:val="none"/>
          <w:u w:val="single"/>
        </w:rPr>
        <w:t xml:space="preserve">         </w:t>
      </w:r>
      <w:bookmarkEnd w:id="642"/>
      <w:bookmarkEnd w:id="643"/>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24AE05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本节</w:t>
      </w:r>
      <w:r>
        <w:rPr>
          <w:rFonts w:hint="eastAsia" w:ascii="宋体" w:hAnsi="宋体" w:cs="宋体"/>
          <w:color w:val="auto"/>
          <w:sz w:val="24"/>
          <w:highlight w:val="none"/>
        </w:rPr>
        <w:t>补充第1</w:t>
      </w:r>
      <w:r>
        <w:rPr>
          <w:rFonts w:ascii="宋体" w:hAnsi="宋体" w:cs="宋体"/>
          <w:color w:val="auto"/>
          <w:sz w:val="24"/>
          <w:highlight w:val="none"/>
        </w:rPr>
        <w:t>3</w:t>
      </w:r>
      <w:r>
        <w:rPr>
          <w:rFonts w:hint="eastAsia" w:ascii="宋体" w:hAnsi="宋体" w:cs="宋体"/>
          <w:color w:val="auto"/>
          <w:sz w:val="24"/>
          <w:highlight w:val="none"/>
        </w:rPr>
        <w:t>条：</w:t>
      </w:r>
    </w:p>
    <w:p w14:paraId="760C87F9">
      <w:pPr>
        <w:pStyle w:val="5"/>
        <w:numPr>
          <w:ilvl w:val="-1"/>
          <w:numId w:val="0"/>
        </w:numPr>
        <w:rPr>
          <w:rFonts w:hint="eastAsia" w:ascii="Arial" w:hAnsi="Arial"/>
          <w:b/>
          <w:sz w:val="28"/>
          <w:szCs w:val="32"/>
        </w:rPr>
      </w:pPr>
      <w:r>
        <w:rPr>
          <w:rFonts w:hint="eastAsia" w:ascii="Arial" w:hAnsi="Arial"/>
          <w:b/>
          <w:sz w:val="28"/>
          <w:szCs w:val="32"/>
          <w:lang w:val="en-US" w:eastAsia="zh-CN"/>
        </w:rPr>
        <w:t xml:space="preserve">13. </w:t>
      </w:r>
      <w:r>
        <w:rPr>
          <w:rFonts w:hint="eastAsia" w:ascii="Arial" w:hAnsi="Arial"/>
          <w:b/>
          <w:sz w:val="28"/>
          <w:szCs w:val="32"/>
        </w:rPr>
        <w:t>后续管理办法</w:t>
      </w:r>
    </w:p>
    <w:p w14:paraId="0FCED36A">
      <w:pPr>
        <w:spacing w:line="360" w:lineRule="auto"/>
        <w:ind w:firstLine="480" w:firstLineChars="200"/>
        <w:rPr>
          <w:rFonts w:ascii="宋体" w:hAnsi="宋体" w:cs="宋体"/>
          <w:color w:val="auto"/>
          <w:sz w:val="24"/>
          <w:highlight w:val="none"/>
        </w:rPr>
      </w:pPr>
      <w:r>
        <w:rPr>
          <w:rFonts w:hint="eastAsia" w:hAnsi="宋体" w:cs="宋体"/>
          <w:color w:val="auto"/>
          <w:sz w:val="24"/>
          <w:szCs w:val="24"/>
          <w:highlight w:val="none"/>
        </w:rPr>
        <w:t>在工程实施过程中，如果有新的规程、办法、规范的颁布实施，本项目将按上级主管部门的决定采用执行，如有费用增减将合同条款有关规定办理。 施工期间，试验检测机构还应执行委托人针对本项目制定的质量、安全、环保、进度、计量、变更、奖励、资金管理等方面的管理办法。</w:t>
      </w:r>
      <w:r>
        <w:rPr>
          <w:rFonts w:ascii="宋体" w:hAnsi="宋体" w:cs="宋体"/>
          <w:color w:val="auto"/>
          <w:sz w:val="24"/>
          <w:highlight w:val="none"/>
        </w:rPr>
        <w:br w:type="page"/>
      </w:r>
    </w:p>
    <w:p w14:paraId="2C0F75B6">
      <w:pPr>
        <w:pStyle w:val="5"/>
        <w:jc w:val="center"/>
        <w:rPr>
          <w:rFonts w:ascii="黑体" w:hAnsi="黑体" w:eastAsia="黑体" w:cs="黑体"/>
          <w:b w:val="0"/>
          <w:color w:val="auto"/>
          <w:sz w:val="40"/>
          <w:szCs w:val="40"/>
          <w:highlight w:val="none"/>
        </w:rPr>
      </w:pPr>
      <w:bookmarkStart w:id="644" w:name="_Toc74760923"/>
      <w:r>
        <w:rPr>
          <w:rFonts w:hint="eastAsia" w:ascii="黑体" w:hAnsi="黑体" w:eastAsia="黑体" w:cs="黑体"/>
          <w:b w:val="0"/>
          <w:color w:val="auto"/>
          <w:sz w:val="40"/>
          <w:szCs w:val="40"/>
          <w:highlight w:val="none"/>
        </w:rPr>
        <w:t>第三节</w:t>
      </w:r>
      <w:r>
        <w:rPr>
          <w:rFonts w:ascii="黑体" w:hAnsi="黑体" w:eastAsia="黑体" w:cs="黑体"/>
          <w:b w:val="0"/>
          <w:color w:val="auto"/>
          <w:sz w:val="40"/>
          <w:szCs w:val="40"/>
          <w:highlight w:val="none"/>
        </w:rPr>
        <w:tab/>
      </w:r>
      <w:r>
        <w:rPr>
          <w:rFonts w:ascii="黑体" w:hAnsi="黑体" w:eastAsia="黑体" w:cs="黑体"/>
          <w:b w:val="0"/>
          <w:color w:val="auto"/>
          <w:sz w:val="40"/>
          <w:szCs w:val="40"/>
          <w:highlight w:val="none"/>
        </w:rPr>
        <w:t xml:space="preserve">  </w:t>
      </w:r>
      <w:r>
        <w:rPr>
          <w:rFonts w:hint="eastAsia" w:ascii="黑体" w:hAnsi="黑体" w:eastAsia="黑体" w:cs="黑体"/>
          <w:b w:val="0"/>
          <w:color w:val="auto"/>
          <w:sz w:val="40"/>
          <w:szCs w:val="40"/>
          <w:highlight w:val="none"/>
        </w:rPr>
        <w:t>合同附件格式</w:t>
      </w:r>
      <w:bookmarkEnd w:id="644"/>
    </w:p>
    <w:p w14:paraId="38E495AB">
      <w:pPr>
        <w:widowControl/>
        <w:jc w:val="left"/>
        <w:rPr>
          <w:rFonts w:ascii="宋体" w:hAnsi="宋体" w:cs="宋体"/>
          <w:b/>
          <w:bCs/>
          <w:color w:val="auto"/>
          <w:kern w:val="44"/>
          <w:sz w:val="30"/>
          <w:szCs w:val="30"/>
          <w:highlight w:val="none"/>
        </w:rPr>
      </w:pPr>
    </w:p>
    <w:p w14:paraId="190660F2">
      <w:pPr>
        <w:spacing w:line="360" w:lineRule="auto"/>
        <w:outlineLvl w:val="2"/>
        <w:rPr>
          <w:rStyle w:val="111"/>
          <w:b w:val="0"/>
          <w:bCs w:val="0"/>
        </w:rPr>
      </w:pPr>
      <w:r>
        <w:rPr>
          <w:rFonts w:ascii="宋体" w:hAnsi="宋体" w:cs="宋体"/>
          <w:color w:val="auto"/>
          <w:sz w:val="30"/>
          <w:szCs w:val="30"/>
          <w:highlight w:val="none"/>
        </w:rPr>
        <w:br w:type="page"/>
      </w:r>
      <w:r>
        <w:rPr>
          <w:rStyle w:val="111"/>
          <w:b w:val="0"/>
          <w:bCs w:val="0"/>
        </w:rPr>
        <w:t>附件一 合同协议书</w:t>
      </w:r>
    </w:p>
    <w:p w14:paraId="11C3E083">
      <w:pPr>
        <w:pStyle w:val="276"/>
        <w:spacing w:line="360" w:lineRule="auto"/>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合</w:t>
      </w:r>
      <w:r>
        <w:rPr>
          <w:rFonts w:ascii="黑体" w:hAnsi="黑体" w:eastAsia="黑体" w:cs="宋体"/>
          <w:color w:val="auto"/>
          <w:sz w:val="28"/>
          <w:szCs w:val="28"/>
          <w:highlight w:val="none"/>
        </w:rPr>
        <w:t xml:space="preserve"> </w:t>
      </w:r>
      <w:r>
        <w:rPr>
          <w:rFonts w:hint="eastAsia" w:ascii="黑体" w:hAnsi="黑体" w:eastAsia="黑体" w:cs="宋体"/>
          <w:color w:val="auto"/>
          <w:sz w:val="28"/>
          <w:szCs w:val="28"/>
          <w:highlight w:val="none"/>
        </w:rPr>
        <w:t>同</w:t>
      </w:r>
      <w:r>
        <w:rPr>
          <w:rFonts w:ascii="黑体" w:hAnsi="黑体" w:eastAsia="黑体" w:cs="宋体"/>
          <w:color w:val="auto"/>
          <w:sz w:val="28"/>
          <w:szCs w:val="28"/>
          <w:highlight w:val="none"/>
        </w:rPr>
        <w:t xml:space="preserve"> </w:t>
      </w:r>
      <w:r>
        <w:rPr>
          <w:rFonts w:hint="eastAsia" w:ascii="黑体" w:hAnsi="黑体" w:eastAsia="黑体" w:cs="宋体"/>
          <w:color w:val="auto"/>
          <w:sz w:val="28"/>
          <w:szCs w:val="28"/>
          <w:highlight w:val="none"/>
        </w:rPr>
        <w:t>协</w:t>
      </w:r>
      <w:r>
        <w:rPr>
          <w:rFonts w:ascii="黑体" w:hAnsi="黑体" w:eastAsia="黑体" w:cs="宋体"/>
          <w:color w:val="auto"/>
          <w:sz w:val="28"/>
          <w:szCs w:val="28"/>
          <w:highlight w:val="none"/>
        </w:rPr>
        <w:t xml:space="preserve"> </w:t>
      </w:r>
      <w:r>
        <w:rPr>
          <w:rFonts w:hint="eastAsia" w:ascii="黑体" w:hAnsi="黑体" w:eastAsia="黑体" w:cs="宋体"/>
          <w:color w:val="auto"/>
          <w:sz w:val="28"/>
          <w:szCs w:val="28"/>
          <w:highlight w:val="none"/>
        </w:rPr>
        <w:t>议</w:t>
      </w:r>
      <w:r>
        <w:rPr>
          <w:rFonts w:ascii="黑体" w:hAnsi="黑体" w:eastAsia="黑体" w:cs="宋体"/>
          <w:color w:val="auto"/>
          <w:sz w:val="28"/>
          <w:szCs w:val="28"/>
          <w:highlight w:val="none"/>
        </w:rPr>
        <w:t xml:space="preserve"> </w:t>
      </w:r>
      <w:r>
        <w:rPr>
          <w:rFonts w:hint="eastAsia" w:ascii="黑体" w:hAnsi="黑体" w:eastAsia="黑体" w:cs="宋体"/>
          <w:color w:val="auto"/>
          <w:sz w:val="28"/>
          <w:szCs w:val="28"/>
          <w:highlight w:val="none"/>
        </w:rPr>
        <w:t>书</w:t>
      </w:r>
      <w:r>
        <w:rPr>
          <w:rStyle w:val="58"/>
          <w:rFonts w:ascii="黑体" w:hAnsi="黑体" w:eastAsia="黑体" w:cs="宋体"/>
          <w:color w:val="auto"/>
          <w:sz w:val="28"/>
          <w:szCs w:val="28"/>
          <w:highlight w:val="none"/>
        </w:rPr>
        <w:footnoteReference w:id="116"/>
      </w:r>
    </w:p>
    <w:p w14:paraId="11766353">
      <w:pPr>
        <w:pStyle w:val="276"/>
        <w:spacing w:line="360" w:lineRule="auto"/>
        <w:rPr>
          <w:rFonts w:ascii="宋体" w:hAnsi="宋体" w:cs="宋体"/>
          <w:color w:val="auto"/>
          <w:highlight w:val="none"/>
        </w:rPr>
      </w:pPr>
    </w:p>
    <w:p w14:paraId="77C86E31">
      <w:pPr>
        <w:spacing w:line="360" w:lineRule="auto"/>
        <w:ind w:firstLine="480" w:firstLineChars="200"/>
        <w:rPr>
          <w:rFonts w:ascii="宋体" w:hAnsi="宋体" w:cs="宋体"/>
          <w:color w:val="auto"/>
          <w:sz w:val="24"/>
          <w:highlight w:val="none"/>
        </w:rPr>
      </w:pPr>
      <w:bookmarkStart w:id="645" w:name="_Toc513555853"/>
      <w:bookmarkStart w:id="646" w:name="_Toc519601511"/>
      <w:bookmarkStart w:id="647" w:name="_Toc519777891"/>
      <w:bookmarkStart w:id="648" w:name="_Toc513555609"/>
      <w:bookmarkStart w:id="649" w:name="_Toc523921845"/>
      <w:bookmarkStart w:id="650" w:name="_Toc513556688"/>
      <w:bookmarkStart w:id="651" w:name="_Toc520709537"/>
      <w:bookmarkStart w:id="652" w:name="_Toc519778504"/>
      <w:bookmarkStart w:id="653" w:name="_Toc519777839"/>
      <w:bookmarkStart w:id="654" w:name="_Toc519777943"/>
      <w:r>
        <w:rPr>
          <w:rFonts w:ascii="宋体" w:hAnsi="宋体" w:cs="宋体"/>
          <w:color w:val="auto"/>
          <w:sz w:val="24"/>
          <w:highlight w:val="none"/>
        </w:rPr>
        <w:t xml:space="preserve"> </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（委托人名称</w:t>
      </w:r>
      <w:bookmarkEnd w:id="645"/>
      <w:bookmarkEnd w:id="646"/>
      <w:bookmarkEnd w:id="647"/>
      <w:bookmarkEnd w:id="648"/>
      <w:bookmarkEnd w:id="649"/>
      <w:bookmarkEnd w:id="650"/>
      <w:bookmarkEnd w:id="651"/>
      <w:bookmarkEnd w:id="652"/>
      <w:bookmarkEnd w:id="653"/>
      <w:bookmarkEnd w:id="654"/>
      <w:r>
        <w:rPr>
          <w:rFonts w:hint="eastAsia" w:ascii="宋体" w:hAnsi="宋体" w:cs="宋体"/>
          <w:color w:val="auto"/>
          <w:sz w:val="24"/>
          <w:highlight w:val="none"/>
        </w:rPr>
        <w:t>，以下简称“委托人”）为实施</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（项目名称），已接受</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ascii="宋体" w:hAnsi="宋体" w:cs="宋体"/>
          <w:color w:val="auto"/>
          <w:sz w:val="24"/>
          <w:highlight w:val="none"/>
          <w:u w:val="single"/>
        </w:rPr>
        <w:tab/>
      </w:r>
      <w:r>
        <w:rPr>
          <w:rFonts w:hint="eastAsia" w:ascii="宋体" w:hAnsi="宋体" w:cs="宋体"/>
          <w:color w:val="auto"/>
          <w:sz w:val="24"/>
          <w:highlight w:val="none"/>
        </w:rPr>
        <w:t>（试验检测机构名称，以下简称“试验检测机构”）对该项目第</w:t>
      </w:r>
      <w:r>
        <w:rPr>
          <w:rFonts w:ascii="宋体" w:hAnsi="宋体" w:cs="宋体"/>
          <w:color w:val="auto"/>
          <w:sz w:val="24"/>
          <w:highlight w:val="none"/>
          <w:u w:val="single"/>
        </w:rPr>
        <w:t xml:space="preserve">   </w:t>
      </w:r>
      <w:r>
        <w:rPr>
          <w:rFonts w:hint="eastAsia" w:ascii="宋体" w:hAnsi="宋体" w:cs="宋体"/>
          <w:color w:val="auto"/>
          <w:sz w:val="24"/>
          <w:highlight w:val="none"/>
        </w:rPr>
        <w:t>标段</w:t>
      </w:r>
      <w:r>
        <w:rPr>
          <w:rFonts w:hint="eastAsia" w:ascii="宋体" w:hAnsi="宋体" w:cs="宋体"/>
          <w:color w:val="auto"/>
          <w:sz w:val="24"/>
          <w:highlight w:val="none"/>
          <w:lang w:val="en-US" w:eastAsia="zh-CN"/>
        </w:rPr>
        <w:t>监理试验室</w:t>
      </w:r>
      <w:r>
        <w:rPr>
          <w:rFonts w:hint="eastAsia" w:ascii="宋体" w:hAnsi="宋体" w:cs="宋体"/>
          <w:color w:val="auto"/>
          <w:sz w:val="24"/>
          <w:highlight w:val="none"/>
        </w:rPr>
        <w:t>的投标。委托人和试验检测机构</w:t>
      </w:r>
      <w:bookmarkStart w:id="655" w:name="_Toc519777840"/>
      <w:bookmarkStart w:id="656" w:name="_Toc519777892"/>
      <w:bookmarkStart w:id="657" w:name="_Toc28187731"/>
      <w:bookmarkStart w:id="658" w:name="_Toc523921846"/>
      <w:bookmarkStart w:id="659" w:name="_Toc519777944"/>
      <w:bookmarkStart w:id="660" w:name="_Toc519778505"/>
      <w:r>
        <w:rPr>
          <w:rFonts w:hint="eastAsia" w:ascii="宋体" w:hAnsi="宋体" w:cs="宋体"/>
          <w:color w:val="auto"/>
          <w:sz w:val="24"/>
          <w:highlight w:val="none"/>
        </w:rPr>
        <w:t>共同达成如下协议。</w:t>
      </w:r>
      <w:bookmarkEnd w:id="655"/>
      <w:bookmarkEnd w:id="656"/>
      <w:bookmarkEnd w:id="657"/>
      <w:bookmarkEnd w:id="658"/>
      <w:bookmarkEnd w:id="659"/>
      <w:bookmarkEnd w:id="660"/>
    </w:p>
    <w:p w14:paraId="78174FE6">
      <w:pPr>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w:t>
      </w:r>
      <w:bookmarkStart w:id="661" w:name="_Toc523921847"/>
      <w:r>
        <w:rPr>
          <w:rFonts w:hint="eastAsia" w:ascii="宋体" w:hAnsi="宋体" w:cs="宋体"/>
          <w:color w:val="auto"/>
          <w:sz w:val="24"/>
          <w:highlight w:val="none"/>
        </w:rPr>
        <w:t>第</w:t>
      </w:r>
      <w:r>
        <w:rPr>
          <w:rFonts w:ascii="宋体" w:hAnsi="宋体" w:cs="宋体"/>
          <w:color w:val="auto"/>
          <w:sz w:val="24"/>
          <w:highlight w:val="none"/>
          <w:u w:val="single"/>
        </w:rPr>
        <w:t xml:space="preserve">    </w:t>
      </w:r>
      <w:r>
        <w:rPr>
          <w:rFonts w:ascii="宋体" w:hAnsi="宋体" w:cs="宋体"/>
          <w:color w:val="auto"/>
          <w:sz w:val="24"/>
          <w:highlight w:val="none"/>
        </w:rPr>
        <w:t xml:space="preserve">标段由 </w:t>
      </w:r>
      <w:bookmarkEnd w:id="661"/>
      <w:r>
        <w:rPr>
          <w:rFonts w:ascii="宋体" w:hAnsi="宋体" w:cs="宋体"/>
          <w:color w:val="auto"/>
          <w:sz w:val="24"/>
          <w:highlight w:val="none"/>
        </w:rPr>
        <w:t>K</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至</w:t>
      </w:r>
      <w:r>
        <w:rPr>
          <w:rFonts w:ascii="宋体" w:hAnsi="宋体" w:cs="宋体"/>
          <w:color w:val="auto"/>
          <w:sz w:val="24"/>
          <w:highlight w:val="none"/>
        </w:rPr>
        <w:t xml:space="preserve"> K</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，长约</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ascii="宋体" w:hAnsi="宋体" w:cs="宋体"/>
          <w:color w:val="auto"/>
          <w:sz w:val="24"/>
          <w:highlight w:val="none"/>
        </w:rPr>
        <w:t>km，公路等级为</w:t>
      </w:r>
      <w:r>
        <w:rPr>
          <w:rFonts w:ascii="宋体" w:hAnsi="宋体" w:cs="宋体"/>
          <w:color w:val="auto"/>
          <w:sz w:val="24"/>
          <w:highlight w:val="none"/>
          <w:u w:val="single"/>
        </w:rPr>
        <w:t xml:space="preserve">    </w:t>
      </w:r>
      <w:r>
        <w:rPr>
          <w:rFonts w:hint="eastAsia" w:ascii="宋体" w:hAnsi="宋体" w:cs="宋体"/>
          <w:color w:val="auto"/>
          <w:sz w:val="24"/>
          <w:highlight w:val="none"/>
        </w:rPr>
        <w:t>，设计</w:t>
      </w:r>
      <w:r>
        <w:rPr>
          <w:rFonts w:hint="eastAsia" w:ascii="宋体" w:hAnsi="宋体" w:cs="宋体"/>
          <w:color w:val="auto"/>
          <w:sz w:val="24"/>
          <w:highlight w:val="none"/>
          <w:lang w:val="en-US" w:eastAsia="zh-CN"/>
        </w:rPr>
        <w:t>速度</w:t>
      </w:r>
      <w:r>
        <w:rPr>
          <w:rFonts w:hint="eastAsia" w:ascii="宋体" w:hAnsi="宋体" w:cs="宋体"/>
          <w:color w:val="auto"/>
          <w:sz w:val="24"/>
          <w:highlight w:val="none"/>
        </w:rPr>
        <w:t>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ab/>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ascii="宋体" w:hAnsi="宋体" w:cs="宋体"/>
          <w:color w:val="auto"/>
          <w:sz w:val="24"/>
          <w:highlight w:val="none"/>
        </w:rPr>
        <w:t>路面</w:t>
      </w:r>
      <w:r>
        <w:rPr>
          <w:rFonts w:hint="eastAsia" w:ascii="宋体" w:hAnsi="宋体" w:cs="宋体"/>
          <w:color w:val="auto"/>
          <w:sz w:val="24"/>
          <w:highlight w:val="none"/>
          <w:lang w:eastAsia="zh-CN"/>
        </w:rPr>
        <w:t>。</w:t>
      </w:r>
      <w:r>
        <w:rPr>
          <w:rFonts w:ascii="宋体" w:hAnsi="宋体" w:cs="宋体"/>
          <w:color w:val="auto"/>
          <w:sz w:val="24"/>
          <w:highlight w:val="none"/>
        </w:rPr>
        <w:t>有立交</w:t>
      </w:r>
      <w:r>
        <w:rPr>
          <w:rFonts w:ascii="宋体" w:hAnsi="宋体" w:cs="宋体"/>
          <w:color w:val="auto"/>
          <w:sz w:val="24"/>
          <w:highlight w:val="none"/>
          <w:u w:val="single"/>
        </w:rPr>
        <w:t xml:space="preserve">      </w:t>
      </w:r>
      <w:r>
        <w:rPr>
          <w:rFonts w:hint="eastAsia" w:ascii="宋体" w:hAnsi="宋体" w:cs="宋体"/>
          <w:color w:val="auto"/>
          <w:sz w:val="24"/>
          <w:highlight w:val="none"/>
        </w:rPr>
        <w:t>处；特大桥</w:t>
      </w:r>
      <w:r>
        <w:rPr>
          <w:rFonts w:ascii="宋体" w:hAnsi="宋体" w:cs="宋体"/>
          <w:color w:val="auto"/>
          <w:sz w:val="24"/>
          <w:highlight w:val="none"/>
          <w:u w:val="single"/>
        </w:rPr>
        <w:t xml:space="preserve">      </w:t>
      </w:r>
      <w:r>
        <w:rPr>
          <w:rFonts w:hint="eastAsia" w:ascii="宋体" w:hAnsi="宋体" w:cs="宋体"/>
          <w:color w:val="auto"/>
          <w:sz w:val="24"/>
          <w:highlight w:val="none"/>
        </w:rPr>
        <w:t>座，合计长</w:t>
      </w:r>
      <w:r>
        <w:rPr>
          <w:rFonts w:ascii="宋体" w:hAnsi="宋体" w:cs="宋体"/>
          <w:color w:val="auto"/>
          <w:sz w:val="24"/>
          <w:highlight w:val="none"/>
          <w:u w:val="single"/>
        </w:rPr>
        <w:t xml:space="preserve">            </w:t>
      </w:r>
      <w:r>
        <w:rPr>
          <w:rFonts w:ascii="宋体" w:hAnsi="宋体" w:cs="宋体"/>
          <w:color w:val="auto"/>
          <w:sz w:val="24"/>
          <w:highlight w:val="none"/>
        </w:rPr>
        <w:t>m；大中桥</w:t>
      </w:r>
      <w:r>
        <w:rPr>
          <w:rFonts w:ascii="宋体" w:hAnsi="宋体" w:cs="宋体"/>
          <w:color w:val="auto"/>
          <w:sz w:val="24"/>
          <w:highlight w:val="none"/>
          <w:u w:val="single"/>
        </w:rPr>
        <w:t xml:space="preserve">       </w:t>
      </w:r>
      <w:r>
        <w:rPr>
          <w:rFonts w:hint="eastAsia" w:ascii="宋体" w:hAnsi="宋体" w:cs="宋体"/>
          <w:color w:val="auto"/>
          <w:sz w:val="24"/>
          <w:highlight w:val="none"/>
        </w:rPr>
        <w:t>座，合计长</w:t>
      </w:r>
      <w:r>
        <w:rPr>
          <w:rFonts w:ascii="宋体" w:hAnsi="宋体" w:cs="宋体"/>
          <w:color w:val="auto"/>
          <w:sz w:val="24"/>
          <w:highlight w:val="none"/>
          <w:u w:val="single"/>
        </w:rPr>
        <w:t xml:space="preserve">         </w:t>
      </w:r>
      <w:r>
        <w:rPr>
          <w:rFonts w:ascii="宋体" w:hAnsi="宋体" w:cs="宋体"/>
          <w:color w:val="auto"/>
          <w:sz w:val="24"/>
          <w:highlight w:val="none"/>
        </w:rPr>
        <w:t>m；隧道</w:t>
      </w:r>
      <w:r>
        <w:rPr>
          <w:rFonts w:ascii="宋体" w:hAnsi="宋体" w:cs="宋体"/>
          <w:color w:val="auto"/>
          <w:sz w:val="24"/>
          <w:highlight w:val="none"/>
          <w:u w:val="single"/>
        </w:rPr>
        <w:t xml:space="preserve">     </w:t>
      </w:r>
      <w:r>
        <w:rPr>
          <w:rFonts w:hint="eastAsia" w:ascii="宋体" w:hAnsi="宋体" w:cs="宋体"/>
          <w:color w:val="auto"/>
          <w:sz w:val="24"/>
          <w:highlight w:val="none"/>
        </w:rPr>
        <w:t>座，合计长</w:t>
      </w:r>
      <w:r>
        <w:rPr>
          <w:rFonts w:ascii="宋体" w:hAnsi="宋体" w:cs="宋体"/>
          <w:color w:val="auto"/>
          <w:sz w:val="24"/>
          <w:highlight w:val="none"/>
          <w:u w:val="single"/>
        </w:rPr>
        <w:t xml:space="preserve">        </w:t>
      </w:r>
      <w:r>
        <w:rPr>
          <w:rFonts w:ascii="宋体" w:hAnsi="宋体" w:cs="宋体"/>
          <w:color w:val="auto"/>
          <w:sz w:val="24"/>
          <w:highlight w:val="none"/>
        </w:rPr>
        <w:t>m</w:t>
      </w:r>
      <w:r>
        <w:rPr>
          <w:rFonts w:hint="eastAsia" w:ascii="宋体" w:hAnsi="宋体" w:cs="宋体"/>
          <w:color w:val="auto"/>
          <w:sz w:val="24"/>
          <w:highlight w:val="none"/>
        </w:rPr>
        <w:t>以及其他构造物工程等。</w:t>
      </w:r>
      <w:r>
        <w:rPr>
          <w:rStyle w:val="58"/>
          <w:rFonts w:hint="eastAsia" w:ascii="宋体" w:hAnsi="宋体" w:cs="宋体"/>
          <w:color w:val="auto"/>
          <w:highlight w:val="none"/>
        </w:rPr>
        <w:footnoteReference w:id="117"/>
      </w:r>
    </w:p>
    <w:p w14:paraId="54DB876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2.下列文件应视为构成合同文件的组成部分：</w:t>
      </w:r>
    </w:p>
    <w:p w14:paraId="080F7EC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）本协议书及各种合同附件（含评标期间和合同谈判过程中的澄清文件和补充资料）；</w:t>
      </w:r>
    </w:p>
    <w:p w14:paraId="3465702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）中标通知书；</w:t>
      </w:r>
    </w:p>
    <w:p w14:paraId="7A40594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）投标函（含第一个信封、第二个信封）；</w:t>
      </w:r>
    </w:p>
    <w:p w14:paraId="51728A93">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）项目专用合同条款；</w:t>
      </w:r>
    </w:p>
    <w:p w14:paraId="16B2204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）公路工程专用合同条款；</w:t>
      </w:r>
    </w:p>
    <w:p w14:paraId="4EA2A12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）通用合同条款；</w:t>
      </w:r>
    </w:p>
    <w:p w14:paraId="1099E2F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）委托人要求；</w:t>
      </w:r>
    </w:p>
    <w:p w14:paraId="2FA4AB2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w:t>
      </w:r>
      <w:r>
        <w:rPr>
          <w:rFonts w:ascii="宋体" w:hAnsi="宋体" w:cs="宋体"/>
          <w:color w:val="auto"/>
          <w:sz w:val="24"/>
          <w:highlight w:val="none"/>
        </w:rPr>
        <w:t>8</w:t>
      </w:r>
      <w:r>
        <w:rPr>
          <w:rFonts w:hint="eastAsia" w:ascii="宋体" w:hAnsi="宋体" w:cs="宋体"/>
          <w:color w:val="auto"/>
          <w:sz w:val="24"/>
          <w:highlight w:val="none"/>
        </w:rPr>
        <w:t>）监理试验室服务费用清单；</w:t>
      </w:r>
    </w:p>
    <w:p w14:paraId="20D6E06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w:t>
      </w:r>
      <w:r>
        <w:rPr>
          <w:rFonts w:ascii="宋体" w:hAnsi="宋体" w:cs="宋体"/>
          <w:color w:val="auto"/>
          <w:sz w:val="24"/>
          <w:highlight w:val="none"/>
        </w:rPr>
        <w:t>9</w:t>
      </w:r>
      <w:r>
        <w:rPr>
          <w:rFonts w:hint="eastAsia" w:ascii="宋体" w:hAnsi="宋体" w:cs="宋体"/>
          <w:color w:val="auto"/>
          <w:sz w:val="24"/>
          <w:highlight w:val="none"/>
        </w:rPr>
        <w:t>）试验检测机构有关人员、试验检测设备投入的承诺；</w:t>
      </w:r>
    </w:p>
    <w:p w14:paraId="0BAC14F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w:t>
      </w:r>
      <w:r>
        <w:rPr>
          <w:rFonts w:ascii="宋体" w:hAnsi="宋体" w:cs="宋体"/>
          <w:color w:val="auto"/>
          <w:sz w:val="24"/>
          <w:highlight w:val="none"/>
        </w:rPr>
        <w:t>10</w:t>
      </w:r>
      <w:r>
        <w:rPr>
          <w:rFonts w:hint="eastAsia" w:ascii="宋体" w:hAnsi="宋体" w:cs="宋体"/>
          <w:color w:val="auto"/>
          <w:sz w:val="24"/>
          <w:highlight w:val="none"/>
        </w:rPr>
        <w:t>）其他合同文件。</w:t>
      </w:r>
    </w:p>
    <w:p w14:paraId="25169BC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上述合同文件互相补充和解释，如果合同文件存在矛盾或不一致之处，以上述文件的排列顺序在先者为准。</w:t>
      </w:r>
    </w:p>
    <w:p w14:paraId="7B18A616">
      <w:pPr>
        <w:numPr>
          <w:ilvl w:val="-1"/>
          <w:numId w:val="0"/>
        </w:numPr>
        <w:spacing w:line="360" w:lineRule="auto"/>
        <w:ind w:left="420" w:firstLine="0" w:firstLineChars="0"/>
        <w:rPr>
          <w:rFonts w:hint="eastAsia"/>
          <w:spacing w:val="4"/>
          <w:sz w:val="24"/>
        </w:rPr>
      </w:pPr>
      <w:r>
        <w:rPr>
          <w:rFonts w:ascii="宋体" w:hAnsi="宋体" w:cs="宋体"/>
          <w:color w:val="auto"/>
          <w:sz w:val="24"/>
          <w:highlight w:val="none"/>
        </w:rPr>
        <w:t>3.签约合同价：人民币</w:t>
      </w:r>
      <w:r>
        <w:rPr>
          <w:rFonts w:hint="eastAsia" w:ascii="宋体" w:hAnsi="宋体" w:cs="宋体"/>
          <w:color w:val="auto"/>
          <w:sz w:val="24"/>
          <w:highlight w:val="none"/>
        </w:rPr>
        <w:t>（大写）</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元（¥</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w:t>
      </w:r>
      <w:r>
        <w:rPr>
          <w:rFonts w:hint="eastAsia"/>
          <w:spacing w:val="4"/>
          <w:sz w:val="24"/>
        </w:rPr>
        <w:t>（其中增值税税率为</w:t>
      </w:r>
    </w:p>
    <w:p w14:paraId="06A134AF">
      <w:pPr>
        <w:numPr>
          <w:ilvl w:val="-1"/>
          <w:numId w:val="0"/>
        </w:numPr>
        <w:spacing w:line="360" w:lineRule="auto"/>
        <w:ind w:left="0" w:firstLine="0" w:firstLineChars="0"/>
        <w:rPr>
          <w:rFonts w:ascii="宋体" w:hAnsi="宋体" w:cs="宋体"/>
          <w:color w:val="auto"/>
          <w:sz w:val="24"/>
          <w:highlight w:val="none"/>
        </w:rPr>
      </w:pP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spacing w:val="4"/>
          <w:sz w:val="24"/>
        </w:rPr>
        <w:t>）</w:t>
      </w:r>
      <w:r>
        <w:rPr>
          <w:rFonts w:hint="eastAsia" w:ascii="宋体" w:hAnsi="宋体" w:cs="宋体"/>
          <w:color w:val="auto"/>
          <w:sz w:val="24"/>
          <w:highlight w:val="none"/>
        </w:rPr>
        <w:t>。</w:t>
      </w:r>
      <w:r>
        <w:rPr>
          <w:rStyle w:val="58"/>
          <w:rFonts w:hint="eastAsia" w:ascii="宋体" w:hAnsi="宋体"/>
          <w:sz w:val="24"/>
        </w:rPr>
        <w:footnoteReference w:id="118"/>
      </w:r>
    </w:p>
    <w:p w14:paraId="51BE1C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其中：施工阶段（包括施工准备阶段）</w:t>
      </w:r>
      <w:r>
        <w:rPr>
          <w:rFonts w:ascii="宋体" w:hAnsi="宋体" w:cs="宋体"/>
          <w:color w:val="auto"/>
          <w:sz w:val="24"/>
          <w:highlight w:val="none"/>
          <w:u w:val="single"/>
        </w:rPr>
        <w:t xml:space="preserve">             </w:t>
      </w:r>
      <w:r>
        <w:rPr>
          <w:rFonts w:hint="eastAsia" w:ascii="宋体" w:hAnsi="宋体" w:cs="宋体"/>
          <w:color w:val="auto"/>
          <w:sz w:val="24"/>
          <w:highlight w:val="none"/>
        </w:rPr>
        <w:t>元；</w:t>
      </w:r>
    </w:p>
    <w:p w14:paraId="440D0FD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rPr>
        <w:t>缺陷责任期阶段</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元；</w:t>
      </w:r>
    </w:p>
    <w:p w14:paraId="26AB611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4.试验室主任：</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ascii="宋体" w:hAnsi="宋体" w:cs="宋体"/>
          <w:color w:val="auto"/>
          <w:sz w:val="24"/>
          <w:highlight w:val="none"/>
        </w:rPr>
        <w:t>。</w:t>
      </w:r>
    </w:p>
    <w:p w14:paraId="1D285639">
      <w:pPr>
        <w:spacing w:line="360" w:lineRule="auto"/>
        <w:ind w:firstLine="723" w:firstLineChars="300"/>
        <w:jc w:val="left"/>
        <w:rPr>
          <w:rFonts w:ascii="宋体" w:hAnsi="宋体" w:cs="宋体"/>
          <w:color w:val="auto"/>
          <w:sz w:val="24"/>
          <w:highlight w:val="none"/>
        </w:rPr>
      </w:pPr>
      <w:r>
        <w:rPr>
          <w:rFonts w:hint="eastAsia" w:ascii="宋体" w:hAnsi="宋体" w:cs="宋体"/>
          <w:b/>
          <w:bCs/>
          <w:color w:val="auto"/>
          <w:sz w:val="24"/>
          <w:highlight w:val="none"/>
        </w:rPr>
        <w:t xml:space="preserve">□ </w:t>
      </w:r>
      <w:r>
        <w:rPr>
          <w:rFonts w:hint="eastAsia" w:ascii="宋体" w:hAnsi="宋体" w:cs="宋体"/>
          <w:color w:val="auto"/>
          <w:sz w:val="24"/>
          <w:highlight w:val="none"/>
        </w:rPr>
        <w:t>技术负责人</w:t>
      </w:r>
      <w:r>
        <w:rPr>
          <w:rFonts w:ascii="宋体" w:hAnsi="宋体" w:cs="宋体"/>
          <w:color w:val="auto"/>
          <w:sz w:val="24"/>
          <w:highlight w:val="none"/>
        </w:rPr>
        <w:t>：</w:t>
      </w:r>
      <w:r>
        <w:rPr>
          <w:rFonts w:ascii="宋体" w:hAnsi="宋体" w:cs="宋体"/>
          <w:color w:val="auto"/>
          <w:sz w:val="24"/>
          <w:highlight w:val="none"/>
          <w:u w:val="single"/>
        </w:rPr>
        <w:t xml:space="preserve">              </w:t>
      </w:r>
      <w:r>
        <w:rPr>
          <w:rFonts w:ascii="宋体" w:hAnsi="宋体" w:cs="宋体"/>
          <w:color w:val="auto"/>
          <w:sz w:val="24"/>
          <w:highlight w:val="none"/>
        </w:rPr>
        <w:t>。</w:t>
      </w:r>
    </w:p>
    <w:p w14:paraId="1A2D57D9">
      <w:pPr>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5.监理</w:t>
      </w:r>
      <w:r>
        <w:rPr>
          <w:rFonts w:hint="eastAsia" w:ascii="宋体" w:hAnsi="宋体" w:cs="宋体"/>
          <w:color w:val="auto"/>
          <w:sz w:val="24"/>
          <w:highlight w:val="none"/>
        </w:rPr>
        <w:t>试验室工作质量符合的标准和要求：</w:t>
      </w:r>
      <w:r>
        <w:rPr>
          <w:rFonts w:ascii="宋体" w:hAnsi="宋体" w:cs="宋体"/>
          <w:color w:val="auto"/>
          <w:sz w:val="24"/>
          <w:highlight w:val="none"/>
          <w:u w:val="single"/>
        </w:rPr>
        <w:t xml:space="preserve">          </w:t>
      </w:r>
      <w:r>
        <w:rPr>
          <w:rFonts w:hint="eastAsia" w:ascii="宋体" w:hAnsi="宋体" w:cs="宋体"/>
          <w:color w:val="auto"/>
          <w:sz w:val="24"/>
          <w:highlight w:val="none"/>
        </w:rPr>
        <w:t>。安全目标：</w:t>
      </w:r>
      <w:r>
        <w:rPr>
          <w:rFonts w:ascii="宋体" w:hAnsi="宋体" w:cs="宋体"/>
          <w:color w:val="auto"/>
          <w:sz w:val="24"/>
          <w:highlight w:val="none"/>
          <w:u w:val="single"/>
        </w:rPr>
        <w:t xml:space="preserve">       </w:t>
      </w:r>
      <w:r>
        <w:rPr>
          <w:rFonts w:hint="eastAsia" w:ascii="宋体" w:hAnsi="宋体" w:cs="宋体"/>
          <w:color w:val="auto"/>
          <w:sz w:val="24"/>
          <w:highlight w:val="none"/>
        </w:rPr>
        <w:t>。</w:t>
      </w:r>
    </w:p>
    <w:p w14:paraId="3F9C8C5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6.</w:t>
      </w:r>
      <w:r>
        <w:rPr>
          <w:rFonts w:hint="eastAsia" w:ascii="宋体" w:hAnsi="宋体" w:cs="宋体"/>
          <w:color w:val="auto"/>
          <w:sz w:val="24"/>
          <w:highlight w:val="none"/>
        </w:rPr>
        <w:t>试验检测机构承诺按合同约定承担工程的监理试验室。</w:t>
      </w:r>
    </w:p>
    <w:p w14:paraId="402F686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7.委托人承诺按合同约定的条件、时间和方式向</w:t>
      </w:r>
      <w:r>
        <w:rPr>
          <w:rFonts w:hint="eastAsia" w:ascii="宋体" w:hAnsi="宋体" w:cs="宋体"/>
          <w:color w:val="auto"/>
          <w:sz w:val="24"/>
          <w:highlight w:val="none"/>
        </w:rPr>
        <w:t>试验检测机构支付合同价款。</w:t>
      </w:r>
    </w:p>
    <w:p w14:paraId="4020B28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8.计划开始监理</w:t>
      </w:r>
      <w:r>
        <w:rPr>
          <w:rFonts w:hint="eastAsia" w:ascii="宋体" w:hAnsi="宋体" w:cs="宋体"/>
          <w:color w:val="auto"/>
          <w:sz w:val="24"/>
          <w:highlight w:val="none"/>
        </w:rPr>
        <w:t>试验室日期：</w:t>
      </w:r>
      <w:r>
        <w:rPr>
          <w:rFonts w:ascii="宋体" w:hAnsi="宋体" w:cs="宋体"/>
          <w:color w:val="auto"/>
          <w:sz w:val="24"/>
          <w:highlight w:val="none"/>
          <w:u w:val="single"/>
        </w:rPr>
        <w:t xml:space="preserve">       </w:t>
      </w:r>
      <w:r>
        <w:rPr>
          <w:rFonts w:hint="eastAsia" w:ascii="宋体" w:hAnsi="宋体" w:cs="宋体"/>
          <w:color w:val="auto"/>
          <w:sz w:val="24"/>
          <w:highlight w:val="none"/>
        </w:rPr>
        <w:t>，实际日期按照合同条款中约定的开始监理试验室日期为准。监理试验室服务期限：</w:t>
      </w:r>
      <w:r>
        <w:rPr>
          <w:rFonts w:ascii="宋体" w:hAnsi="宋体" w:cs="宋体"/>
          <w:color w:val="auto"/>
          <w:sz w:val="24"/>
          <w:highlight w:val="none"/>
          <w:u w:val="single"/>
        </w:rPr>
        <w:t xml:space="preserve">     </w:t>
      </w:r>
      <w:r>
        <w:rPr>
          <w:rFonts w:hint="eastAsia" w:ascii="宋体" w:hAnsi="宋体" w:cs="宋体"/>
          <w:color w:val="auto"/>
          <w:sz w:val="24"/>
          <w:highlight w:val="none"/>
          <w:u w:val="none"/>
          <w:lang w:val="en-US" w:eastAsia="zh-CN"/>
        </w:rPr>
        <w:t>个</w:t>
      </w:r>
      <w:r>
        <w:rPr>
          <w:rFonts w:hint="eastAsia" w:ascii="宋体" w:hAnsi="宋体" w:cs="宋体"/>
          <w:color w:val="auto"/>
          <w:sz w:val="24"/>
          <w:highlight w:val="none"/>
        </w:rPr>
        <w:t>月，其中：施工阶段（含施工准备阶段）</w:t>
      </w:r>
      <w:r>
        <w:rPr>
          <w:rFonts w:ascii="宋体" w:hAnsi="宋体" w:cs="宋体"/>
          <w:color w:val="auto"/>
          <w:sz w:val="24"/>
          <w:highlight w:val="none"/>
          <w:u w:val="single"/>
        </w:rPr>
        <w:t xml:space="preserve">      </w:t>
      </w:r>
      <w:r>
        <w:rPr>
          <w:rFonts w:hint="eastAsia" w:ascii="宋体" w:hAnsi="宋体" w:cs="宋体"/>
          <w:color w:val="auto"/>
          <w:sz w:val="24"/>
          <w:highlight w:val="none"/>
          <w:u w:val="none"/>
          <w:lang w:val="en-US" w:eastAsia="zh-CN"/>
        </w:rPr>
        <w:t>个</w:t>
      </w:r>
      <w:r>
        <w:rPr>
          <w:rFonts w:hint="eastAsia" w:ascii="宋体" w:hAnsi="宋体" w:cs="宋体"/>
          <w:color w:val="auto"/>
          <w:sz w:val="24"/>
          <w:highlight w:val="none"/>
        </w:rPr>
        <w:t>月，缺陷责任阶段</w:t>
      </w:r>
      <w:r>
        <w:rPr>
          <w:rFonts w:ascii="宋体" w:hAnsi="宋体" w:cs="宋体"/>
          <w:color w:val="auto"/>
          <w:sz w:val="24"/>
          <w:highlight w:val="none"/>
          <w:u w:val="single"/>
        </w:rPr>
        <w:t xml:space="preserve">     </w:t>
      </w:r>
      <w:r>
        <w:rPr>
          <w:rFonts w:hint="eastAsia" w:ascii="宋体" w:hAnsi="宋体" w:cs="宋体"/>
          <w:color w:val="auto"/>
          <w:sz w:val="24"/>
          <w:highlight w:val="none"/>
          <w:u w:val="none"/>
          <w:lang w:val="en-US" w:eastAsia="zh-CN"/>
        </w:rPr>
        <w:t>个</w:t>
      </w:r>
      <w:r>
        <w:rPr>
          <w:rFonts w:hint="eastAsia" w:ascii="宋体" w:hAnsi="宋体" w:cs="宋体"/>
          <w:color w:val="auto"/>
          <w:sz w:val="24"/>
          <w:highlight w:val="none"/>
        </w:rPr>
        <w:t>月。</w:t>
      </w:r>
    </w:p>
    <w:p w14:paraId="447023A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9.本协议书在</w:t>
      </w:r>
      <w:r>
        <w:rPr>
          <w:rFonts w:hint="eastAsia" w:ascii="宋体" w:hAnsi="宋体" w:cs="宋体"/>
          <w:color w:val="auto"/>
          <w:sz w:val="24"/>
          <w:highlight w:val="none"/>
        </w:rPr>
        <w:t>试验检测机构提供履约保证金后，由双方法定代表人或其委托代理人签署并加盖单位章后生效。全部工程完工后经交工验收合格、缺陷责任期满签发缺陷责任终止证书后失效。</w:t>
      </w:r>
    </w:p>
    <w:p w14:paraId="682F32E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10.本协议书正本二份、副本</w:t>
      </w:r>
      <w:r>
        <w:rPr>
          <w:rFonts w:ascii="宋体" w:hAnsi="宋体" w:cs="宋体"/>
          <w:color w:val="auto"/>
          <w:sz w:val="24"/>
          <w:highlight w:val="none"/>
          <w:u w:val="single"/>
        </w:rPr>
        <w:t xml:space="preserve">   </w:t>
      </w:r>
      <w:r>
        <w:rPr>
          <w:rFonts w:hint="eastAsia" w:ascii="宋体" w:hAnsi="宋体" w:cs="宋体"/>
          <w:color w:val="auto"/>
          <w:sz w:val="24"/>
          <w:highlight w:val="none"/>
        </w:rPr>
        <w:t>份，合同双方各执正本一份，副本</w:t>
      </w:r>
      <w:r>
        <w:rPr>
          <w:rFonts w:ascii="宋体" w:hAnsi="宋体" w:cs="宋体"/>
          <w:color w:val="auto"/>
          <w:sz w:val="24"/>
          <w:highlight w:val="none"/>
          <w:u w:val="single"/>
        </w:rPr>
        <w:t xml:space="preserve">  </w:t>
      </w:r>
      <w:r>
        <w:rPr>
          <w:rFonts w:hint="eastAsia" w:ascii="宋体" w:hAnsi="宋体" w:cs="宋体"/>
          <w:color w:val="auto"/>
          <w:sz w:val="24"/>
          <w:highlight w:val="none"/>
        </w:rPr>
        <w:t>份，当正本与副本的内容不一致时，以正本为准。</w:t>
      </w:r>
    </w:p>
    <w:p w14:paraId="02D7DF67">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11.合同未尽事宜，双方另行签订补充协议。补充协议是合同的组成部分。</w:t>
      </w:r>
    </w:p>
    <w:p w14:paraId="68A2AB70">
      <w:pPr>
        <w:spacing w:line="360" w:lineRule="auto"/>
        <w:ind w:firstLine="480" w:firstLineChars="200"/>
        <w:rPr>
          <w:rFonts w:ascii="宋体" w:hAnsi="宋体" w:cs="宋体"/>
          <w:color w:val="auto"/>
          <w:sz w:val="24"/>
          <w:highlight w:val="none"/>
        </w:rPr>
      </w:pPr>
    </w:p>
    <w:p w14:paraId="6CFA66DD">
      <w:pPr>
        <w:spacing w:line="360" w:lineRule="auto"/>
        <w:ind w:firstLine="480" w:firstLineChars="200"/>
        <w:rPr>
          <w:rFonts w:ascii="宋体" w:hAnsi="宋体" w:cs="宋体"/>
          <w:color w:val="auto"/>
          <w:sz w:val="24"/>
          <w:highlight w:val="none"/>
        </w:rPr>
      </w:pPr>
    </w:p>
    <w:p w14:paraId="128F3C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委托人：</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（盖单位电子印章</w:t>
      </w:r>
      <w:r>
        <w:rPr>
          <w:rFonts w:ascii="宋体" w:hAnsi="宋体" w:cs="宋体"/>
          <w:color w:val="auto"/>
          <w:sz w:val="24"/>
          <w:highlight w:val="none"/>
        </w:rPr>
        <w:t>/单位章）</w:t>
      </w:r>
      <w:r>
        <w:rPr>
          <w:rFonts w:ascii="宋体" w:hAnsi="宋体" w:cs="宋体"/>
          <w:color w:val="auto"/>
          <w:sz w:val="24"/>
          <w:highlight w:val="none"/>
        </w:rPr>
        <w:tab/>
      </w:r>
    </w:p>
    <w:p w14:paraId="790893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w:t>
      </w:r>
    </w:p>
    <w:p w14:paraId="526605B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或其委托代理人：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color w:val="auto"/>
          <w:sz w:val="24"/>
          <w:highlight w:val="none"/>
        </w:rPr>
        <w:t>个人电子签名章或个人电子印</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签字</w:t>
      </w:r>
      <w:r>
        <w:rPr>
          <w:rFonts w:hint="eastAsia" w:ascii="宋体" w:hAnsi="宋体" w:cs="宋体"/>
          <w:color w:val="auto"/>
          <w:sz w:val="24"/>
          <w:highlight w:val="none"/>
        </w:rPr>
        <w:t>）</w:t>
      </w:r>
    </w:p>
    <w:p w14:paraId="6F803071">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ab/>
      </w:r>
      <w:r>
        <w:rPr>
          <w:rFonts w:ascii="宋体" w:hAnsi="宋体" w:cs="宋体"/>
          <w:color w:val="auto"/>
          <w:sz w:val="24"/>
          <w:highlight w:val="none"/>
        </w:rPr>
        <w:t xml:space="preserve"> </w:t>
      </w:r>
      <w:r>
        <w:rPr>
          <w:rFonts w:ascii="宋体" w:hAnsi="宋体" w:cs="宋体"/>
          <w:color w:val="auto"/>
          <w:sz w:val="24"/>
          <w:highlight w:val="none"/>
        </w:rPr>
        <w:tab/>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ascii="宋体" w:hAnsi="宋体" w:cs="宋体"/>
          <w:color w:val="auto"/>
          <w:sz w:val="24"/>
          <w:highlight w:val="none"/>
          <w:u w:val="single"/>
        </w:rPr>
        <w:t xml:space="preserve">      </w:t>
      </w:r>
      <w:r>
        <w:rPr>
          <w:rFonts w:ascii="宋体" w:hAnsi="宋体" w:cs="宋体"/>
          <w:color w:val="auto"/>
          <w:sz w:val="24"/>
          <w:highlight w:val="none"/>
        </w:rPr>
        <w:t>年</w:t>
      </w:r>
      <w:r>
        <w:rPr>
          <w:rFonts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ascii="宋体" w:hAnsi="宋体" w:cs="宋体"/>
          <w:color w:val="auto"/>
          <w:sz w:val="24"/>
          <w:highlight w:val="none"/>
        </w:rPr>
        <w:tab/>
      </w:r>
      <w:r>
        <w:rPr>
          <w:rFonts w:ascii="宋体" w:hAnsi="宋体" w:cs="宋体"/>
          <w:color w:val="auto"/>
          <w:sz w:val="24"/>
          <w:highlight w:val="none"/>
        </w:rPr>
        <w:t xml:space="preserve"> </w:t>
      </w:r>
      <w:r>
        <w:rPr>
          <w:rFonts w:ascii="宋体" w:hAnsi="宋体" w:cs="宋体"/>
          <w:color w:val="auto"/>
          <w:sz w:val="24"/>
          <w:highlight w:val="none"/>
        </w:rPr>
        <w:tab/>
      </w:r>
      <w:r>
        <w:rPr>
          <w:rFonts w:ascii="宋体" w:hAnsi="宋体" w:cs="宋体"/>
          <w:color w:val="auto"/>
          <w:sz w:val="24"/>
          <w:highlight w:val="none"/>
        </w:rPr>
        <w:t xml:space="preserve">       </w:t>
      </w:r>
    </w:p>
    <w:p w14:paraId="73657A4F">
      <w:pPr>
        <w:spacing w:line="360" w:lineRule="auto"/>
        <w:ind w:firstLine="480" w:firstLineChars="200"/>
        <w:rPr>
          <w:rFonts w:ascii="宋体" w:hAnsi="宋体" w:cs="宋体"/>
          <w:color w:val="auto"/>
          <w:sz w:val="24"/>
          <w:highlight w:val="none"/>
        </w:rPr>
      </w:pPr>
    </w:p>
    <w:p w14:paraId="467822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试验检测机构：</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（盖单位电子印章</w:t>
      </w:r>
      <w:r>
        <w:rPr>
          <w:rFonts w:ascii="宋体" w:hAnsi="宋体" w:cs="宋体"/>
          <w:color w:val="auto"/>
          <w:sz w:val="24"/>
          <w:highlight w:val="none"/>
        </w:rPr>
        <w:t xml:space="preserve">/盖单位章） </w:t>
      </w:r>
    </w:p>
    <w:p w14:paraId="2EAE22F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法定代表人</w:t>
      </w:r>
    </w:p>
    <w:p w14:paraId="07A5A4E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或其委托代理人：</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color w:val="auto"/>
          <w:sz w:val="24"/>
          <w:highlight w:val="none"/>
        </w:rPr>
        <w:t>个人电子签名章或个人电子印</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w:t>
      </w:r>
      <w:r>
        <w:rPr>
          <w:rFonts w:hint="eastAsia" w:cs="宋体" w:asciiTheme="minorEastAsia" w:hAnsiTheme="minorEastAsia" w:eastAsiaTheme="minorEastAsia"/>
          <w:color w:val="auto"/>
          <w:sz w:val="24"/>
          <w:highlight w:val="none"/>
        </w:rPr>
        <w:t>签字</w:t>
      </w:r>
      <w:r>
        <w:rPr>
          <w:rFonts w:hint="eastAsia" w:ascii="宋体" w:hAnsi="宋体" w:cs="宋体"/>
          <w:color w:val="auto"/>
          <w:sz w:val="24"/>
          <w:highlight w:val="none"/>
        </w:rPr>
        <w:t>）</w:t>
      </w:r>
    </w:p>
    <w:p w14:paraId="4DF57BFD">
      <w:pPr>
        <w:spacing w:line="360" w:lineRule="auto"/>
        <w:ind w:firstLine="5160" w:firstLineChars="2150"/>
        <w:rPr>
          <w:rFonts w:ascii="宋体" w:hAnsi="宋体" w:cs="宋体"/>
          <w:color w:val="auto"/>
          <w:sz w:val="24"/>
          <w:highlight w:val="none"/>
        </w:rPr>
      </w:pP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ab/>
      </w:r>
      <w:r>
        <w:rPr>
          <w:rFonts w:hint="eastAsia" w:ascii="宋体" w:hAnsi="宋体" w:cs="宋体"/>
          <w:color w:val="auto"/>
          <w:sz w:val="24"/>
          <w:highlight w:val="none"/>
        </w:rPr>
        <w:t>日</w:t>
      </w:r>
    </w:p>
    <w:p w14:paraId="58DA8B12">
      <w:pPr>
        <w:widowControl/>
        <w:jc w:val="left"/>
        <w:rPr>
          <w:rFonts w:ascii="黑体" w:hAnsi="黑体" w:eastAsia="黑体" w:cs="黑体"/>
          <w:b/>
          <w:bCs/>
          <w:color w:val="auto"/>
          <w:sz w:val="30"/>
          <w:szCs w:val="30"/>
          <w:highlight w:val="none"/>
        </w:rPr>
      </w:pPr>
      <w:r>
        <w:rPr>
          <w:rFonts w:ascii="黑体" w:hAnsi="黑体" w:eastAsia="黑体" w:cs="黑体"/>
          <w:b/>
          <w:bCs/>
          <w:color w:val="auto"/>
          <w:sz w:val="30"/>
          <w:szCs w:val="30"/>
          <w:highlight w:val="none"/>
        </w:rPr>
        <w:br w:type="page"/>
      </w:r>
    </w:p>
    <w:p w14:paraId="0F55A8BF">
      <w:pPr>
        <w:spacing w:line="360" w:lineRule="auto"/>
        <w:outlineLvl w:val="2"/>
        <w:rPr>
          <w:rStyle w:val="111"/>
          <w:rFonts w:ascii="Times New Roman" w:hAnsi="Times New Roman"/>
          <w:b w:val="0"/>
          <w:bCs/>
        </w:rPr>
      </w:pPr>
      <w:r>
        <w:rPr>
          <w:rStyle w:val="111"/>
          <w:rFonts w:ascii="Times New Roman" w:hAnsi="Times New Roman"/>
          <w:b w:val="0"/>
          <w:bCs/>
        </w:rPr>
        <w:t>附件二 廉政合同</w:t>
      </w:r>
    </w:p>
    <w:p w14:paraId="1A460EBA">
      <w:pPr>
        <w:pStyle w:val="276"/>
        <w:spacing w:line="360" w:lineRule="auto"/>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廉</w:t>
      </w:r>
      <w:r>
        <w:rPr>
          <w:rFonts w:ascii="黑体" w:hAnsi="黑体" w:eastAsia="黑体" w:cs="宋体"/>
          <w:color w:val="auto"/>
          <w:sz w:val="28"/>
          <w:szCs w:val="28"/>
          <w:highlight w:val="none"/>
        </w:rPr>
        <w:t xml:space="preserve"> </w:t>
      </w:r>
      <w:r>
        <w:rPr>
          <w:rFonts w:hint="eastAsia" w:ascii="黑体" w:hAnsi="黑体" w:eastAsia="黑体" w:cs="宋体"/>
          <w:color w:val="auto"/>
          <w:sz w:val="28"/>
          <w:szCs w:val="28"/>
          <w:highlight w:val="none"/>
        </w:rPr>
        <w:t>政</w:t>
      </w:r>
      <w:r>
        <w:rPr>
          <w:rFonts w:ascii="黑体" w:hAnsi="黑体" w:eastAsia="黑体" w:cs="宋体"/>
          <w:color w:val="auto"/>
          <w:sz w:val="28"/>
          <w:szCs w:val="28"/>
          <w:highlight w:val="none"/>
        </w:rPr>
        <w:t xml:space="preserve"> </w:t>
      </w:r>
      <w:r>
        <w:rPr>
          <w:rFonts w:hint="eastAsia" w:ascii="黑体" w:hAnsi="黑体" w:eastAsia="黑体" w:cs="宋体"/>
          <w:color w:val="auto"/>
          <w:sz w:val="28"/>
          <w:szCs w:val="28"/>
          <w:highlight w:val="none"/>
        </w:rPr>
        <w:t>合</w:t>
      </w:r>
      <w:r>
        <w:rPr>
          <w:rFonts w:ascii="黑体" w:hAnsi="黑体" w:eastAsia="黑体" w:cs="宋体"/>
          <w:color w:val="auto"/>
          <w:sz w:val="28"/>
          <w:szCs w:val="28"/>
          <w:highlight w:val="none"/>
        </w:rPr>
        <w:t xml:space="preserve"> </w:t>
      </w:r>
      <w:r>
        <w:rPr>
          <w:rFonts w:hint="eastAsia" w:ascii="黑体" w:hAnsi="黑体" w:eastAsia="黑体" w:cs="宋体"/>
          <w:color w:val="auto"/>
          <w:sz w:val="28"/>
          <w:szCs w:val="28"/>
          <w:highlight w:val="none"/>
        </w:rPr>
        <w:t>同</w:t>
      </w:r>
    </w:p>
    <w:p w14:paraId="7E75D01A">
      <w:pPr>
        <w:spacing w:line="360" w:lineRule="auto"/>
        <w:ind w:firstLine="480" w:firstLineChars="200"/>
        <w:jc w:val="left"/>
        <w:rPr>
          <w:rFonts w:ascii="宋体" w:hAnsi="宋体" w:cs="宋体"/>
          <w:color w:val="auto"/>
          <w:sz w:val="24"/>
          <w:highlight w:val="none"/>
        </w:rPr>
      </w:pPr>
    </w:p>
    <w:p w14:paraId="11F5FD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根据《关于在交通基础设施建设中加强廉政建设的若干意见》以及有关工程建设、廉政建设的规定，为做好工程建设中的党风廉政建设，保证工程建设高效优质，</w:t>
      </w:r>
      <w:r>
        <w:rPr>
          <w:rFonts w:ascii="宋体" w:hAnsi="宋体" w:cs="宋体"/>
          <w:color w:val="auto"/>
          <w:sz w:val="24"/>
          <w:highlight w:val="none"/>
        </w:rPr>
        <w:t xml:space="preserve"> </w:t>
      </w:r>
      <w:r>
        <w:rPr>
          <w:rFonts w:hint="eastAsia" w:ascii="宋体" w:hAnsi="宋体" w:cs="宋体"/>
          <w:color w:val="auto"/>
          <w:sz w:val="24"/>
          <w:highlight w:val="none"/>
        </w:rPr>
        <w:t>保证建设资金的安全和有效使用以及投资效益，</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（项目名称）的项目法人</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（项目法人名称，</w:t>
      </w:r>
      <w:bookmarkStart w:id="662" w:name="_Toc523921848"/>
      <w:r>
        <w:rPr>
          <w:rFonts w:hint="eastAsia" w:ascii="宋体" w:hAnsi="宋体" w:cs="宋体"/>
          <w:color w:val="auto"/>
          <w:sz w:val="24"/>
          <w:highlight w:val="none"/>
        </w:rPr>
        <w:t>以下简称“委托人”）</w:t>
      </w:r>
      <w:bookmarkEnd w:id="662"/>
      <w:r>
        <w:rPr>
          <w:rFonts w:hint="eastAsia" w:ascii="宋体" w:hAnsi="宋体" w:cs="宋体"/>
          <w:color w:val="auto"/>
          <w:sz w:val="24"/>
          <w:highlight w:val="none"/>
        </w:rPr>
        <w:t>与</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（项目名称）</w:t>
      </w:r>
      <w:r>
        <w:rPr>
          <w:rFonts w:hint="eastAsia" w:ascii="宋体" w:hAnsi="宋体"/>
          <w:color w:val="auto"/>
          <w:sz w:val="24"/>
          <w:highlight w:val="none"/>
        </w:rPr>
        <w:t>招标</w:t>
      </w:r>
      <w:r>
        <w:rPr>
          <w:rFonts w:hint="eastAsia" w:ascii="宋体" w:hAnsi="宋体" w:cs="宋体"/>
          <w:color w:val="auto"/>
          <w:sz w:val="24"/>
          <w:highlight w:val="none"/>
        </w:rPr>
        <w:t>第</w:t>
      </w:r>
      <w:r>
        <w:rPr>
          <w:rFonts w:ascii="宋体" w:hAnsi="宋体" w:cs="宋体"/>
          <w:color w:val="auto"/>
          <w:sz w:val="24"/>
          <w:highlight w:val="none"/>
          <w:u w:val="single"/>
        </w:rPr>
        <w:t xml:space="preserve">    </w:t>
      </w:r>
      <w:r>
        <w:rPr>
          <w:rFonts w:hint="eastAsia" w:ascii="宋体" w:hAnsi="宋体" w:cs="宋体"/>
          <w:color w:val="auto"/>
          <w:sz w:val="24"/>
          <w:highlight w:val="none"/>
        </w:rPr>
        <w:t>标段的</w:t>
      </w:r>
      <w:r>
        <w:rPr>
          <w:rFonts w:hint="eastAsia" w:ascii="宋体" w:hAnsi="宋体" w:cs="宋体"/>
          <w:color w:val="auto"/>
          <w:sz w:val="24"/>
          <w:highlight w:val="none"/>
          <w:lang w:val="en-US" w:eastAsia="zh-CN"/>
        </w:rPr>
        <w:t>监理试验室单位</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（试验检测机构名称，以下简称“试验检测机构”），特订立如下合同。</w:t>
      </w:r>
    </w:p>
    <w:p w14:paraId="3EFA044B">
      <w:pPr>
        <w:spacing w:line="360" w:lineRule="auto"/>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1.委托人和试验检测机构双方的权利和义务</w:t>
      </w:r>
    </w:p>
    <w:p w14:paraId="7AF32D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1）严格遵守党的政策规定和国家有关法律法规及交通运输部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四川省交通运输厅等</w:t>
      </w:r>
      <w:r>
        <w:rPr>
          <w:rFonts w:ascii="宋体" w:hAnsi="宋体" w:cs="宋体"/>
          <w:color w:val="auto"/>
          <w:sz w:val="24"/>
          <w:highlight w:val="none"/>
        </w:rPr>
        <w:t>的有关规定。</w:t>
      </w:r>
    </w:p>
    <w:p w14:paraId="168E8FA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2）严格执行</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（项目名称）招标第</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标段合同文件，自觉按合同办事。</w:t>
      </w:r>
    </w:p>
    <w:p w14:paraId="40891E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3）双方的业务活动坚持公开、公正、诚信、透明的原则</w:t>
      </w:r>
      <w:r>
        <w:rPr>
          <w:rFonts w:hint="eastAsia" w:ascii="宋体" w:hAnsi="宋体" w:cs="宋体"/>
          <w:color w:val="auto"/>
          <w:sz w:val="24"/>
          <w:highlight w:val="none"/>
        </w:rPr>
        <w:t>（法律认定的商业秘密和合同文件另有规定除外），不得损害国家和集体利益，不得违反工程建设管理规章制度。</w:t>
      </w:r>
    </w:p>
    <w:p w14:paraId="1E4648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4）建立健全廉政制度，开展廉政教育，设立廉政告示牌，公布举报电话，监督并认真查处违法违纪行为。</w:t>
      </w:r>
    </w:p>
    <w:p w14:paraId="752A3F2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5）发现对方在业务活动中有违反廉政规定的行为，有及时提醒对方纠正的权利和义务。</w:t>
      </w:r>
    </w:p>
    <w:p w14:paraId="74C6E61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6）发现对方严重违反本合同义务条款的行为，有向其上级有关部门举报、建议给予处理并要求告知处理结果的权利。</w:t>
      </w:r>
    </w:p>
    <w:p w14:paraId="576092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2.委托人的义务</w:t>
      </w:r>
    </w:p>
    <w:p w14:paraId="67407B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1）委托人及其工作人员不得索要或接受</w:t>
      </w:r>
      <w:r>
        <w:rPr>
          <w:rFonts w:hint="eastAsia" w:ascii="宋体" w:hAnsi="宋体" w:cs="宋体"/>
          <w:color w:val="auto"/>
          <w:sz w:val="24"/>
          <w:highlight w:val="none"/>
        </w:rPr>
        <w:t>试验检测机构的礼金、有价证券和贵重物品，不得让试验检测机构报销任何应由委托人或委托人工作人员个人支付的费用等。</w:t>
      </w:r>
    </w:p>
    <w:p w14:paraId="3ADCD63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2）委托人工作人员不得参加</w:t>
      </w:r>
      <w:r>
        <w:rPr>
          <w:rFonts w:hint="eastAsia" w:ascii="宋体" w:hAnsi="宋体" w:cs="宋体"/>
          <w:color w:val="auto"/>
          <w:sz w:val="24"/>
          <w:highlight w:val="none"/>
        </w:rPr>
        <w:t>试验检测机构安排的超标准宴请和娱乐活动；不得接受试验检测机构提供的</w:t>
      </w:r>
      <w:r>
        <w:rPr>
          <w:rFonts w:hint="eastAsia" w:ascii="宋体" w:hAnsi="宋体" w:cs="宋体"/>
          <w:color w:val="auto"/>
          <w:sz w:val="24"/>
          <w:highlight w:val="none"/>
          <w:lang w:eastAsia="zh-CN"/>
        </w:rPr>
        <w:t>通信</w:t>
      </w:r>
      <w:r>
        <w:rPr>
          <w:rFonts w:hint="eastAsia" w:ascii="宋体" w:hAnsi="宋体" w:cs="宋体"/>
          <w:color w:val="auto"/>
          <w:sz w:val="24"/>
          <w:highlight w:val="none"/>
        </w:rPr>
        <w:t>工具、交通工具和高档办公用品等。</w:t>
      </w:r>
    </w:p>
    <w:p w14:paraId="67FA17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3）委托人及其工作人员不得要求或者接受</w:t>
      </w:r>
      <w:r>
        <w:rPr>
          <w:rFonts w:hint="eastAsia" w:ascii="宋体" w:hAnsi="宋体" w:cs="宋体"/>
          <w:color w:val="auto"/>
          <w:sz w:val="24"/>
          <w:highlight w:val="none"/>
        </w:rPr>
        <w:t>试验检测机构为其住房装修、婚丧嫁娶活动、配偶子女的工作安排以及出国出境、旅游等提供方便等。</w:t>
      </w:r>
    </w:p>
    <w:p w14:paraId="2D9D3D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4）委托人工作人员及其配偶、子女不得从事与委托人工程有关的材料设备供应、工程分包、劳务等经济活动等。</w:t>
      </w:r>
    </w:p>
    <w:p w14:paraId="178120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5）委托人及其工作人员不得以任何理由向</w:t>
      </w:r>
      <w:r>
        <w:rPr>
          <w:rFonts w:hint="eastAsia" w:ascii="宋体" w:hAnsi="宋体" w:cs="宋体"/>
          <w:color w:val="auto"/>
          <w:sz w:val="24"/>
          <w:highlight w:val="none"/>
        </w:rPr>
        <w:t>试验检测机构推荐分包单位或推销材料，不得要求试验检测机构购买合同规</w:t>
      </w:r>
      <w:r>
        <w:rPr>
          <w:rFonts w:hint="eastAsia" w:ascii="宋体" w:hAnsi="宋体" w:cs="宋体"/>
          <w:color w:val="auto"/>
          <w:sz w:val="24"/>
          <w:highlight w:val="none"/>
          <w:lang w:eastAsia="zh-CN"/>
        </w:rPr>
        <w:t>定以</w:t>
      </w:r>
      <w:r>
        <w:rPr>
          <w:rFonts w:hint="eastAsia" w:ascii="宋体" w:hAnsi="宋体" w:cs="宋体"/>
          <w:color w:val="auto"/>
          <w:sz w:val="24"/>
          <w:highlight w:val="none"/>
        </w:rPr>
        <w:t>外的材料和设备。</w:t>
      </w:r>
    </w:p>
    <w:p w14:paraId="51E8C7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6）委托人工作人员要秉公办事，不准营私舞弊，不准利用职权从事各种个人有偿中介活动和安排个人</w:t>
      </w:r>
      <w:r>
        <w:rPr>
          <w:rFonts w:hint="eastAsia" w:ascii="宋体" w:hAnsi="宋体" w:cs="宋体"/>
          <w:color w:val="auto"/>
          <w:sz w:val="24"/>
          <w:highlight w:val="none"/>
        </w:rPr>
        <w:t>监理试验室队伍。</w:t>
      </w:r>
    </w:p>
    <w:p w14:paraId="686414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3.试验检测机构的义务</w:t>
      </w:r>
    </w:p>
    <w:p w14:paraId="6537694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试验检测机构不得以任何理由向委托人及其工作人员行贿或馈赠礼金、有价证券、贵重礼品。</w:t>
      </w:r>
    </w:p>
    <w:p w14:paraId="63D6775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试验检测机构不得以任何名义为委托人及其工作人员报销应由委托人单位或个人支付的任何费用。</w:t>
      </w:r>
    </w:p>
    <w:p w14:paraId="270F78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试验检测机构不得以任何理由安排委托人工作人员参加超标准宴请及娱乐活动。</w:t>
      </w:r>
    </w:p>
    <w:p w14:paraId="2193CE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试验检测机构不得为委托人单位和个人购置或提供通信工具、交通工具和高档办公用品等。</w:t>
      </w:r>
    </w:p>
    <w:p w14:paraId="1644217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4.违约责任</w:t>
      </w:r>
    </w:p>
    <w:p w14:paraId="34C1E48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1）委托人及其工作人员违反本合同第1、2</w:t>
      </w:r>
      <w:r>
        <w:rPr>
          <w:rFonts w:hint="eastAsia" w:ascii="宋体" w:hAnsi="宋体" w:cs="宋体"/>
          <w:color w:val="auto"/>
          <w:sz w:val="24"/>
          <w:highlight w:val="none"/>
        </w:rPr>
        <w:t>条，按管理权限，依据有关规定给予党纪、政纪或组织处理；涉嫌犯罪的，移交司法机关追究刑事责任；给试验检测机构造成经济损失的，应予以赔偿。</w:t>
      </w:r>
    </w:p>
    <w:p w14:paraId="161FEE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试验检测机构及其工作人员违反本合同第</w:t>
      </w:r>
      <w:r>
        <w:rPr>
          <w:rFonts w:ascii="宋体" w:hAnsi="宋体" w:cs="宋体"/>
          <w:color w:val="auto"/>
          <w:sz w:val="24"/>
          <w:highlight w:val="none"/>
        </w:rPr>
        <w:t>1、3</w:t>
      </w:r>
      <w:r>
        <w:rPr>
          <w:rFonts w:hint="eastAsia" w:ascii="宋体" w:hAnsi="宋体" w:cs="宋体"/>
          <w:color w:val="auto"/>
          <w:sz w:val="24"/>
          <w:highlight w:val="none"/>
        </w:rPr>
        <w:t>条，按管理权限，依据有关规定给予党纪、政纪或组织处理；给委托人单位造成经济损失的，应予以赔偿；情节严重的，委托人建议交通运输主管部门给予试验检测机构一至三年内不得进入其主管的公路建设市场的处罚。</w:t>
      </w:r>
    </w:p>
    <w:p w14:paraId="784CB6B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5.双方约定：本合同由双方或双方上级单位的纪检监察部门负责监督执行。由委托人或委托人上级单位的纪检监察部门约请</w:t>
      </w:r>
      <w:r>
        <w:rPr>
          <w:rFonts w:hint="eastAsia" w:ascii="宋体" w:hAnsi="宋体" w:cs="宋体"/>
          <w:color w:val="auto"/>
          <w:sz w:val="24"/>
          <w:highlight w:val="none"/>
        </w:rPr>
        <w:t>试验检测机构或试验检测机构上级单位纪检监察部门对本合同执行情况进行检查，提出在本合同规定范围内的裁定意见。</w:t>
      </w:r>
    </w:p>
    <w:p w14:paraId="15B37C7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6.本合同有效期为委托人和</w:t>
      </w:r>
      <w:r>
        <w:rPr>
          <w:rFonts w:hint="eastAsia" w:ascii="宋体" w:hAnsi="宋体" w:cs="宋体"/>
          <w:color w:val="auto"/>
          <w:sz w:val="24"/>
          <w:highlight w:val="none"/>
        </w:rPr>
        <w:t>试验检测机构签署之日起至该工程项目竣工验收后止。</w:t>
      </w:r>
    </w:p>
    <w:p w14:paraId="15DF024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7.本合同作为</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（项目名称）</w:t>
      </w:r>
      <w:r>
        <w:rPr>
          <w:rFonts w:hint="eastAsia" w:ascii="宋体" w:hAnsi="宋体"/>
          <w:color w:val="auto"/>
          <w:sz w:val="24"/>
          <w:highlight w:val="none"/>
        </w:rPr>
        <w:t>招标</w:t>
      </w:r>
      <w:r>
        <w:rPr>
          <w:rFonts w:hint="eastAsia" w:ascii="宋体" w:hAnsi="宋体" w:cs="宋体"/>
          <w:color w:val="auto"/>
          <w:sz w:val="24"/>
          <w:highlight w:val="none"/>
        </w:rPr>
        <w:t>第</w:t>
      </w:r>
      <w:r>
        <w:rPr>
          <w:rFonts w:ascii="宋体" w:hAnsi="宋体" w:cs="宋体"/>
          <w:color w:val="auto"/>
          <w:sz w:val="24"/>
          <w:highlight w:val="none"/>
          <w:u w:val="single"/>
        </w:rPr>
        <w:t xml:space="preserve">   </w:t>
      </w:r>
      <w:r>
        <w:rPr>
          <w:rFonts w:hint="eastAsia" w:ascii="宋体" w:hAnsi="宋体" w:cs="宋体"/>
          <w:color w:val="auto"/>
          <w:sz w:val="24"/>
          <w:highlight w:val="none"/>
        </w:rPr>
        <w:t>标段合同的附件，与工程监理试验室合同具有同等的法律效力，经合同双方签署后立即生效。</w:t>
      </w:r>
    </w:p>
    <w:p w14:paraId="12B5BFD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8.本合同一式四份，由委托人和</w:t>
      </w:r>
      <w:r>
        <w:rPr>
          <w:rFonts w:hint="eastAsia" w:ascii="宋体" w:hAnsi="宋体" w:cs="宋体"/>
          <w:color w:val="auto"/>
          <w:sz w:val="24"/>
          <w:highlight w:val="none"/>
        </w:rPr>
        <w:t>试验检测机构各执一份，送交委托人和试验检测机构的监督单位各一份。</w:t>
      </w:r>
    </w:p>
    <w:p w14:paraId="1B7220CF">
      <w:pPr>
        <w:spacing w:line="360" w:lineRule="auto"/>
        <w:ind w:firstLine="480" w:firstLineChars="200"/>
        <w:rPr>
          <w:rFonts w:ascii="宋体" w:hAnsi="宋体" w:cs="宋体"/>
          <w:color w:val="auto"/>
          <w:sz w:val="24"/>
          <w:highlight w:val="none"/>
        </w:rPr>
      </w:pPr>
    </w:p>
    <w:p w14:paraId="1B57EBE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委托人：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（盖单位章）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试验检测机构：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rPr>
        <w:tab/>
      </w:r>
      <w:r>
        <w:rPr>
          <w:rFonts w:hint="eastAsia" w:ascii="宋体" w:hAnsi="宋体" w:cs="宋体"/>
          <w:color w:val="auto"/>
          <w:sz w:val="24"/>
          <w:highlight w:val="none"/>
        </w:rPr>
        <w:t>（盖单位章）</w:t>
      </w:r>
      <w:r>
        <w:rPr>
          <w:rFonts w:ascii="宋体" w:hAnsi="宋体" w:cs="宋体"/>
          <w:color w:val="auto"/>
          <w:sz w:val="24"/>
          <w:highlight w:val="none"/>
        </w:rPr>
        <w:t xml:space="preserve"> </w:t>
      </w:r>
    </w:p>
    <w:p w14:paraId="7A85156C">
      <w:pPr>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法定代表人或其委托代理人：</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（签字）</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法定代表人或其委托代理人：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（签字）</w:t>
      </w:r>
    </w:p>
    <w:p w14:paraId="4532A26D">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w:t>
      </w:r>
      <w:r>
        <w:rPr>
          <w:rFonts w:ascii="宋体" w:hAnsi="宋体" w:cs="宋体"/>
          <w:color w:val="auto"/>
          <w:sz w:val="24"/>
          <w:highlight w:val="none"/>
        </w:rPr>
        <w:tab/>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日</w:t>
      </w:r>
      <w:r>
        <w:rPr>
          <w:rFonts w:ascii="宋体" w:hAnsi="宋体" w:cs="宋体"/>
          <w:color w:val="auto"/>
          <w:sz w:val="24"/>
          <w:highlight w:val="none"/>
        </w:rPr>
        <w:tab/>
      </w:r>
      <w:r>
        <w:rPr>
          <w:rFonts w:ascii="宋体" w:hAnsi="宋体" w:cs="宋体"/>
          <w:color w:val="auto"/>
          <w:sz w:val="24"/>
          <w:highlight w:val="none"/>
        </w:rPr>
        <w:t xml:space="preserve"> </w:t>
      </w:r>
      <w:r>
        <w:rPr>
          <w:rFonts w:ascii="宋体" w:hAnsi="宋体" w:cs="宋体"/>
          <w:color w:val="auto"/>
          <w:sz w:val="24"/>
          <w:highlight w:val="none"/>
        </w:rPr>
        <w:tab/>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月</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14:paraId="4F500926">
      <w:pPr>
        <w:spacing w:line="360" w:lineRule="auto"/>
        <w:rPr>
          <w:rFonts w:ascii="宋体" w:hAnsi="宋体" w:cs="宋体"/>
          <w:color w:val="auto"/>
          <w:sz w:val="24"/>
          <w:highlight w:val="none"/>
        </w:rPr>
      </w:pPr>
      <w:r>
        <w:rPr>
          <w:rFonts w:hint="eastAsia" w:ascii="宋体" w:hAnsi="宋体" w:cs="宋体"/>
          <w:color w:val="auto"/>
          <w:sz w:val="24"/>
          <w:highlight w:val="none"/>
        </w:rPr>
        <w:t>委托人监督单位：</w:t>
      </w:r>
      <w:r>
        <w:rPr>
          <w:rFonts w:hint="eastAsia" w:ascii="宋体" w:hAnsi="宋体" w:cs="宋体"/>
          <w:color w:val="auto"/>
          <w:sz w:val="24"/>
          <w:highlight w:val="none"/>
          <w:u w:val="single"/>
        </w:rPr>
        <w:t>（全称）（盖单位章）</w:t>
      </w:r>
      <w:r>
        <w:rPr>
          <w:rFonts w:hint="eastAsia" w:ascii="宋体" w:hAnsi="宋体" w:cs="宋体"/>
          <w:color w:val="auto"/>
          <w:sz w:val="24"/>
          <w:highlight w:val="none"/>
          <w:u w:val="none"/>
          <w:lang w:val="en-US" w:eastAsia="zh-CN"/>
        </w:rPr>
        <w:t xml:space="preserve"> </w:t>
      </w:r>
      <w:r>
        <w:rPr>
          <w:rFonts w:hint="eastAsia" w:ascii="宋体" w:hAnsi="宋体" w:cs="宋体"/>
          <w:color w:val="auto"/>
          <w:spacing w:val="-20"/>
          <w:sz w:val="24"/>
          <w:highlight w:val="none"/>
          <w:u w:val="none"/>
          <w:lang w:val="en-US" w:eastAsia="zh-CN"/>
        </w:rPr>
        <w:t>试</w:t>
      </w:r>
      <w:r>
        <w:rPr>
          <w:rFonts w:hint="eastAsia" w:ascii="宋体" w:hAnsi="宋体" w:cs="宋体"/>
          <w:color w:val="auto"/>
          <w:spacing w:val="-20"/>
          <w:sz w:val="24"/>
          <w:highlight w:val="none"/>
        </w:rPr>
        <w:t>验检测机构监督单位</w:t>
      </w:r>
      <w:r>
        <w:rPr>
          <w:rFonts w:hint="eastAsia" w:ascii="宋体" w:hAnsi="宋体" w:cs="宋体"/>
          <w:color w:val="auto"/>
          <w:sz w:val="24"/>
          <w:highlight w:val="none"/>
        </w:rPr>
        <w:t>：</w:t>
      </w:r>
      <w:r>
        <w:rPr>
          <w:rFonts w:hint="eastAsia" w:ascii="宋体" w:hAnsi="宋体" w:cs="宋体"/>
          <w:color w:val="auto"/>
          <w:spacing w:val="-12"/>
          <w:sz w:val="24"/>
          <w:highlight w:val="none"/>
          <w:u w:val="single"/>
        </w:rPr>
        <w:t>（全称）（盖单位章）</w:t>
      </w:r>
    </w:p>
    <w:p w14:paraId="4AEC01F2">
      <w:pPr>
        <w:widowControl/>
        <w:jc w:val="left"/>
        <w:rPr>
          <w:rFonts w:ascii="黑体" w:hAnsi="黑体" w:eastAsia="黑体" w:cs="黑体"/>
          <w:b/>
          <w:bCs/>
          <w:color w:val="auto"/>
          <w:sz w:val="30"/>
          <w:szCs w:val="30"/>
          <w:highlight w:val="none"/>
        </w:rPr>
      </w:pPr>
      <w:r>
        <w:rPr>
          <w:rFonts w:ascii="黑体" w:hAnsi="黑体" w:eastAsia="黑体" w:cs="黑体"/>
          <w:b/>
          <w:bCs/>
          <w:color w:val="auto"/>
          <w:sz w:val="30"/>
          <w:szCs w:val="30"/>
          <w:highlight w:val="none"/>
        </w:rPr>
        <w:br w:type="page"/>
      </w:r>
    </w:p>
    <w:p w14:paraId="0C55356C">
      <w:pPr>
        <w:spacing w:line="360" w:lineRule="auto"/>
        <w:outlineLvl w:val="2"/>
        <w:rPr>
          <w:rStyle w:val="111"/>
          <w:rFonts w:ascii="Times New Roman" w:hAnsi="Times New Roman"/>
          <w:b w:val="0"/>
          <w:bCs w:val="0"/>
        </w:rPr>
      </w:pPr>
      <w:r>
        <w:rPr>
          <w:rStyle w:val="111"/>
          <w:rFonts w:ascii="Times New Roman" w:hAnsi="Times New Roman"/>
          <w:b w:val="0"/>
          <w:bCs w:val="0"/>
        </w:rPr>
        <w:t>附件三 其他主要人员最低要求</w:t>
      </w:r>
      <w:r>
        <w:rPr>
          <w:rStyle w:val="111"/>
          <w:rFonts w:ascii="Times New Roman" w:hAnsi="Times New Roman"/>
          <w:b w:val="0"/>
          <w:bCs w:val="0"/>
          <w:vertAlign w:val="superscript"/>
        </w:rPr>
        <w:footnoteReference w:id="119"/>
      </w:r>
      <w:r>
        <w:rPr>
          <w:rStyle w:val="111"/>
          <w:rFonts w:ascii="Times New Roman" w:hAnsi="Times New Roman"/>
          <w:b w:val="0"/>
          <w:bCs w:val="0"/>
        </w:rPr>
        <w:t xml:space="preserve"> </w:t>
      </w:r>
    </w:p>
    <w:tbl>
      <w:tblPr>
        <w:tblStyle w:val="48"/>
        <w:tblW w:w="8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798"/>
        <w:gridCol w:w="1134"/>
        <w:gridCol w:w="4112"/>
      </w:tblGrid>
      <w:tr w14:paraId="1947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7" w:type="dxa"/>
            <w:vAlign w:val="center"/>
          </w:tcPr>
          <w:p w14:paraId="0A243534">
            <w:pPr>
              <w:pStyle w:val="276"/>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标段</w:t>
            </w:r>
          </w:p>
        </w:tc>
        <w:tc>
          <w:tcPr>
            <w:tcW w:w="2798" w:type="dxa"/>
            <w:vAlign w:val="center"/>
          </w:tcPr>
          <w:p w14:paraId="56CE92B8">
            <w:pPr>
              <w:pStyle w:val="276"/>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人员</w:t>
            </w:r>
          </w:p>
        </w:tc>
        <w:tc>
          <w:tcPr>
            <w:tcW w:w="1134" w:type="dxa"/>
            <w:vAlign w:val="center"/>
          </w:tcPr>
          <w:p w14:paraId="41D20B01">
            <w:pPr>
              <w:pStyle w:val="276"/>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4112" w:type="dxa"/>
            <w:vAlign w:val="center"/>
          </w:tcPr>
          <w:p w14:paraId="7FA2A974">
            <w:pPr>
              <w:pStyle w:val="276"/>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资格要求</w:t>
            </w:r>
          </w:p>
        </w:tc>
      </w:tr>
      <w:tr w14:paraId="25F0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restart"/>
          </w:tcPr>
          <w:p w14:paraId="2C6ED4C0">
            <w:pPr>
              <w:pStyle w:val="276"/>
              <w:adjustRightInd w:val="0"/>
              <w:snapToGrid w:val="0"/>
              <w:spacing w:line="360" w:lineRule="exact"/>
              <w:rPr>
                <w:rFonts w:ascii="宋体" w:hAnsi="宋体" w:cs="宋体"/>
                <w:color w:val="auto"/>
                <w:szCs w:val="21"/>
                <w:highlight w:val="none"/>
              </w:rPr>
            </w:pPr>
          </w:p>
        </w:tc>
        <w:tc>
          <w:tcPr>
            <w:tcW w:w="2798" w:type="dxa"/>
            <w:vAlign w:val="center"/>
          </w:tcPr>
          <w:p w14:paraId="030C8F3B">
            <w:pPr>
              <w:pStyle w:val="276"/>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 </w:t>
            </w:r>
            <w:r>
              <w:rPr>
                <w:rFonts w:hint="eastAsia" w:ascii="宋体" w:hAnsi="宋体" w:cs="宋体"/>
                <w:color w:val="auto"/>
                <w:szCs w:val="21"/>
                <w:highlight w:val="none"/>
              </w:rPr>
              <w:t>技术负责人</w:t>
            </w:r>
          </w:p>
        </w:tc>
        <w:tc>
          <w:tcPr>
            <w:tcW w:w="1134" w:type="dxa"/>
            <w:vAlign w:val="center"/>
          </w:tcPr>
          <w:p w14:paraId="4C5C5F5A">
            <w:pPr>
              <w:pStyle w:val="276"/>
              <w:adjustRightInd w:val="0"/>
              <w:snapToGrid w:val="0"/>
              <w:spacing w:line="360" w:lineRule="exact"/>
              <w:ind w:left="210" w:leftChars="1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u w:val="single"/>
              </w:rPr>
              <w:t xml:space="preserve">    </w:t>
            </w:r>
          </w:p>
        </w:tc>
        <w:tc>
          <w:tcPr>
            <w:tcW w:w="4112" w:type="dxa"/>
            <w:vAlign w:val="center"/>
          </w:tcPr>
          <w:p w14:paraId="74CDECA8">
            <w:pPr>
              <w:pStyle w:val="276"/>
              <w:adjustRightInd w:val="0"/>
              <w:snapToGrid w:val="0"/>
              <w:spacing w:line="36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u w:val="single"/>
              </w:rPr>
              <w:t xml:space="preserve">           </w:t>
            </w:r>
          </w:p>
        </w:tc>
      </w:tr>
      <w:tr w14:paraId="4226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continue"/>
          </w:tcPr>
          <w:p w14:paraId="736A3215">
            <w:pPr>
              <w:pStyle w:val="276"/>
              <w:adjustRightInd w:val="0"/>
              <w:snapToGrid w:val="0"/>
              <w:spacing w:line="360" w:lineRule="exact"/>
              <w:rPr>
                <w:rFonts w:ascii="宋体" w:hAnsi="宋体" w:cs="宋体"/>
                <w:color w:val="auto"/>
                <w:szCs w:val="21"/>
                <w:highlight w:val="none"/>
              </w:rPr>
            </w:pPr>
          </w:p>
        </w:tc>
        <w:tc>
          <w:tcPr>
            <w:tcW w:w="2798" w:type="dxa"/>
            <w:vAlign w:val="center"/>
          </w:tcPr>
          <w:p w14:paraId="5028D301">
            <w:pPr>
              <w:pStyle w:val="276"/>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试验检测工程师</w:t>
            </w:r>
          </w:p>
        </w:tc>
        <w:tc>
          <w:tcPr>
            <w:tcW w:w="1134" w:type="dxa"/>
            <w:vAlign w:val="center"/>
          </w:tcPr>
          <w:p w14:paraId="1D0050BB">
            <w:pPr>
              <w:pStyle w:val="276"/>
              <w:adjustRightInd w:val="0"/>
              <w:snapToGrid w:val="0"/>
              <w:spacing w:line="360" w:lineRule="exact"/>
              <w:ind w:left="210" w:leftChars="1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u w:val="single"/>
              </w:rPr>
              <w:t xml:space="preserve">    </w:t>
            </w:r>
          </w:p>
        </w:tc>
        <w:tc>
          <w:tcPr>
            <w:tcW w:w="4112" w:type="dxa"/>
            <w:vAlign w:val="center"/>
          </w:tcPr>
          <w:p w14:paraId="2F63226D">
            <w:pPr>
              <w:pStyle w:val="276"/>
              <w:adjustRightInd w:val="0"/>
              <w:snapToGrid w:val="0"/>
              <w:spacing w:line="36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u w:val="single"/>
              </w:rPr>
              <w:t xml:space="preserve">           </w:t>
            </w:r>
          </w:p>
        </w:tc>
      </w:tr>
      <w:tr w14:paraId="3FAD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Merge w:val="continue"/>
          </w:tcPr>
          <w:p w14:paraId="108D1976">
            <w:pPr>
              <w:pStyle w:val="276"/>
              <w:adjustRightInd w:val="0"/>
              <w:snapToGrid w:val="0"/>
              <w:spacing w:line="360" w:lineRule="exact"/>
              <w:rPr>
                <w:rFonts w:ascii="宋体" w:hAnsi="宋体" w:cs="宋体"/>
                <w:color w:val="auto"/>
                <w:szCs w:val="21"/>
                <w:highlight w:val="none"/>
              </w:rPr>
            </w:pPr>
          </w:p>
        </w:tc>
        <w:tc>
          <w:tcPr>
            <w:tcW w:w="2798" w:type="dxa"/>
            <w:vAlign w:val="center"/>
          </w:tcPr>
          <w:p w14:paraId="2E126C02">
            <w:pPr>
              <w:pStyle w:val="276"/>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p>
        </w:tc>
        <w:tc>
          <w:tcPr>
            <w:tcW w:w="1134" w:type="dxa"/>
            <w:vAlign w:val="center"/>
          </w:tcPr>
          <w:p w14:paraId="3A0D884D">
            <w:pPr>
              <w:pStyle w:val="276"/>
              <w:adjustRightInd w:val="0"/>
              <w:snapToGrid w:val="0"/>
              <w:spacing w:line="360" w:lineRule="exact"/>
              <w:ind w:left="210" w:leftChars="1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u w:val="single"/>
              </w:rPr>
              <w:t xml:space="preserve">    </w:t>
            </w:r>
          </w:p>
        </w:tc>
        <w:tc>
          <w:tcPr>
            <w:tcW w:w="4112" w:type="dxa"/>
            <w:vAlign w:val="center"/>
          </w:tcPr>
          <w:p w14:paraId="33F9C42F">
            <w:pPr>
              <w:pStyle w:val="276"/>
              <w:adjustRightInd w:val="0"/>
              <w:snapToGrid w:val="0"/>
              <w:spacing w:line="360" w:lineRule="exac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u w:val="single"/>
              </w:rPr>
              <w:t xml:space="preserve">           </w:t>
            </w:r>
          </w:p>
        </w:tc>
      </w:tr>
      <w:tr w14:paraId="3BBAB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97" w:type="dxa"/>
            <w:vAlign w:val="center"/>
          </w:tcPr>
          <w:p w14:paraId="3AFB5F98">
            <w:pPr>
              <w:pStyle w:val="276"/>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2798" w:type="dxa"/>
            <w:vAlign w:val="center"/>
          </w:tcPr>
          <w:p w14:paraId="63B5C8BE">
            <w:pPr>
              <w:pStyle w:val="276"/>
              <w:adjustRightInd w:val="0"/>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w:t>
            </w:r>
          </w:p>
        </w:tc>
        <w:tc>
          <w:tcPr>
            <w:tcW w:w="1134" w:type="dxa"/>
            <w:vAlign w:val="center"/>
          </w:tcPr>
          <w:p w14:paraId="63FB872C">
            <w:pPr>
              <w:pStyle w:val="276"/>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4112" w:type="dxa"/>
            <w:vAlign w:val="center"/>
          </w:tcPr>
          <w:p w14:paraId="44F791E5">
            <w:pPr>
              <w:pStyle w:val="276"/>
              <w:adjustRightInd w:val="0"/>
              <w:snapToGrid w:val="0"/>
              <w:spacing w:line="360" w:lineRule="exact"/>
              <w:rPr>
                <w:rFonts w:ascii="宋体" w:hAnsi="宋体" w:cs="宋体"/>
                <w:color w:val="auto"/>
                <w:szCs w:val="21"/>
                <w:highlight w:val="none"/>
                <w:u w:val="single"/>
              </w:rPr>
            </w:pPr>
            <w:r>
              <w:rPr>
                <w:rFonts w:hint="eastAsia" w:ascii="宋体" w:hAnsi="宋体" w:cs="宋体"/>
                <w:color w:val="auto"/>
                <w:szCs w:val="21"/>
                <w:highlight w:val="none"/>
              </w:rPr>
              <w:t>……</w:t>
            </w:r>
          </w:p>
        </w:tc>
      </w:tr>
    </w:tbl>
    <w:p w14:paraId="69F4D9BB">
      <w:pPr>
        <w:spacing w:line="360" w:lineRule="auto"/>
        <w:rPr>
          <w:rStyle w:val="111"/>
          <w:rFonts w:ascii="Times New Roman" w:hAnsi="Times New Roman"/>
          <w:b w:val="0"/>
          <w:bCs/>
        </w:rPr>
      </w:pPr>
      <w:r>
        <w:rPr>
          <w:rFonts w:ascii="黑体" w:hAnsi="黑体" w:eastAsia="黑体" w:cs="黑体"/>
          <w:b/>
          <w:bCs/>
          <w:color w:val="auto"/>
          <w:sz w:val="30"/>
          <w:szCs w:val="30"/>
          <w:highlight w:val="none"/>
        </w:rPr>
        <w:br w:type="page"/>
      </w:r>
      <w:r>
        <w:rPr>
          <w:rStyle w:val="111"/>
          <w:rFonts w:ascii="Times New Roman" w:hAnsi="Times New Roman"/>
          <w:b w:val="0"/>
          <w:bCs/>
        </w:rPr>
        <w:t xml:space="preserve"> 附件四 主要试验检测设备最低要求</w:t>
      </w:r>
      <w:r>
        <w:rPr>
          <w:rStyle w:val="111"/>
          <w:rFonts w:ascii="Times New Roman" w:hAnsi="Times New Roman"/>
          <w:b w:val="0"/>
          <w:bCs/>
          <w:vertAlign w:val="superscript"/>
        </w:rPr>
        <w:footnoteReference w:id="120"/>
      </w:r>
      <w:r>
        <w:rPr>
          <w:rStyle w:val="111"/>
          <w:rFonts w:ascii="Times New Roman" w:hAnsi="Times New Roman"/>
          <w:b w:val="0"/>
          <w:bCs/>
        </w:rPr>
        <w:t xml:space="preserve"> </w:t>
      </w:r>
    </w:p>
    <w:p w14:paraId="71FCF4DA">
      <w:pPr>
        <w:autoSpaceDE w:val="0"/>
        <w:autoSpaceDN w:val="0"/>
        <w:adjustRightInd w:val="0"/>
        <w:jc w:val="left"/>
        <w:rPr>
          <w:rFonts w:ascii="宋体" w:hAnsi="宋体" w:cs="宋体"/>
          <w:color w:val="auto"/>
          <w:kern w:val="0"/>
          <w:sz w:val="9"/>
          <w:szCs w:val="9"/>
          <w:highlight w:val="none"/>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2186"/>
        <w:gridCol w:w="2186"/>
        <w:gridCol w:w="2186"/>
      </w:tblGrid>
      <w:tr w14:paraId="67C7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vAlign w:val="center"/>
          </w:tcPr>
          <w:p w14:paraId="3E147822">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2186" w:type="dxa"/>
            <w:vAlign w:val="center"/>
          </w:tcPr>
          <w:p w14:paraId="299B523C">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规格、功</w:t>
            </w:r>
            <w:bookmarkStart w:id="663" w:name="_Toc523921849"/>
            <w:r>
              <w:rPr>
                <w:rFonts w:hint="eastAsia" w:ascii="宋体" w:hAnsi="宋体" w:cs="宋体"/>
                <w:color w:val="auto"/>
                <w:szCs w:val="21"/>
                <w:highlight w:val="none"/>
              </w:rPr>
              <w:t>率及容量</w:t>
            </w:r>
          </w:p>
        </w:tc>
        <w:tc>
          <w:tcPr>
            <w:tcW w:w="2186" w:type="dxa"/>
            <w:vAlign w:val="center"/>
          </w:tcPr>
          <w:p w14:paraId="7FC3EC8E">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2186" w:type="dxa"/>
            <w:vAlign w:val="center"/>
          </w:tcPr>
          <w:p w14:paraId="6638CECE">
            <w:pPr>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最低数量要求</w:t>
            </w:r>
          </w:p>
        </w:tc>
      </w:tr>
      <w:tr w14:paraId="686A2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14:paraId="4FA9B012">
            <w:pPr>
              <w:adjustRightInd w:val="0"/>
              <w:snapToGrid w:val="0"/>
              <w:spacing w:line="360" w:lineRule="exact"/>
              <w:rPr>
                <w:rFonts w:ascii="宋体" w:hAnsi="宋体" w:cs="宋体"/>
                <w:color w:val="auto"/>
                <w:szCs w:val="21"/>
                <w:highlight w:val="none"/>
              </w:rPr>
            </w:pPr>
          </w:p>
        </w:tc>
        <w:tc>
          <w:tcPr>
            <w:tcW w:w="2186" w:type="dxa"/>
          </w:tcPr>
          <w:p w14:paraId="5DDB8B76">
            <w:pPr>
              <w:adjustRightInd w:val="0"/>
              <w:snapToGrid w:val="0"/>
              <w:spacing w:line="360" w:lineRule="exact"/>
              <w:rPr>
                <w:rFonts w:ascii="宋体" w:hAnsi="宋体" w:cs="宋体"/>
                <w:color w:val="auto"/>
                <w:szCs w:val="21"/>
                <w:highlight w:val="none"/>
              </w:rPr>
            </w:pPr>
          </w:p>
        </w:tc>
        <w:tc>
          <w:tcPr>
            <w:tcW w:w="2186" w:type="dxa"/>
          </w:tcPr>
          <w:p w14:paraId="04AE1DA4">
            <w:pPr>
              <w:adjustRightInd w:val="0"/>
              <w:snapToGrid w:val="0"/>
              <w:spacing w:line="360" w:lineRule="exact"/>
              <w:rPr>
                <w:rFonts w:ascii="宋体" w:hAnsi="宋体" w:cs="宋体"/>
                <w:color w:val="auto"/>
                <w:szCs w:val="21"/>
                <w:highlight w:val="none"/>
              </w:rPr>
            </w:pPr>
          </w:p>
        </w:tc>
        <w:tc>
          <w:tcPr>
            <w:tcW w:w="2186" w:type="dxa"/>
          </w:tcPr>
          <w:p w14:paraId="391031E2">
            <w:pPr>
              <w:adjustRightInd w:val="0"/>
              <w:snapToGrid w:val="0"/>
              <w:spacing w:line="360" w:lineRule="exact"/>
              <w:rPr>
                <w:rFonts w:ascii="宋体" w:hAnsi="宋体" w:cs="宋体"/>
                <w:color w:val="auto"/>
                <w:szCs w:val="21"/>
                <w:highlight w:val="none"/>
              </w:rPr>
            </w:pPr>
          </w:p>
        </w:tc>
      </w:tr>
      <w:tr w14:paraId="5D0DC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14:paraId="15A71060">
            <w:pPr>
              <w:adjustRightInd w:val="0"/>
              <w:snapToGrid w:val="0"/>
              <w:spacing w:line="360" w:lineRule="exact"/>
              <w:rPr>
                <w:rFonts w:ascii="宋体" w:hAnsi="宋体" w:cs="宋体"/>
                <w:color w:val="auto"/>
                <w:szCs w:val="21"/>
                <w:highlight w:val="none"/>
              </w:rPr>
            </w:pPr>
          </w:p>
        </w:tc>
        <w:tc>
          <w:tcPr>
            <w:tcW w:w="2186" w:type="dxa"/>
          </w:tcPr>
          <w:p w14:paraId="1899A528">
            <w:pPr>
              <w:adjustRightInd w:val="0"/>
              <w:snapToGrid w:val="0"/>
              <w:spacing w:line="360" w:lineRule="exact"/>
              <w:rPr>
                <w:rFonts w:ascii="宋体" w:hAnsi="宋体" w:cs="宋体"/>
                <w:color w:val="auto"/>
                <w:szCs w:val="21"/>
                <w:highlight w:val="none"/>
              </w:rPr>
            </w:pPr>
          </w:p>
        </w:tc>
        <w:tc>
          <w:tcPr>
            <w:tcW w:w="2186" w:type="dxa"/>
          </w:tcPr>
          <w:p w14:paraId="55D77437">
            <w:pPr>
              <w:adjustRightInd w:val="0"/>
              <w:snapToGrid w:val="0"/>
              <w:spacing w:line="360" w:lineRule="exact"/>
              <w:rPr>
                <w:rFonts w:ascii="宋体" w:hAnsi="宋体" w:cs="宋体"/>
                <w:color w:val="auto"/>
                <w:szCs w:val="21"/>
                <w:highlight w:val="none"/>
              </w:rPr>
            </w:pPr>
          </w:p>
        </w:tc>
        <w:tc>
          <w:tcPr>
            <w:tcW w:w="2186" w:type="dxa"/>
          </w:tcPr>
          <w:p w14:paraId="3AB8224B">
            <w:pPr>
              <w:adjustRightInd w:val="0"/>
              <w:snapToGrid w:val="0"/>
              <w:spacing w:line="360" w:lineRule="exact"/>
              <w:rPr>
                <w:rFonts w:ascii="宋体" w:hAnsi="宋体" w:cs="宋体"/>
                <w:color w:val="auto"/>
                <w:szCs w:val="21"/>
                <w:highlight w:val="none"/>
              </w:rPr>
            </w:pPr>
          </w:p>
        </w:tc>
      </w:tr>
      <w:tr w14:paraId="7E55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14:paraId="5099E319">
            <w:pPr>
              <w:adjustRightInd w:val="0"/>
              <w:snapToGrid w:val="0"/>
              <w:spacing w:line="360" w:lineRule="exact"/>
              <w:rPr>
                <w:rFonts w:ascii="宋体" w:hAnsi="宋体" w:cs="宋体"/>
                <w:color w:val="auto"/>
                <w:szCs w:val="21"/>
                <w:highlight w:val="none"/>
              </w:rPr>
            </w:pPr>
          </w:p>
        </w:tc>
        <w:tc>
          <w:tcPr>
            <w:tcW w:w="2186" w:type="dxa"/>
          </w:tcPr>
          <w:p w14:paraId="0DBF70F7">
            <w:pPr>
              <w:adjustRightInd w:val="0"/>
              <w:snapToGrid w:val="0"/>
              <w:spacing w:line="360" w:lineRule="exact"/>
              <w:rPr>
                <w:rFonts w:ascii="宋体" w:hAnsi="宋体" w:cs="宋体"/>
                <w:color w:val="auto"/>
                <w:szCs w:val="21"/>
                <w:highlight w:val="none"/>
              </w:rPr>
            </w:pPr>
          </w:p>
        </w:tc>
        <w:tc>
          <w:tcPr>
            <w:tcW w:w="2186" w:type="dxa"/>
          </w:tcPr>
          <w:p w14:paraId="1C2B81C0">
            <w:pPr>
              <w:adjustRightInd w:val="0"/>
              <w:snapToGrid w:val="0"/>
              <w:spacing w:line="360" w:lineRule="exact"/>
              <w:rPr>
                <w:rFonts w:ascii="宋体" w:hAnsi="宋体" w:cs="宋体"/>
                <w:color w:val="auto"/>
                <w:szCs w:val="21"/>
                <w:highlight w:val="none"/>
              </w:rPr>
            </w:pPr>
          </w:p>
        </w:tc>
        <w:tc>
          <w:tcPr>
            <w:tcW w:w="2186" w:type="dxa"/>
          </w:tcPr>
          <w:p w14:paraId="5014AF15">
            <w:pPr>
              <w:adjustRightInd w:val="0"/>
              <w:snapToGrid w:val="0"/>
              <w:spacing w:line="360" w:lineRule="exact"/>
              <w:rPr>
                <w:rFonts w:ascii="宋体" w:hAnsi="宋体" w:cs="宋体"/>
                <w:color w:val="auto"/>
                <w:szCs w:val="21"/>
                <w:highlight w:val="none"/>
              </w:rPr>
            </w:pPr>
          </w:p>
          <w:bookmarkEnd w:id="663"/>
        </w:tc>
      </w:tr>
      <w:tr w14:paraId="22390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14:paraId="4B2FCD66">
            <w:pPr>
              <w:adjustRightInd w:val="0"/>
              <w:snapToGrid w:val="0"/>
              <w:spacing w:line="360" w:lineRule="exact"/>
              <w:rPr>
                <w:rFonts w:ascii="宋体" w:hAnsi="宋体" w:cs="宋体"/>
                <w:color w:val="auto"/>
                <w:szCs w:val="21"/>
                <w:highlight w:val="none"/>
              </w:rPr>
            </w:pPr>
          </w:p>
        </w:tc>
        <w:tc>
          <w:tcPr>
            <w:tcW w:w="2186" w:type="dxa"/>
          </w:tcPr>
          <w:p w14:paraId="2E7028EF">
            <w:pPr>
              <w:adjustRightInd w:val="0"/>
              <w:snapToGrid w:val="0"/>
              <w:spacing w:line="360" w:lineRule="exact"/>
              <w:rPr>
                <w:rFonts w:ascii="宋体" w:hAnsi="宋体" w:cs="宋体"/>
                <w:color w:val="auto"/>
                <w:szCs w:val="21"/>
                <w:highlight w:val="none"/>
              </w:rPr>
            </w:pPr>
          </w:p>
        </w:tc>
        <w:tc>
          <w:tcPr>
            <w:tcW w:w="2186" w:type="dxa"/>
          </w:tcPr>
          <w:p w14:paraId="1EAFFCBB">
            <w:pPr>
              <w:adjustRightInd w:val="0"/>
              <w:snapToGrid w:val="0"/>
              <w:spacing w:line="360" w:lineRule="exact"/>
              <w:rPr>
                <w:rFonts w:ascii="宋体" w:hAnsi="宋体" w:cs="宋体"/>
                <w:color w:val="auto"/>
                <w:szCs w:val="21"/>
                <w:highlight w:val="none"/>
              </w:rPr>
            </w:pPr>
          </w:p>
        </w:tc>
        <w:tc>
          <w:tcPr>
            <w:tcW w:w="2186" w:type="dxa"/>
          </w:tcPr>
          <w:p w14:paraId="1F8EFBE2">
            <w:pPr>
              <w:adjustRightInd w:val="0"/>
              <w:snapToGrid w:val="0"/>
              <w:spacing w:line="360" w:lineRule="exact"/>
              <w:rPr>
                <w:rFonts w:ascii="宋体" w:hAnsi="宋体" w:cs="宋体"/>
                <w:color w:val="auto"/>
                <w:szCs w:val="21"/>
                <w:highlight w:val="none"/>
              </w:rPr>
            </w:pPr>
          </w:p>
        </w:tc>
      </w:tr>
      <w:tr w14:paraId="0CDBE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14:paraId="0D5E9FBC">
            <w:pPr>
              <w:adjustRightInd w:val="0"/>
              <w:snapToGrid w:val="0"/>
              <w:spacing w:line="360" w:lineRule="exact"/>
              <w:rPr>
                <w:rFonts w:ascii="宋体" w:hAnsi="宋体" w:cs="宋体"/>
                <w:color w:val="auto"/>
                <w:szCs w:val="21"/>
                <w:highlight w:val="none"/>
              </w:rPr>
            </w:pPr>
          </w:p>
        </w:tc>
        <w:tc>
          <w:tcPr>
            <w:tcW w:w="2186" w:type="dxa"/>
          </w:tcPr>
          <w:p w14:paraId="7FB9B40C">
            <w:pPr>
              <w:adjustRightInd w:val="0"/>
              <w:snapToGrid w:val="0"/>
              <w:spacing w:line="360" w:lineRule="exact"/>
              <w:rPr>
                <w:rFonts w:ascii="宋体" w:hAnsi="宋体" w:cs="宋体"/>
                <w:color w:val="auto"/>
                <w:szCs w:val="21"/>
                <w:highlight w:val="none"/>
              </w:rPr>
            </w:pPr>
          </w:p>
        </w:tc>
        <w:tc>
          <w:tcPr>
            <w:tcW w:w="2186" w:type="dxa"/>
          </w:tcPr>
          <w:p w14:paraId="03E7507E">
            <w:pPr>
              <w:adjustRightInd w:val="0"/>
              <w:snapToGrid w:val="0"/>
              <w:spacing w:line="360" w:lineRule="exact"/>
              <w:rPr>
                <w:rFonts w:ascii="宋体" w:hAnsi="宋体" w:cs="宋体"/>
                <w:color w:val="auto"/>
                <w:szCs w:val="21"/>
                <w:highlight w:val="none"/>
              </w:rPr>
            </w:pPr>
          </w:p>
        </w:tc>
        <w:tc>
          <w:tcPr>
            <w:tcW w:w="2186" w:type="dxa"/>
          </w:tcPr>
          <w:p w14:paraId="54CD169B">
            <w:pPr>
              <w:adjustRightInd w:val="0"/>
              <w:snapToGrid w:val="0"/>
              <w:spacing w:line="360" w:lineRule="exact"/>
              <w:rPr>
                <w:rFonts w:ascii="宋体" w:hAnsi="宋体" w:cs="宋体"/>
                <w:color w:val="auto"/>
                <w:szCs w:val="21"/>
                <w:highlight w:val="none"/>
              </w:rPr>
            </w:pPr>
          </w:p>
        </w:tc>
      </w:tr>
      <w:tr w14:paraId="462B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14:paraId="52AF429A">
            <w:pPr>
              <w:adjustRightInd w:val="0"/>
              <w:snapToGrid w:val="0"/>
              <w:spacing w:line="360" w:lineRule="exact"/>
              <w:rPr>
                <w:rFonts w:ascii="宋体" w:hAnsi="宋体" w:cs="宋体"/>
                <w:color w:val="auto"/>
                <w:szCs w:val="21"/>
                <w:highlight w:val="none"/>
              </w:rPr>
            </w:pPr>
          </w:p>
        </w:tc>
        <w:tc>
          <w:tcPr>
            <w:tcW w:w="2186" w:type="dxa"/>
          </w:tcPr>
          <w:p w14:paraId="0774E5ED">
            <w:pPr>
              <w:adjustRightInd w:val="0"/>
              <w:snapToGrid w:val="0"/>
              <w:spacing w:line="360" w:lineRule="exact"/>
              <w:rPr>
                <w:rFonts w:ascii="宋体" w:hAnsi="宋体" w:cs="宋体"/>
                <w:color w:val="auto"/>
                <w:szCs w:val="21"/>
                <w:highlight w:val="none"/>
              </w:rPr>
            </w:pPr>
          </w:p>
        </w:tc>
        <w:tc>
          <w:tcPr>
            <w:tcW w:w="2186" w:type="dxa"/>
          </w:tcPr>
          <w:p w14:paraId="7D54F0F6">
            <w:pPr>
              <w:adjustRightInd w:val="0"/>
              <w:snapToGrid w:val="0"/>
              <w:spacing w:line="360" w:lineRule="exact"/>
              <w:rPr>
                <w:rFonts w:ascii="宋体" w:hAnsi="宋体" w:cs="宋体"/>
                <w:color w:val="auto"/>
                <w:szCs w:val="21"/>
                <w:highlight w:val="none"/>
              </w:rPr>
            </w:pPr>
          </w:p>
        </w:tc>
        <w:tc>
          <w:tcPr>
            <w:tcW w:w="2186" w:type="dxa"/>
          </w:tcPr>
          <w:p w14:paraId="7D7B9065">
            <w:pPr>
              <w:adjustRightInd w:val="0"/>
              <w:snapToGrid w:val="0"/>
              <w:spacing w:line="360" w:lineRule="exact"/>
              <w:rPr>
                <w:rFonts w:ascii="宋体" w:hAnsi="宋体" w:cs="宋体"/>
                <w:color w:val="auto"/>
                <w:szCs w:val="21"/>
                <w:highlight w:val="none"/>
              </w:rPr>
            </w:pPr>
          </w:p>
        </w:tc>
      </w:tr>
      <w:tr w14:paraId="4B4A5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86" w:type="dxa"/>
          </w:tcPr>
          <w:p w14:paraId="64357269">
            <w:pPr>
              <w:adjustRightInd w:val="0"/>
              <w:snapToGrid w:val="0"/>
              <w:spacing w:line="360" w:lineRule="exact"/>
              <w:rPr>
                <w:rFonts w:ascii="宋体" w:hAnsi="宋体" w:cs="宋体"/>
                <w:color w:val="auto"/>
                <w:szCs w:val="21"/>
                <w:highlight w:val="none"/>
              </w:rPr>
            </w:pPr>
          </w:p>
        </w:tc>
        <w:tc>
          <w:tcPr>
            <w:tcW w:w="2186" w:type="dxa"/>
          </w:tcPr>
          <w:p w14:paraId="0246C497">
            <w:pPr>
              <w:adjustRightInd w:val="0"/>
              <w:snapToGrid w:val="0"/>
              <w:spacing w:line="360" w:lineRule="exact"/>
              <w:rPr>
                <w:rFonts w:ascii="宋体" w:hAnsi="宋体" w:cs="宋体"/>
                <w:color w:val="auto"/>
                <w:szCs w:val="21"/>
                <w:highlight w:val="none"/>
              </w:rPr>
            </w:pPr>
          </w:p>
        </w:tc>
        <w:tc>
          <w:tcPr>
            <w:tcW w:w="2186" w:type="dxa"/>
          </w:tcPr>
          <w:p w14:paraId="4104EA75">
            <w:pPr>
              <w:adjustRightInd w:val="0"/>
              <w:snapToGrid w:val="0"/>
              <w:spacing w:line="360" w:lineRule="exact"/>
              <w:rPr>
                <w:rFonts w:ascii="宋体" w:hAnsi="宋体" w:cs="宋体"/>
                <w:color w:val="auto"/>
                <w:szCs w:val="21"/>
                <w:highlight w:val="none"/>
              </w:rPr>
            </w:pPr>
          </w:p>
        </w:tc>
        <w:tc>
          <w:tcPr>
            <w:tcW w:w="2186" w:type="dxa"/>
          </w:tcPr>
          <w:p w14:paraId="2B679E39">
            <w:pPr>
              <w:adjustRightInd w:val="0"/>
              <w:snapToGrid w:val="0"/>
              <w:spacing w:line="360" w:lineRule="exact"/>
              <w:rPr>
                <w:rFonts w:ascii="宋体" w:hAnsi="宋体" w:cs="宋体"/>
                <w:color w:val="auto"/>
                <w:szCs w:val="21"/>
                <w:highlight w:val="none"/>
              </w:rPr>
            </w:pPr>
          </w:p>
        </w:tc>
      </w:tr>
      <w:tr w14:paraId="52B4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2186" w:type="dxa"/>
          </w:tcPr>
          <w:p w14:paraId="1F72F50B">
            <w:pPr>
              <w:adjustRightInd w:val="0"/>
              <w:snapToGrid w:val="0"/>
              <w:spacing w:line="360" w:lineRule="exact"/>
              <w:rPr>
                <w:rFonts w:ascii="宋体" w:hAnsi="宋体" w:cs="宋体"/>
                <w:color w:val="auto"/>
                <w:szCs w:val="21"/>
                <w:highlight w:val="none"/>
              </w:rPr>
            </w:pPr>
          </w:p>
        </w:tc>
        <w:tc>
          <w:tcPr>
            <w:tcW w:w="2186" w:type="dxa"/>
          </w:tcPr>
          <w:p w14:paraId="5690DA0B">
            <w:pPr>
              <w:adjustRightInd w:val="0"/>
              <w:snapToGrid w:val="0"/>
              <w:spacing w:line="360" w:lineRule="exact"/>
              <w:rPr>
                <w:rFonts w:ascii="宋体" w:hAnsi="宋体" w:cs="宋体"/>
                <w:color w:val="auto"/>
                <w:szCs w:val="21"/>
                <w:highlight w:val="none"/>
              </w:rPr>
            </w:pPr>
          </w:p>
        </w:tc>
        <w:tc>
          <w:tcPr>
            <w:tcW w:w="2186" w:type="dxa"/>
          </w:tcPr>
          <w:p w14:paraId="373D28A5">
            <w:pPr>
              <w:adjustRightInd w:val="0"/>
              <w:snapToGrid w:val="0"/>
              <w:spacing w:line="360" w:lineRule="exact"/>
              <w:rPr>
                <w:rFonts w:ascii="宋体" w:hAnsi="宋体" w:cs="宋体"/>
                <w:color w:val="auto"/>
                <w:szCs w:val="21"/>
                <w:highlight w:val="none"/>
              </w:rPr>
            </w:pPr>
          </w:p>
        </w:tc>
        <w:tc>
          <w:tcPr>
            <w:tcW w:w="2186" w:type="dxa"/>
          </w:tcPr>
          <w:p w14:paraId="1226190F">
            <w:pPr>
              <w:adjustRightInd w:val="0"/>
              <w:snapToGrid w:val="0"/>
              <w:spacing w:line="360" w:lineRule="exact"/>
              <w:rPr>
                <w:rFonts w:ascii="宋体" w:hAnsi="宋体" w:cs="宋体"/>
                <w:color w:val="auto"/>
                <w:szCs w:val="21"/>
                <w:highlight w:val="none"/>
              </w:rPr>
            </w:pPr>
          </w:p>
        </w:tc>
      </w:tr>
    </w:tbl>
    <w:p w14:paraId="5B4A12F1">
      <w:pPr>
        <w:autoSpaceDE w:val="0"/>
        <w:autoSpaceDN w:val="0"/>
        <w:adjustRightInd w:val="0"/>
        <w:jc w:val="left"/>
        <w:rPr>
          <w:rFonts w:ascii="宋体" w:hAnsi="宋体" w:cs="宋体"/>
          <w:color w:val="auto"/>
          <w:kern w:val="0"/>
          <w:sz w:val="9"/>
          <w:szCs w:val="9"/>
          <w:highlight w:val="none"/>
        </w:rPr>
      </w:pPr>
    </w:p>
    <w:p w14:paraId="6D4E198B">
      <w:pPr>
        <w:autoSpaceDE w:val="0"/>
        <w:autoSpaceDN w:val="0"/>
        <w:adjustRightInd w:val="0"/>
        <w:jc w:val="left"/>
        <w:rPr>
          <w:rFonts w:ascii="宋体" w:hAnsi="宋体" w:cs="宋体"/>
          <w:color w:val="auto"/>
          <w:kern w:val="0"/>
          <w:sz w:val="9"/>
          <w:szCs w:val="9"/>
          <w:highlight w:val="none"/>
        </w:rPr>
      </w:pPr>
    </w:p>
    <w:p w14:paraId="54FC72FE">
      <w:pPr>
        <w:autoSpaceDE w:val="0"/>
        <w:autoSpaceDN w:val="0"/>
        <w:adjustRightInd w:val="0"/>
        <w:jc w:val="left"/>
        <w:rPr>
          <w:rFonts w:ascii="宋体" w:hAnsi="宋体" w:cs="宋体"/>
          <w:color w:val="auto"/>
          <w:kern w:val="0"/>
          <w:sz w:val="9"/>
          <w:szCs w:val="9"/>
          <w:highlight w:val="none"/>
        </w:rPr>
      </w:pPr>
    </w:p>
    <w:p w14:paraId="2A187199">
      <w:pPr>
        <w:autoSpaceDE w:val="0"/>
        <w:autoSpaceDN w:val="0"/>
        <w:adjustRightInd w:val="0"/>
        <w:jc w:val="left"/>
        <w:rPr>
          <w:rFonts w:ascii="宋体" w:hAnsi="宋体" w:cs="宋体"/>
          <w:color w:val="auto"/>
          <w:kern w:val="0"/>
          <w:sz w:val="9"/>
          <w:szCs w:val="9"/>
          <w:highlight w:val="none"/>
        </w:rPr>
      </w:pPr>
    </w:p>
    <w:p w14:paraId="56E1FCBD">
      <w:pPr>
        <w:autoSpaceDE w:val="0"/>
        <w:autoSpaceDN w:val="0"/>
        <w:adjustRightInd w:val="0"/>
        <w:jc w:val="left"/>
        <w:rPr>
          <w:rFonts w:ascii="宋体" w:hAnsi="宋体" w:cs="宋体"/>
          <w:color w:val="auto"/>
          <w:kern w:val="0"/>
          <w:sz w:val="9"/>
          <w:szCs w:val="9"/>
          <w:highlight w:val="none"/>
        </w:rPr>
      </w:pPr>
    </w:p>
    <w:p w14:paraId="03574173">
      <w:pPr>
        <w:autoSpaceDE w:val="0"/>
        <w:autoSpaceDN w:val="0"/>
        <w:adjustRightInd w:val="0"/>
        <w:jc w:val="left"/>
        <w:rPr>
          <w:rFonts w:ascii="宋体" w:hAnsi="宋体" w:cs="宋体"/>
          <w:color w:val="auto"/>
          <w:kern w:val="0"/>
          <w:sz w:val="9"/>
          <w:szCs w:val="9"/>
          <w:highlight w:val="none"/>
        </w:rPr>
      </w:pPr>
    </w:p>
    <w:p w14:paraId="7A14F8AF">
      <w:pPr>
        <w:rPr>
          <w:color w:val="auto"/>
          <w:highlight w:val="none"/>
        </w:rPr>
      </w:pPr>
    </w:p>
    <w:p w14:paraId="49598E2F">
      <w:pPr>
        <w:rPr>
          <w:color w:val="auto"/>
          <w:highlight w:val="none"/>
        </w:rPr>
      </w:pPr>
    </w:p>
    <w:p w14:paraId="2F800816">
      <w:pPr>
        <w:spacing w:line="360" w:lineRule="auto"/>
        <w:rPr>
          <w:rStyle w:val="111"/>
          <w:rFonts w:ascii="Times New Roman" w:hAnsi="Times New Roman"/>
          <w:b w:val="0"/>
          <w:bCs w:val="0"/>
        </w:rPr>
      </w:pPr>
      <w:r>
        <w:rPr>
          <w:rFonts w:ascii="宋体" w:hAnsi="宋体" w:cs="宋体"/>
          <w:color w:val="auto"/>
          <w:sz w:val="30"/>
          <w:szCs w:val="30"/>
          <w:highlight w:val="none"/>
        </w:rPr>
        <w:br w:type="page"/>
      </w:r>
      <w:r>
        <w:rPr>
          <w:rStyle w:val="111"/>
          <w:rFonts w:ascii="Times New Roman" w:hAnsi="Times New Roman"/>
          <w:b w:val="0"/>
          <w:bCs w:val="0"/>
        </w:rPr>
        <w:t>附件五 履约保证金格式</w:t>
      </w:r>
    </w:p>
    <w:p w14:paraId="3F1F52FA">
      <w:pPr>
        <w:spacing w:line="360" w:lineRule="auto"/>
        <w:ind w:firstLine="0" w:firstLineChars="0"/>
        <w:rPr>
          <w:rFonts w:ascii="宋体" w:hAnsi="宋体" w:cs="宋体"/>
          <w:color w:val="auto"/>
          <w:sz w:val="24"/>
          <w:highlight w:val="none"/>
        </w:rPr>
      </w:pPr>
      <w:r>
        <w:rPr>
          <w:rFonts w:hint="eastAsia" w:ascii="宋体" w:hAnsi="宋体" w:cs="宋体"/>
          <w:color w:val="auto"/>
          <w:sz w:val="24"/>
          <w:highlight w:val="none"/>
        </w:rPr>
        <w:t>如采用银行保函，格式如下。</w:t>
      </w:r>
    </w:p>
    <w:p w14:paraId="04AA4518">
      <w:pPr>
        <w:spacing w:line="360" w:lineRule="auto"/>
        <w:ind w:firstLine="560" w:firstLineChars="200"/>
        <w:jc w:val="center"/>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履约保证金</w:t>
      </w:r>
    </w:p>
    <w:p w14:paraId="307F976D">
      <w:pPr>
        <w:spacing w:line="360" w:lineRule="auto"/>
        <w:ind w:firstLine="480" w:firstLineChars="200"/>
        <w:rPr>
          <w:rFonts w:ascii="宋体" w:hAnsi="宋体" w:cs="宋体"/>
          <w:color w:val="auto"/>
          <w:sz w:val="24"/>
          <w:highlight w:val="none"/>
        </w:rPr>
      </w:pPr>
    </w:p>
    <w:p w14:paraId="3BFFD63C">
      <w:pPr>
        <w:spacing w:line="360" w:lineRule="auto"/>
        <w:rPr>
          <w:rFonts w:ascii="宋体" w:hAnsi="宋体" w:cs="宋体"/>
          <w:color w:val="auto"/>
          <w:sz w:val="24"/>
          <w:highlight w:val="none"/>
        </w:rPr>
      </w:pP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ascii="宋体" w:hAnsi="宋体" w:cs="宋体"/>
          <w:color w:val="auto"/>
          <w:sz w:val="24"/>
          <w:highlight w:val="none"/>
          <w:u w:val="single"/>
        </w:rPr>
        <w:t xml:space="preserve"> </w:t>
      </w:r>
      <w:bookmarkStart w:id="664" w:name="_Toc523921850"/>
      <w:r>
        <w:rPr>
          <w:rFonts w:ascii="宋体" w:hAnsi="宋体" w:cs="宋体"/>
          <w:color w:val="auto"/>
          <w:sz w:val="24"/>
          <w:highlight w:val="none"/>
          <w:u w:val="single"/>
        </w:rPr>
        <w:t xml:space="preserve">    </w:t>
      </w:r>
      <w:r>
        <w:rPr>
          <w:rFonts w:hint="eastAsia" w:ascii="宋体" w:hAnsi="宋体" w:cs="宋体"/>
          <w:color w:val="auto"/>
          <w:sz w:val="24"/>
          <w:highlight w:val="none"/>
        </w:rPr>
        <w:t>（委托人名称）：</w:t>
      </w:r>
    </w:p>
    <w:p w14:paraId="0035228D">
      <w:pPr>
        <w:spacing w:line="360" w:lineRule="auto"/>
        <w:ind w:firstLine="480" w:firstLineChars="200"/>
        <w:rPr>
          <w:rFonts w:ascii="宋体" w:hAnsi="宋体" w:cs="宋体"/>
          <w:color w:val="auto"/>
          <w:sz w:val="24"/>
          <w:highlight w:val="none"/>
        </w:rPr>
      </w:pPr>
    </w:p>
    <w:p w14:paraId="3B8107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鉴于</w:t>
      </w:r>
      <w:r>
        <w:rPr>
          <w:rFonts w:ascii="宋体" w:hAnsi="宋体" w:cs="宋体"/>
          <w:color w:val="auto"/>
          <w:sz w:val="24"/>
          <w:highlight w:val="none"/>
          <w:u w:val="single"/>
        </w:rPr>
        <w:t xml:space="preserve">        </w:t>
      </w:r>
      <w:r>
        <w:rPr>
          <w:rFonts w:hint="eastAsia" w:ascii="宋体" w:hAnsi="宋体" w:cs="宋体"/>
          <w:color w:val="auto"/>
          <w:sz w:val="24"/>
          <w:highlight w:val="none"/>
        </w:rPr>
        <w:t>（委托人名称，以下简称“委托人”）接受</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（试验检测机构名称）于</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日参加</w:t>
      </w:r>
      <w:r>
        <w:rPr>
          <w:rFonts w:ascii="宋体" w:hAnsi="宋体" w:cs="宋体"/>
          <w:color w:val="auto"/>
          <w:sz w:val="24"/>
          <w:highlight w:val="none"/>
          <w:u w:val="single"/>
        </w:rPr>
        <w:t xml:space="preserve">         </w:t>
      </w:r>
      <w:r>
        <w:rPr>
          <w:rFonts w:hint="eastAsia" w:ascii="宋体" w:hAnsi="宋体" w:cs="宋体"/>
          <w:color w:val="auto"/>
          <w:sz w:val="24"/>
          <w:highlight w:val="none"/>
        </w:rPr>
        <w:t>（项目名称）</w:t>
      </w:r>
      <w:r>
        <w:rPr>
          <w:rFonts w:hint="eastAsia" w:ascii="宋体" w:hAnsi="宋体"/>
          <w:color w:val="auto"/>
          <w:sz w:val="24"/>
          <w:highlight w:val="none"/>
        </w:rPr>
        <w:t>招标</w:t>
      </w:r>
      <w:r>
        <w:rPr>
          <w:rFonts w:hint="eastAsia" w:ascii="宋体" w:hAnsi="宋体" w:cs="宋体"/>
          <w:color w:val="auto"/>
          <w:sz w:val="24"/>
          <w:highlight w:val="none"/>
        </w:rPr>
        <w:t>第</w:t>
      </w:r>
      <w:r>
        <w:rPr>
          <w:rFonts w:ascii="宋体" w:hAnsi="宋体" w:cs="宋体"/>
          <w:color w:val="auto"/>
          <w:sz w:val="24"/>
          <w:highlight w:val="none"/>
          <w:u w:val="single"/>
        </w:rPr>
        <w:t xml:space="preserve">   </w:t>
      </w:r>
      <w:r>
        <w:rPr>
          <w:rFonts w:hint="eastAsia" w:ascii="宋体" w:hAnsi="宋体" w:cs="宋体"/>
          <w:color w:val="auto"/>
          <w:sz w:val="24"/>
          <w:highlight w:val="none"/>
        </w:rPr>
        <w:t>标段</w:t>
      </w:r>
      <w:bookmarkEnd w:id="664"/>
      <w:r>
        <w:rPr>
          <w:rFonts w:hint="eastAsia" w:ascii="宋体" w:hAnsi="宋体" w:cs="宋体"/>
          <w:color w:val="auto"/>
          <w:sz w:val="24"/>
          <w:highlight w:val="none"/>
        </w:rPr>
        <w:t>的</w:t>
      </w:r>
      <w:r>
        <w:rPr>
          <w:rFonts w:hint="eastAsia" w:ascii="宋体" w:hAnsi="宋体" w:cs="宋体"/>
          <w:color w:val="auto"/>
          <w:sz w:val="24"/>
          <w:highlight w:val="none"/>
          <w:lang w:val="en-US" w:eastAsia="zh-CN"/>
        </w:rPr>
        <w:t>监理试验室</w:t>
      </w:r>
      <w:r>
        <w:rPr>
          <w:rFonts w:hint="eastAsia" w:ascii="宋体" w:hAnsi="宋体" w:cs="宋体"/>
          <w:color w:val="auto"/>
          <w:sz w:val="24"/>
          <w:highlight w:val="none"/>
        </w:rPr>
        <w:t>投标。我方愿意无条件地、不可撤销地就</w:t>
      </w:r>
      <w:r>
        <w:rPr>
          <w:rFonts w:hint="eastAsia" w:ascii="宋体" w:hAnsi="宋体" w:cs="宋体"/>
          <w:color w:val="auto"/>
          <w:sz w:val="24"/>
          <w:highlight w:val="none"/>
          <w:lang w:val="en-US" w:eastAsia="zh-CN"/>
        </w:rPr>
        <w:t>试验检测机构</w:t>
      </w:r>
      <w:r>
        <w:rPr>
          <w:rFonts w:hint="eastAsia" w:ascii="宋体" w:hAnsi="宋体" w:cs="宋体"/>
          <w:color w:val="auto"/>
          <w:sz w:val="24"/>
          <w:highlight w:val="none"/>
        </w:rPr>
        <w:t>履行与你方订立的合同，向你方提供担保。</w:t>
      </w:r>
    </w:p>
    <w:p w14:paraId="68C6BB6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担保金额人民币（大写）</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元（¥</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w:t>
      </w:r>
    </w:p>
    <w:p w14:paraId="3086E92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担保有效期自委托人与试验检测机构签订的合同生效之日起至委托人签发交工验收证书且试验检测机构按照合同约定提交缺陷责任期保函之日止</w:t>
      </w:r>
      <w:r>
        <w:rPr>
          <w:rStyle w:val="58"/>
          <w:rFonts w:ascii="宋体" w:hAnsi="宋体" w:cs="宋体"/>
          <w:color w:val="auto"/>
          <w:sz w:val="24"/>
          <w:highlight w:val="none"/>
        </w:rPr>
        <w:footnoteReference w:id="121"/>
      </w:r>
      <w:r>
        <w:rPr>
          <w:rFonts w:hint="eastAsia" w:ascii="宋体" w:hAnsi="宋体" w:cs="宋体"/>
          <w:color w:val="auto"/>
          <w:sz w:val="24"/>
          <w:highlight w:val="none"/>
        </w:rPr>
        <w:t>。</w:t>
      </w:r>
    </w:p>
    <w:p w14:paraId="05648449">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在本担保有效期内，因试验检测机构违反合同约定的义务给你方造成经济损失时，我方在收到你方以书面形式提出的在担保金额内的赔偿要求后，在</w:t>
      </w:r>
      <w:r>
        <w:rPr>
          <w:rFonts w:ascii="宋体" w:hAnsi="宋体" w:cs="宋体"/>
          <w:color w:val="auto"/>
          <w:sz w:val="24"/>
          <w:highlight w:val="none"/>
        </w:rPr>
        <w:t>7</w:t>
      </w:r>
      <w:r>
        <w:rPr>
          <w:rFonts w:hint="eastAsia" w:ascii="宋体" w:hAnsi="宋体" w:cs="宋体"/>
          <w:color w:val="auto"/>
          <w:sz w:val="24"/>
          <w:highlight w:val="none"/>
        </w:rPr>
        <w:t>天内无条件支付，无须你方出具证明或陈述理由。</w:t>
      </w:r>
    </w:p>
    <w:p w14:paraId="75E2F21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委托人和试验检测机构按合同条款变更合同时，我方承担本担保规定的义务不变。</w:t>
      </w:r>
    </w:p>
    <w:p w14:paraId="68A3EAE7">
      <w:pPr>
        <w:spacing w:line="360" w:lineRule="auto"/>
        <w:ind w:firstLine="2880" w:firstLineChars="1200"/>
        <w:rPr>
          <w:rFonts w:ascii="宋体" w:hAnsi="宋体" w:cs="宋体"/>
          <w:color w:val="auto"/>
          <w:sz w:val="24"/>
          <w:highlight w:val="none"/>
        </w:rPr>
      </w:pPr>
      <w:r>
        <w:rPr>
          <w:rFonts w:hint="eastAsia" w:ascii="宋体" w:hAnsi="宋体" w:cs="宋体"/>
          <w:color w:val="auto"/>
          <w:sz w:val="24"/>
          <w:highlight w:val="none"/>
        </w:rPr>
        <w:t>担</w:t>
      </w:r>
      <w:r>
        <w:rPr>
          <w:rFonts w:ascii="宋体" w:hAnsi="宋体" w:cs="宋体"/>
          <w:color w:val="auto"/>
          <w:sz w:val="24"/>
          <w:highlight w:val="none"/>
        </w:rPr>
        <w:t xml:space="preserve"> </w:t>
      </w:r>
      <w:r>
        <w:rPr>
          <w:rFonts w:hint="eastAsia" w:ascii="宋体" w:hAnsi="宋体" w:cs="宋体"/>
          <w:color w:val="auto"/>
          <w:sz w:val="24"/>
          <w:highlight w:val="none"/>
        </w:rPr>
        <w:t>保</w:t>
      </w:r>
      <w:r>
        <w:rPr>
          <w:rFonts w:ascii="宋体" w:hAnsi="宋体" w:cs="宋体"/>
          <w:color w:val="auto"/>
          <w:sz w:val="24"/>
          <w:highlight w:val="none"/>
        </w:rPr>
        <w:t xml:space="preserve"> </w:t>
      </w:r>
      <w:r>
        <w:rPr>
          <w:rFonts w:hint="eastAsia" w:ascii="宋体" w:hAnsi="宋体" w:cs="宋体"/>
          <w:color w:val="auto"/>
          <w:sz w:val="24"/>
          <w:highlight w:val="none"/>
        </w:rPr>
        <w:t>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（盖单位章或业务专用章）</w:t>
      </w:r>
      <w:r>
        <w:rPr>
          <w:rFonts w:ascii="宋体" w:hAnsi="宋体" w:cs="宋体"/>
          <w:color w:val="auto"/>
          <w:sz w:val="24"/>
          <w:highlight w:val="none"/>
        </w:rPr>
        <w:t xml:space="preserve">   </w:t>
      </w:r>
    </w:p>
    <w:p w14:paraId="438F9E3E">
      <w:pPr>
        <w:spacing w:line="360" w:lineRule="auto"/>
        <w:ind w:firstLine="2880" w:firstLineChars="1200"/>
        <w:rPr>
          <w:rFonts w:hint="eastAsia" w:ascii="宋体" w:hAnsi="宋体" w:cs="宋体"/>
          <w:color w:val="auto"/>
          <w:sz w:val="24"/>
          <w:highlight w:val="none"/>
        </w:rPr>
      </w:pPr>
      <w:r>
        <w:rPr>
          <w:rFonts w:hint="eastAsia" w:ascii="宋体" w:hAnsi="宋体" w:cs="宋体"/>
          <w:color w:val="auto"/>
          <w:sz w:val="24"/>
          <w:highlight w:val="none"/>
        </w:rPr>
        <w:t>法定代表人</w:t>
      </w:r>
    </w:p>
    <w:p w14:paraId="7EAA9D7C">
      <w:pPr>
        <w:spacing w:line="360" w:lineRule="auto"/>
        <w:ind w:firstLine="2880" w:firstLineChars="1200"/>
        <w:rPr>
          <w:rFonts w:ascii="宋体" w:hAnsi="宋体" w:cs="宋体"/>
          <w:color w:val="auto"/>
          <w:sz w:val="24"/>
          <w:highlight w:val="none"/>
        </w:rPr>
      </w:pPr>
      <w:r>
        <w:rPr>
          <w:rFonts w:hint="eastAsia" w:ascii="宋体" w:hAnsi="宋体" w:cs="宋体"/>
          <w:color w:val="auto"/>
          <w:sz w:val="24"/>
          <w:highlight w:val="none"/>
        </w:rPr>
        <w:t>或</w:t>
      </w:r>
      <w:r>
        <w:rPr>
          <w:rFonts w:hint="eastAsia" w:ascii="宋体" w:hAnsi="宋体" w:cs="宋体"/>
          <w:color w:val="auto"/>
          <w:sz w:val="24"/>
          <w:highlight w:val="none"/>
          <w:lang w:val="en-US" w:eastAsia="zh-CN"/>
        </w:rPr>
        <w:t>单位</w:t>
      </w:r>
      <w:r>
        <w:rPr>
          <w:rFonts w:hint="eastAsia" w:ascii="宋体" w:hAnsi="宋体" w:cs="宋体"/>
          <w:color w:val="auto"/>
          <w:sz w:val="24"/>
          <w:highlight w:val="none"/>
        </w:rPr>
        <w:t>负责人（或其委托代理人）：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ab/>
      </w:r>
      <w:r>
        <w:rPr>
          <w:rFonts w:hint="eastAsia" w:ascii="宋体" w:hAnsi="宋体" w:cs="宋体"/>
          <w:color w:val="auto"/>
          <w:sz w:val="24"/>
          <w:highlight w:val="none"/>
        </w:rPr>
        <w:t>（签字）</w:t>
      </w:r>
      <w:r>
        <w:rPr>
          <w:rFonts w:ascii="宋体" w:hAnsi="宋体" w:cs="宋体"/>
          <w:color w:val="auto"/>
          <w:sz w:val="24"/>
          <w:highlight w:val="none"/>
        </w:rPr>
        <w:t xml:space="preserve"> </w:t>
      </w:r>
    </w:p>
    <w:p w14:paraId="1CB02830">
      <w:pPr>
        <w:spacing w:line="360" w:lineRule="auto"/>
        <w:ind w:firstLine="2880" w:firstLineChars="1200"/>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w:t>
      </w:r>
      <w:r>
        <w:rPr>
          <w:rFonts w:ascii="宋体" w:hAnsi="宋体" w:cs="宋体"/>
          <w:color w:val="auto"/>
          <w:sz w:val="24"/>
          <w:highlight w:val="none"/>
          <w:u w:val="single"/>
        </w:rPr>
        <w:tab/>
      </w:r>
      <w:r>
        <w:rPr>
          <w:rFonts w:ascii="宋体" w:hAnsi="宋体" w:cs="宋体"/>
          <w:color w:val="auto"/>
          <w:sz w:val="24"/>
          <w:highlight w:val="none"/>
          <w:u w:val="single"/>
        </w:rPr>
        <w:tab/>
      </w:r>
      <w:r>
        <w:rPr>
          <w:rFonts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p>
    <w:p w14:paraId="69F14E04">
      <w:pPr>
        <w:spacing w:line="360" w:lineRule="auto"/>
        <w:ind w:firstLine="2880" w:firstLineChars="1200"/>
        <w:rPr>
          <w:rFonts w:ascii="宋体" w:hAnsi="宋体" w:cs="宋体"/>
          <w:color w:val="auto"/>
          <w:sz w:val="24"/>
          <w:highlight w:val="none"/>
          <w:u w:val="single"/>
        </w:rPr>
      </w:pPr>
      <w:r>
        <w:rPr>
          <w:rFonts w:hint="eastAsia" w:ascii="宋体" w:hAnsi="宋体" w:cs="宋体"/>
          <w:color w:val="auto"/>
          <w:sz w:val="24"/>
          <w:highlight w:val="none"/>
        </w:rPr>
        <w:t>邮政编码：</w:t>
      </w:r>
      <w:r>
        <w:rPr>
          <w:rFonts w:ascii="宋体" w:hAnsi="宋体" w:cs="宋体"/>
          <w:color w:val="auto"/>
          <w:sz w:val="24"/>
          <w:highlight w:val="none"/>
          <w:u w:val="single"/>
        </w:rPr>
        <w:tab/>
      </w:r>
      <w:r>
        <w:rPr>
          <w:rFonts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ab/>
      </w:r>
    </w:p>
    <w:p w14:paraId="10478AF9">
      <w:pPr>
        <w:spacing w:line="360" w:lineRule="auto"/>
        <w:ind w:firstLine="2880" w:firstLineChars="1200"/>
        <w:rPr>
          <w:rFonts w:ascii="宋体" w:hAnsi="宋体" w:cs="宋体"/>
          <w:color w:val="auto"/>
          <w:sz w:val="24"/>
          <w:highlight w:val="none"/>
        </w:rPr>
      </w:pPr>
      <w:r>
        <w:rPr>
          <w:rFonts w:hint="eastAsia" w:ascii="宋体" w:hAnsi="宋体" w:cs="宋体"/>
          <w:color w:val="auto"/>
          <w:sz w:val="24"/>
          <w:highlight w:val="none"/>
        </w:rPr>
        <w:t>电</w:t>
      </w:r>
      <w:r>
        <w:rPr>
          <w:rFonts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话：</w:t>
      </w:r>
      <w:r>
        <w:rPr>
          <w:rFonts w:ascii="宋体" w:hAnsi="宋体" w:cs="宋体"/>
          <w:color w:val="auto"/>
          <w:sz w:val="24"/>
          <w:highlight w:val="none"/>
          <w:u w:val="single"/>
        </w:rPr>
        <w:tab/>
      </w:r>
      <w:r>
        <w:rPr>
          <w:rFonts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ab/>
      </w:r>
      <w:r>
        <w:rPr>
          <w:rFonts w:ascii="宋体" w:hAnsi="宋体" w:cs="宋体"/>
          <w:color w:val="auto"/>
          <w:sz w:val="24"/>
          <w:highlight w:val="none"/>
          <w:u w:val="single"/>
        </w:rPr>
        <w:tab/>
      </w:r>
      <w:r>
        <w:rPr>
          <w:rFonts w:ascii="宋体" w:hAnsi="宋体" w:cs="宋体"/>
          <w:color w:val="auto"/>
          <w:sz w:val="24"/>
          <w:highlight w:val="none"/>
        </w:rPr>
        <w:t xml:space="preserve"> </w:t>
      </w:r>
    </w:p>
    <w:p w14:paraId="657A0B9D">
      <w:pPr>
        <w:spacing w:line="360" w:lineRule="auto"/>
        <w:ind w:firstLine="2880" w:firstLineChars="1200"/>
        <w:rPr>
          <w:rFonts w:ascii="宋体" w:hAnsi="宋体" w:cs="宋体"/>
          <w:color w:val="auto"/>
          <w:sz w:val="24"/>
          <w:highlight w:val="none"/>
        </w:rPr>
      </w:pPr>
      <w:r>
        <w:rPr>
          <w:rFonts w:hint="eastAsia" w:ascii="宋体" w:hAnsi="宋体" w:cs="宋体"/>
          <w:color w:val="auto"/>
          <w:sz w:val="24"/>
          <w:highlight w:val="none"/>
        </w:rPr>
        <w:t>传</w:t>
      </w:r>
      <w:r>
        <w:rPr>
          <w:rFonts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真：</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ab/>
      </w:r>
      <w:r>
        <w:rPr>
          <w:rFonts w:ascii="宋体" w:hAnsi="宋体" w:cs="宋体"/>
          <w:color w:val="auto"/>
          <w:sz w:val="24"/>
          <w:highlight w:val="none"/>
          <w:u w:val="single"/>
        </w:rPr>
        <w:tab/>
      </w:r>
      <w:r>
        <w:rPr>
          <w:rFonts w:ascii="宋体" w:hAnsi="宋体" w:cs="宋体"/>
          <w:color w:val="auto"/>
          <w:sz w:val="24"/>
          <w:highlight w:val="none"/>
          <w:u w:val="single"/>
        </w:rPr>
        <w:tab/>
      </w:r>
    </w:p>
    <w:p w14:paraId="536BA531">
      <w:pPr>
        <w:spacing w:line="360" w:lineRule="auto"/>
        <w:ind w:firstLine="5400" w:firstLineChars="2250"/>
        <w:rPr>
          <w:rFonts w:ascii="宋体" w:hAnsi="宋体" w:cs="宋体"/>
          <w:color w:val="auto"/>
          <w:sz w:val="24"/>
          <w:highlight w:val="none"/>
        </w:rPr>
      </w:pP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14:paraId="15342F5B">
      <w:pPr>
        <w:pStyle w:val="276"/>
        <w:rPr>
          <w:rFonts w:ascii="宋体" w:hAnsi="宋体" w:cs="宋体"/>
          <w:color w:val="auto"/>
          <w:highlight w:val="none"/>
        </w:rPr>
      </w:pPr>
    </w:p>
    <w:p w14:paraId="4F047C1B">
      <w:pPr>
        <w:pStyle w:val="276"/>
        <w:rPr>
          <w:rFonts w:ascii="宋体" w:hAnsi="宋体" w:cs="宋体"/>
          <w:color w:val="auto"/>
          <w:highlight w:val="none"/>
        </w:rPr>
      </w:pPr>
    </w:p>
    <w:p w14:paraId="77502B81">
      <w:pPr>
        <w:pStyle w:val="276"/>
        <w:rPr>
          <w:rFonts w:ascii="宋体" w:hAnsi="宋体" w:cs="宋体"/>
          <w:color w:val="auto"/>
          <w:highlight w:val="none"/>
        </w:rPr>
      </w:pPr>
    </w:p>
    <w:p w14:paraId="201CEDA6">
      <w:pPr>
        <w:pStyle w:val="276"/>
        <w:rPr>
          <w:rFonts w:ascii="宋体" w:hAnsi="宋体" w:cs="宋体"/>
          <w:color w:val="auto"/>
          <w:highlight w:val="none"/>
        </w:rPr>
      </w:pPr>
    </w:p>
    <w:p w14:paraId="324010C1">
      <w:pPr>
        <w:pStyle w:val="276"/>
        <w:rPr>
          <w:rFonts w:ascii="宋体" w:hAnsi="宋体" w:cs="宋体"/>
          <w:color w:val="auto"/>
          <w:highlight w:val="none"/>
        </w:rPr>
      </w:pPr>
    </w:p>
    <w:p w14:paraId="13ABC4A0">
      <w:pPr>
        <w:pStyle w:val="276"/>
        <w:rPr>
          <w:rFonts w:ascii="宋体" w:hAnsi="宋体" w:cs="宋体"/>
          <w:color w:val="auto"/>
          <w:highlight w:val="none"/>
        </w:rPr>
      </w:pPr>
    </w:p>
    <w:p w14:paraId="238BFC91">
      <w:pPr>
        <w:pStyle w:val="276"/>
        <w:rPr>
          <w:rFonts w:ascii="宋体" w:hAnsi="宋体" w:cs="宋体"/>
          <w:color w:val="auto"/>
          <w:highlight w:val="none"/>
        </w:rPr>
      </w:pPr>
    </w:p>
    <w:p w14:paraId="4A27AD09">
      <w:pPr>
        <w:pStyle w:val="276"/>
        <w:rPr>
          <w:rFonts w:ascii="宋体" w:hAnsi="宋体" w:cs="宋体"/>
          <w:color w:val="auto"/>
          <w:highlight w:val="none"/>
        </w:rPr>
      </w:pPr>
    </w:p>
    <w:p w14:paraId="24DBFC7C">
      <w:pPr>
        <w:pStyle w:val="276"/>
        <w:rPr>
          <w:rFonts w:ascii="宋体" w:hAnsi="宋体" w:cs="宋体"/>
          <w:color w:val="auto"/>
          <w:highlight w:val="none"/>
        </w:rPr>
      </w:pPr>
    </w:p>
    <w:p w14:paraId="15758EF3">
      <w:pPr>
        <w:pStyle w:val="276"/>
        <w:rPr>
          <w:rFonts w:ascii="宋体" w:hAnsi="宋体" w:cs="宋体"/>
          <w:color w:val="auto"/>
          <w:highlight w:val="none"/>
        </w:rPr>
      </w:pPr>
    </w:p>
    <w:p w14:paraId="331CA57F">
      <w:pPr>
        <w:pStyle w:val="276"/>
        <w:rPr>
          <w:rFonts w:ascii="宋体" w:hAnsi="宋体" w:cs="宋体"/>
          <w:color w:val="auto"/>
          <w:highlight w:val="none"/>
        </w:rPr>
      </w:pPr>
    </w:p>
    <w:p w14:paraId="6097D036">
      <w:pPr>
        <w:pStyle w:val="276"/>
        <w:rPr>
          <w:rFonts w:ascii="宋体" w:hAnsi="宋体" w:cs="宋体"/>
          <w:color w:val="auto"/>
          <w:highlight w:val="none"/>
        </w:rPr>
      </w:pPr>
    </w:p>
    <w:p w14:paraId="5693CAF7">
      <w:pPr>
        <w:pStyle w:val="276"/>
        <w:rPr>
          <w:rFonts w:ascii="宋体" w:hAnsi="宋体" w:cs="宋体"/>
          <w:color w:val="auto"/>
          <w:highlight w:val="none"/>
        </w:rPr>
      </w:pPr>
    </w:p>
    <w:p w14:paraId="0E3A9778">
      <w:pPr>
        <w:pStyle w:val="276"/>
        <w:rPr>
          <w:rFonts w:ascii="宋体" w:hAnsi="宋体" w:cs="宋体"/>
          <w:color w:val="auto"/>
          <w:highlight w:val="none"/>
        </w:rPr>
      </w:pPr>
    </w:p>
    <w:p w14:paraId="40B1AFE0">
      <w:pPr>
        <w:pStyle w:val="276"/>
        <w:rPr>
          <w:rFonts w:ascii="宋体" w:hAnsi="宋体" w:cs="宋体"/>
          <w:color w:val="auto"/>
          <w:highlight w:val="none"/>
        </w:rPr>
      </w:pPr>
    </w:p>
    <w:p w14:paraId="561D1CED">
      <w:pPr>
        <w:pStyle w:val="276"/>
        <w:rPr>
          <w:rFonts w:ascii="宋体" w:hAnsi="宋体" w:cs="宋体"/>
          <w:color w:val="auto"/>
          <w:highlight w:val="none"/>
        </w:rPr>
      </w:pPr>
    </w:p>
    <w:p w14:paraId="7DB59FD8">
      <w:pPr>
        <w:pStyle w:val="276"/>
        <w:rPr>
          <w:rFonts w:ascii="宋体" w:hAnsi="宋体" w:cs="宋体"/>
          <w:color w:val="auto"/>
          <w:highlight w:val="none"/>
        </w:rPr>
      </w:pPr>
    </w:p>
    <w:p w14:paraId="46D6E3BE">
      <w:pPr>
        <w:pStyle w:val="276"/>
        <w:rPr>
          <w:rFonts w:ascii="宋体" w:hAnsi="宋体" w:cs="宋体"/>
          <w:color w:val="auto"/>
          <w:highlight w:val="none"/>
        </w:rPr>
      </w:pPr>
    </w:p>
    <w:p w14:paraId="2A9B4585">
      <w:pPr>
        <w:pStyle w:val="276"/>
        <w:rPr>
          <w:rFonts w:ascii="宋体" w:hAnsi="宋体" w:cs="宋体"/>
          <w:color w:val="auto"/>
          <w:highlight w:val="none"/>
        </w:rPr>
      </w:pPr>
    </w:p>
    <w:p w14:paraId="55D54030">
      <w:pPr>
        <w:pStyle w:val="276"/>
        <w:rPr>
          <w:rFonts w:ascii="宋体" w:hAnsi="宋体" w:cs="宋体"/>
          <w:color w:val="auto"/>
          <w:highlight w:val="none"/>
        </w:rPr>
      </w:pPr>
    </w:p>
    <w:p w14:paraId="13002FD4">
      <w:pPr>
        <w:pStyle w:val="4"/>
        <w:spacing w:before="0" w:after="0" w:line="240" w:lineRule="auto"/>
        <w:rPr>
          <w:rFonts w:ascii="黑体" w:hAnsi="黑体" w:cs="黑体"/>
          <w:color w:val="auto"/>
          <w:sz w:val="76"/>
          <w:szCs w:val="76"/>
          <w:highlight w:val="none"/>
        </w:rPr>
      </w:pPr>
      <w:bookmarkStart w:id="665" w:name="_Toc74760924"/>
      <w:r>
        <w:rPr>
          <w:rFonts w:hint="eastAsia" w:ascii="黑体" w:hAnsi="黑体" w:cs="黑体"/>
          <w:color w:val="auto"/>
          <w:sz w:val="76"/>
          <w:szCs w:val="76"/>
          <w:highlight w:val="none"/>
        </w:rPr>
        <w:t>第</w:t>
      </w:r>
      <w:r>
        <w:rPr>
          <w:rFonts w:ascii="黑体" w:hAnsi="黑体" w:cs="黑体"/>
          <w:color w:val="auto"/>
          <w:sz w:val="76"/>
          <w:szCs w:val="76"/>
          <w:highlight w:val="none"/>
        </w:rPr>
        <w:t xml:space="preserve"> </w:t>
      </w:r>
      <w:r>
        <w:rPr>
          <w:rFonts w:hint="eastAsia" w:ascii="黑体" w:hAnsi="黑体" w:cs="黑体"/>
          <w:color w:val="auto"/>
          <w:sz w:val="76"/>
          <w:szCs w:val="76"/>
          <w:highlight w:val="none"/>
        </w:rPr>
        <w:t>二</w:t>
      </w:r>
      <w:r>
        <w:rPr>
          <w:rFonts w:ascii="黑体" w:hAnsi="黑体" w:cs="黑体"/>
          <w:color w:val="auto"/>
          <w:sz w:val="76"/>
          <w:szCs w:val="76"/>
          <w:highlight w:val="none"/>
        </w:rPr>
        <w:t xml:space="preserve"> </w:t>
      </w:r>
      <w:r>
        <w:rPr>
          <w:rFonts w:hint="eastAsia" w:ascii="黑体" w:hAnsi="黑体" w:cs="黑体"/>
          <w:color w:val="auto"/>
          <w:sz w:val="76"/>
          <w:szCs w:val="76"/>
          <w:highlight w:val="none"/>
        </w:rPr>
        <w:t>卷</w:t>
      </w:r>
      <w:bookmarkEnd w:id="665"/>
    </w:p>
    <w:p w14:paraId="40F3619C">
      <w:pPr>
        <w:pStyle w:val="276"/>
        <w:rPr>
          <w:rFonts w:ascii="宋体" w:hAnsi="宋体" w:cs="宋体"/>
          <w:color w:val="auto"/>
          <w:highlight w:val="none"/>
        </w:rPr>
      </w:pPr>
    </w:p>
    <w:p w14:paraId="07A00FA9">
      <w:pPr>
        <w:pStyle w:val="276"/>
        <w:rPr>
          <w:rFonts w:ascii="宋体" w:hAnsi="宋体" w:cs="宋体"/>
          <w:color w:val="auto"/>
          <w:highlight w:val="none"/>
        </w:rPr>
      </w:pPr>
    </w:p>
    <w:p w14:paraId="708247D2">
      <w:pPr>
        <w:pStyle w:val="276"/>
        <w:rPr>
          <w:rFonts w:ascii="宋体" w:hAnsi="宋体" w:cs="宋体"/>
          <w:color w:val="auto"/>
          <w:highlight w:val="none"/>
        </w:rPr>
      </w:pPr>
    </w:p>
    <w:p w14:paraId="38216C31">
      <w:pPr>
        <w:pStyle w:val="276"/>
        <w:rPr>
          <w:rFonts w:ascii="宋体" w:hAnsi="宋体" w:cs="宋体"/>
          <w:color w:val="auto"/>
          <w:highlight w:val="none"/>
        </w:rPr>
      </w:pPr>
    </w:p>
    <w:p w14:paraId="6892C346">
      <w:pPr>
        <w:pStyle w:val="276"/>
        <w:rPr>
          <w:rFonts w:ascii="宋体" w:hAnsi="宋体" w:cs="宋体"/>
          <w:color w:val="auto"/>
          <w:highlight w:val="none"/>
        </w:rPr>
      </w:pPr>
    </w:p>
    <w:p w14:paraId="0648307D">
      <w:pPr>
        <w:pStyle w:val="276"/>
        <w:rPr>
          <w:rFonts w:ascii="宋体" w:hAnsi="宋体" w:cs="宋体"/>
          <w:color w:val="auto"/>
          <w:highlight w:val="none"/>
        </w:rPr>
      </w:pPr>
    </w:p>
    <w:p w14:paraId="4290574B">
      <w:pPr>
        <w:pStyle w:val="276"/>
        <w:rPr>
          <w:rFonts w:ascii="宋体" w:hAnsi="宋体" w:cs="宋体"/>
          <w:color w:val="auto"/>
          <w:highlight w:val="none"/>
        </w:rPr>
      </w:pPr>
    </w:p>
    <w:p w14:paraId="4A75F5A5">
      <w:pPr>
        <w:pStyle w:val="276"/>
        <w:rPr>
          <w:rFonts w:ascii="宋体" w:hAnsi="宋体" w:cs="宋体"/>
          <w:color w:val="auto"/>
          <w:highlight w:val="none"/>
        </w:rPr>
      </w:pPr>
    </w:p>
    <w:p w14:paraId="6CBD3DC3">
      <w:pPr>
        <w:pStyle w:val="276"/>
        <w:rPr>
          <w:rFonts w:ascii="宋体" w:hAnsi="宋体" w:cs="宋体"/>
          <w:color w:val="auto"/>
          <w:highlight w:val="none"/>
        </w:rPr>
      </w:pPr>
    </w:p>
    <w:p w14:paraId="35085D25">
      <w:pPr>
        <w:pStyle w:val="276"/>
        <w:rPr>
          <w:rFonts w:ascii="宋体" w:hAnsi="宋体" w:cs="宋体"/>
          <w:color w:val="auto"/>
          <w:highlight w:val="none"/>
        </w:rPr>
      </w:pPr>
    </w:p>
    <w:p w14:paraId="7D50F98C">
      <w:pPr>
        <w:pStyle w:val="276"/>
        <w:rPr>
          <w:rFonts w:ascii="宋体" w:hAnsi="宋体" w:cs="宋体"/>
          <w:color w:val="auto"/>
          <w:highlight w:val="none"/>
        </w:rPr>
      </w:pPr>
    </w:p>
    <w:p w14:paraId="7F8F82FC">
      <w:pPr>
        <w:pStyle w:val="276"/>
        <w:rPr>
          <w:rFonts w:ascii="宋体" w:hAnsi="宋体" w:cs="宋体"/>
          <w:color w:val="auto"/>
          <w:highlight w:val="none"/>
        </w:rPr>
      </w:pPr>
    </w:p>
    <w:p w14:paraId="14DDC851">
      <w:pPr>
        <w:pStyle w:val="276"/>
        <w:rPr>
          <w:rFonts w:ascii="宋体" w:hAnsi="宋体" w:cs="宋体"/>
          <w:color w:val="auto"/>
          <w:highlight w:val="none"/>
        </w:rPr>
      </w:pPr>
    </w:p>
    <w:p w14:paraId="7299AF2A">
      <w:pPr>
        <w:pStyle w:val="276"/>
        <w:rPr>
          <w:rFonts w:ascii="宋体" w:hAnsi="宋体" w:cs="宋体"/>
          <w:color w:val="auto"/>
          <w:highlight w:val="none"/>
        </w:rPr>
      </w:pPr>
    </w:p>
    <w:p w14:paraId="53EB2E39">
      <w:pPr>
        <w:pStyle w:val="276"/>
        <w:rPr>
          <w:rFonts w:ascii="宋体" w:hAnsi="宋体" w:cs="宋体"/>
          <w:color w:val="auto"/>
          <w:highlight w:val="none"/>
        </w:rPr>
      </w:pPr>
    </w:p>
    <w:p w14:paraId="253A788F">
      <w:pPr>
        <w:pStyle w:val="276"/>
        <w:rPr>
          <w:rFonts w:ascii="宋体" w:hAnsi="宋体" w:cs="宋体"/>
          <w:color w:val="auto"/>
          <w:highlight w:val="none"/>
        </w:rPr>
      </w:pPr>
    </w:p>
    <w:p w14:paraId="560F473B">
      <w:pPr>
        <w:pStyle w:val="276"/>
        <w:rPr>
          <w:rFonts w:ascii="宋体" w:hAnsi="宋体" w:cs="宋体"/>
          <w:color w:val="auto"/>
          <w:highlight w:val="none"/>
        </w:rPr>
      </w:pPr>
    </w:p>
    <w:p w14:paraId="76E09DE1">
      <w:pPr>
        <w:pStyle w:val="276"/>
        <w:rPr>
          <w:rFonts w:ascii="宋体" w:hAnsi="宋体" w:cs="宋体"/>
          <w:color w:val="auto"/>
          <w:highlight w:val="none"/>
        </w:rPr>
      </w:pPr>
    </w:p>
    <w:p w14:paraId="05D24879">
      <w:pPr>
        <w:pStyle w:val="276"/>
        <w:rPr>
          <w:rFonts w:ascii="宋体" w:hAnsi="宋体" w:cs="宋体"/>
          <w:color w:val="auto"/>
          <w:highlight w:val="none"/>
        </w:rPr>
      </w:pPr>
    </w:p>
    <w:p w14:paraId="2EC5116C">
      <w:pPr>
        <w:pStyle w:val="276"/>
        <w:rPr>
          <w:rFonts w:ascii="宋体" w:hAnsi="宋体" w:cs="宋体"/>
          <w:color w:val="auto"/>
          <w:highlight w:val="none"/>
        </w:rPr>
      </w:pPr>
    </w:p>
    <w:p w14:paraId="11B91221">
      <w:pPr>
        <w:pStyle w:val="276"/>
        <w:rPr>
          <w:rFonts w:ascii="宋体" w:hAnsi="宋体" w:cs="宋体"/>
          <w:color w:val="auto"/>
          <w:highlight w:val="none"/>
        </w:rPr>
      </w:pPr>
    </w:p>
    <w:p w14:paraId="56EEC33E">
      <w:pPr>
        <w:pStyle w:val="276"/>
        <w:rPr>
          <w:rFonts w:ascii="宋体" w:hAnsi="宋体" w:cs="宋体"/>
          <w:color w:val="auto"/>
          <w:highlight w:val="none"/>
        </w:rPr>
      </w:pPr>
    </w:p>
    <w:p w14:paraId="1E620F21">
      <w:pPr>
        <w:pStyle w:val="276"/>
        <w:rPr>
          <w:rFonts w:ascii="宋体" w:hAnsi="宋体" w:cs="宋体"/>
          <w:color w:val="auto"/>
          <w:highlight w:val="none"/>
        </w:rPr>
      </w:pPr>
    </w:p>
    <w:p w14:paraId="6DDFD652">
      <w:pPr>
        <w:pStyle w:val="276"/>
        <w:rPr>
          <w:rFonts w:ascii="宋体" w:hAnsi="宋体" w:cs="宋体"/>
          <w:color w:val="auto"/>
          <w:highlight w:val="none"/>
        </w:rPr>
      </w:pPr>
    </w:p>
    <w:p w14:paraId="2F9FCEC6">
      <w:pPr>
        <w:pStyle w:val="276"/>
        <w:rPr>
          <w:rFonts w:ascii="宋体" w:hAnsi="宋体" w:cs="宋体"/>
          <w:color w:val="auto"/>
          <w:highlight w:val="none"/>
        </w:rPr>
      </w:pPr>
    </w:p>
    <w:p w14:paraId="24905301">
      <w:pPr>
        <w:pStyle w:val="276"/>
        <w:rPr>
          <w:rFonts w:ascii="宋体" w:hAnsi="宋体" w:cs="宋体"/>
          <w:color w:val="auto"/>
          <w:highlight w:val="none"/>
        </w:rPr>
      </w:pPr>
    </w:p>
    <w:p w14:paraId="358A57D1">
      <w:pPr>
        <w:pStyle w:val="276"/>
        <w:rPr>
          <w:rFonts w:ascii="宋体" w:hAnsi="宋体" w:cs="宋体"/>
          <w:color w:val="auto"/>
          <w:highlight w:val="none"/>
        </w:rPr>
      </w:pPr>
    </w:p>
    <w:p w14:paraId="1D314CD4">
      <w:pPr>
        <w:pStyle w:val="276"/>
        <w:rPr>
          <w:rFonts w:ascii="宋体" w:hAnsi="宋体" w:cs="宋体"/>
          <w:color w:val="auto"/>
          <w:highlight w:val="none"/>
        </w:rPr>
      </w:pPr>
    </w:p>
    <w:p w14:paraId="2B3BE8B7">
      <w:pPr>
        <w:pStyle w:val="276"/>
        <w:rPr>
          <w:rFonts w:ascii="宋体" w:hAnsi="宋体" w:cs="宋体"/>
          <w:color w:val="auto"/>
          <w:highlight w:val="none"/>
        </w:rPr>
      </w:pPr>
    </w:p>
    <w:p w14:paraId="037DA23A">
      <w:pPr>
        <w:pStyle w:val="276"/>
        <w:rPr>
          <w:rFonts w:ascii="宋体" w:hAnsi="宋体" w:cs="宋体"/>
          <w:color w:val="auto"/>
          <w:highlight w:val="none"/>
        </w:rPr>
      </w:pPr>
    </w:p>
    <w:p w14:paraId="01CAEF1A">
      <w:pPr>
        <w:pStyle w:val="276"/>
        <w:rPr>
          <w:rFonts w:ascii="宋体" w:hAnsi="宋体" w:cs="宋体"/>
          <w:color w:val="auto"/>
          <w:highlight w:val="none"/>
        </w:rPr>
      </w:pPr>
    </w:p>
    <w:p w14:paraId="29AA81C9">
      <w:pPr>
        <w:pStyle w:val="276"/>
        <w:rPr>
          <w:rFonts w:ascii="宋体" w:hAnsi="宋体" w:cs="宋体"/>
          <w:color w:val="auto"/>
          <w:highlight w:val="none"/>
        </w:rPr>
      </w:pPr>
    </w:p>
    <w:p w14:paraId="3B609B06">
      <w:pPr>
        <w:pStyle w:val="276"/>
        <w:rPr>
          <w:rFonts w:ascii="宋体" w:hAnsi="宋体" w:cs="宋体"/>
          <w:color w:val="auto"/>
          <w:highlight w:val="none"/>
        </w:rPr>
      </w:pPr>
    </w:p>
    <w:p w14:paraId="00ECF209">
      <w:pPr>
        <w:pStyle w:val="276"/>
        <w:rPr>
          <w:rFonts w:ascii="宋体" w:hAnsi="宋体" w:cs="宋体"/>
          <w:color w:val="auto"/>
          <w:highlight w:val="none"/>
        </w:rPr>
      </w:pPr>
    </w:p>
    <w:p w14:paraId="7F7AECC4">
      <w:pPr>
        <w:pStyle w:val="276"/>
        <w:rPr>
          <w:rFonts w:ascii="宋体" w:hAnsi="宋体" w:cs="宋体"/>
          <w:color w:val="auto"/>
          <w:highlight w:val="none"/>
        </w:rPr>
      </w:pPr>
    </w:p>
    <w:p w14:paraId="50F6F878">
      <w:pPr>
        <w:pStyle w:val="276"/>
        <w:rPr>
          <w:rFonts w:ascii="宋体" w:hAnsi="宋体" w:cs="宋体"/>
          <w:color w:val="auto"/>
          <w:highlight w:val="none"/>
        </w:rPr>
      </w:pPr>
    </w:p>
    <w:p w14:paraId="3303C6CE">
      <w:pPr>
        <w:pStyle w:val="276"/>
        <w:rPr>
          <w:rFonts w:ascii="宋体" w:hAnsi="宋体" w:cs="宋体"/>
          <w:color w:val="auto"/>
          <w:highlight w:val="none"/>
        </w:rPr>
      </w:pPr>
    </w:p>
    <w:p w14:paraId="6B61B513">
      <w:pPr>
        <w:pStyle w:val="276"/>
        <w:rPr>
          <w:rFonts w:ascii="宋体" w:hAnsi="宋体" w:cs="宋体"/>
          <w:color w:val="auto"/>
          <w:highlight w:val="none"/>
        </w:rPr>
      </w:pPr>
    </w:p>
    <w:p w14:paraId="32B9833C">
      <w:pPr>
        <w:pStyle w:val="276"/>
        <w:rPr>
          <w:rFonts w:ascii="宋体" w:hAnsi="宋体" w:cs="宋体"/>
          <w:color w:val="auto"/>
          <w:highlight w:val="none"/>
        </w:rPr>
      </w:pPr>
    </w:p>
    <w:p w14:paraId="647B4F5D">
      <w:pPr>
        <w:pStyle w:val="276"/>
        <w:rPr>
          <w:rFonts w:ascii="宋体" w:hAnsi="宋体" w:cs="宋体"/>
          <w:color w:val="auto"/>
          <w:highlight w:val="none"/>
        </w:rPr>
      </w:pPr>
    </w:p>
    <w:p w14:paraId="06BF188F">
      <w:pPr>
        <w:pStyle w:val="276"/>
        <w:rPr>
          <w:rFonts w:ascii="宋体" w:hAnsi="宋体" w:cs="宋体"/>
          <w:color w:val="auto"/>
          <w:highlight w:val="none"/>
        </w:rPr>
      </w:pPr>
    </w:p>
    <w:p w14:paraId="6D23673A">
      <w:pPr>
        <w:pStyle w:val="276"/>
        <w:rPr>
          <w:rFonts w:ascii="宋体" w:hAnsi="宋体" w:cs="宋体"/>
          <w:color w:val="auto"/>
          <w:highlight w:val="none"/>
        </w:rPr>
      </w:pPr>
    </w:p>
    <w:p w14:paraId="6F515D5A">
      <w:pPr>
        <w:pStyle w:val="276"/>
        <w:rPr>
          <w:rFonts w:ascii="宋体" w:hAnsi="宋体" w:cs="宋体"/>
          <w:color w:val="auto"/>
          <w:highlight w:val="none"/>
        </w:rPr>
      </w:pPr>
    </w:p>
    <w:p w14:paraId="55B9C18D">
      <w:pPr>
        <w:pStyle w:val="276"/>
        <w:rPr>
          <w:rFonts w:ascii="宋体" w:hAnsi="宋体" w:cs="宋体"/>
          <w:color w:val="auto"/>
          <w:highlight w:val="none"/>
        </w:rPr>
      </w:pPr>
    </w:p>
    <w:p w14:paraId="54169D1D">
      <w:pPr>
        <w:pStyle w:val="276"/>
        <w:rPr>
          <w:rFonts w:ascii="宋体" w:hAnsi="宋体" w:cs="宋体"/>
          <w:color w:val="auto"/>
          <w:highlight w:val="none"/>
        </w:rPr>
      </w:pPr>
    </w:p>
    <w:p w14:paraId="4B3E603A">
      <w:pPr>
        <w:pStyle w:val="276"/>
        <w:rPr>
          <w:rFonts w:ascii="宋体" w:hAnsi="宋体" w:cs="宋体"/>
          <w:color w:val="auto"/>
          <w:highlight w:val="none"/>
        </w:rPr>
      </w:pPr>
    </w:p>
    <w:p w14:paraId="43CEF197">
      <w:pPr>
        <w:pStyle w:val="276"/>
        <w:rPr>
          <w:rFonts w:ascii="宋体" w:hAnsi="宋体" w:cs="宋体"/>
          <w:color w:val="auto"/>
          <w:highlight w:val="none"/>
        </w:rPr>
      </w:pPr>
    </w:p>
    <w:p w14:paraId="1DBAB7FB">
      <w:pPr>
        <w:pStyle w:val="4"/>
        <w:rPr>
          <w:rFonts w:ascii="黑体" w:hAnsi="黑体" w:cs="黑体"/>
          <w:b w:val="0"/>
          <w:color w:val="auto"/>
          <w:sz w:val="52"/>
          <w:szCs w:val="52"/>
          <w:highlight w:val="none"/>
        </w:rPr>
      </w:pPr>
      <w:bookmarkStart w:id="666" w:name="_Toc74760925"/>
      <w:r>
        <w:rPr>
          <w:rFonts w:hint="eastAsia" w:ascii="黑体" w:hAnsi="黑体" w:cs="黑体"/>
          <w:b w:val="0"/>
          <w:color w:val="auto"/>
          <w:sz w:val="52"/>
          <w:szCs w:val="52"/>
          <w:highlight w:val="none"/>
        </w:rPr>
        <w:t>第五章</w:t>
      </w:r>
      <w:r>
        <w:rPr>
          <w:rFonts w:ascii="黑体" w:hAnsi="黑体" w:cs="黑体"/>
          <w:b w:val="0"/>
          <w:color w:val="auto"/>
          <w:sz w:val="52"/>
          <w:szCs w:val="52"/>
          <w:highlight w:val="none"/>
        </w:rPr>
        <w:t xml:space="preserve">  </w:t>
      </w:r>
      <w:r>
        <w:rPr>
          <w:rFonts w:hint="eastAsia" w:ascii="黑体" w:hAnsi="黑体" w:cs="黑体"/>
          <w:b w:val="0"/>
          <w:color w:val="auto"/>
          <w:sz w:val="52"/>
          <w:szCs w:val="52"/>
          <w:highlight w:val="none"/>
        </w:rPr>
        <w:t>委托人要求</w:t>
      </w:r>
      <w:r>
        <w:rPr>
          <w:rStyle w:val="58"/>
          <w:rFonts w:ascii="黑体" w:hAnsi="黑体" w:cs="黑体"/>
          <w:b w:val="0"/>
          <w:color w:val="auto"/>
          <w:sz w:val="52"/>
          <w:szCs w:val="52"/>
          <w:highlight w:val="none"/>
        </w:rPr>
        <w:footnoteReference w:id="122"/>
      </w:r>
      <w:bookmarkEnd w:id="666"/>
    </w:p>
    <w:p w14:paraId="27856783">
      <w:pPr>
        <w:pStyle w:val="276"/>
        <w:rPr>
          <w:rFonts w:ascii="宋体" w:hAnsi="宋体" w:cs="宋体"/>
          <w:color w:val="auto"/>
          <w:highlight w:val="none"/>
        </w:rPr>
      </w:pPr>
    </w:p>
    <w:p w14:paraId="21986C1A">
      <w:pPr>
        <w:pStyle w:val="276"/>
        <w:rPr>
          <w:rFonts w:ascii="宋体" w:hAnsi="宋体" w:cs="宋体"/>
          <w:color w:val="auto"/>
          <w:highlight w:val="none"/>
        </w:rPr>
      </w:pPr>
    </w:p>
    <w:p w14:paraId="34C30271">
      <w:pPr>
        <w:pStyle w:val="276"/>
        <w:rPr>
          <w:rFonts w:ascii="宋体" w:hAnsi="宋体" w:cs="宋体"/>
          <w:color w:val="auto"/>
          <w:highlight w:val="none"/>
        </w:rPr>
      </w:pPr>
    </w:p>
    <w:p w14:paraId="66950FBE">
      <w:pPr>
        <w:pStyle w:val="276"/>
        <w:rPr>
          <w:rFonts w:ascii="宋体" w:hAnsi="宋体" w:cs="宋体"/>
          <w:color w:val="auto"/>
          <w:highlight w:val="none"/>
        </w:rPr>
      </w:pPr>
    </w:p>
    <w:p w14:paraId="55810280">
      <w:pPr>
        <w:pStyle w:val="276"/>
        <w:rPr>
          <w:rFonts w:ascii="宋体" w:hAnsi="宋体" w:cs="宋体"/>
          <w:color w:val="auto"/>
          <w:highlight w:val="none"/>
        </w:rPr>
      </w:pPr>
    </w:p>
    <w:p w14:paraId="1C4EF868">
      <w:pPr>
        <w:pStyle w:val="276"/>
        <w:rPr>
          <w:rFonts w:ascii="宋体" w:hAnsi="宋体" w:cs="宋体"/>
          <w:color w:val="auto"/>
          <w:highlight w:val="none"/>
        </w:rPr>
      </w:pPr>
    </w:p>
    <w:p w14:paraId="6426BD28">
      <w:pPr>
        <w:pStyle w:val="276"/>
        <w:rPr>
          <w:rFonts w:ascii="宋体" w:hAnsi="宋体" w:cs="宋体"/>
          <w:color w:val="auto"/>
          <w:highlight w:val="none"/>
        </w:rPr>
      </w:pPr>
    </w:p>
    <w:p w14:paraId="4BDF5435">
      <w:pPr>
        <w:widowControl/>
        <w:jc w:val="left"/>
        <w:rPr>
          <w:rFonts w:ascii="宋体" w:hAnsi="宋体" w:cs="宋体"/>
          <w:b/>
          <w:color w:val="auto"/>
          <w:sz w:val="32"/>
          <w:szCs w:val="32"/>
          <w:highlight w:val="none"/>
        </w:rPr>
      </w:pPr>
      <w:r>
        <w:rPr>
          <w:rFonts w:ascii="宋体" w:hAnsi="宋体" w:cs="宋体"/>
          <w:b/>
          <w:color w:val="auto"/>
          <w:sz w:val="32"/>
          <w:szCs w:val="32"/>
          <w:highlight w:val="none"/>
        </w:rPr>
        <w:br w:type="page"/>
      </w:r>
    </w:p>
    <w:p w14:paraId="35637FB1">
      <w:pPr>
        <w:spacing w:line="360" w:lineRule="auto"/>
        <w:jc w:val="center"/>
        <w:rPr>
          <w:rFonts w:ascii="黑体" w:hAnsi="黑体" w:eastAsia="黑体" w:cs="宋体"/>
          <w:color w:val="auto"/>
          <w:sz w:val="32"/>
          <w:szCs w:val="32"/>
          <w:highlight w:val="none"/>
        </w:rPr>
      </w:pPr>
      <w:r>
        <w:rPr>
          <w:rFonts w:hint="eastAsia" w:ascii="黑体" w:hAnsi="黑体" w:eastAsia="黑体" w:cs="宋体"/>
          <w:color w:val="auto"/>
          <w:sz w:val="32"/>
          <w:szCs w:val="32"/>
          <w:highlight w:val="none"/>
        </w:rPr>
        <w:t>委</w:t>
      </w:r>
      <w:r>
        <w:rPr>
          <w:rFonts w:ascii="黑体" w:hAnsi="黑体" w:eastAsia="黑体" w:cs="宋体"/>
          <w:color w:val="auto"/>
          <w:sz w:val="32"/>
          <w:szCs w:val="32"/>
          <w:highlight w:val="none"/>
        </w:rPr>
        <w:t xml:space="preserve"> </w:t>
      </w:r>
      <w:r>
        <w:rPr>
          <w:rFonts w:hint="eastAsia" w:ascii="黑体" w:hAnsi="黑体" w:eastAsia="黑体" w:cs="宋体"/>
          <w:color w:val="auto"/>
          <w:sz w:val="32"/>
          <w:szCs w:val="32"/>
          <w:highlight w:val="none"/>
        </w:rPr>
        <w:t>托</w:t>
      </w:r>
      <w:r>
        <w:rPr>
          <w:rFonts w:ascii="黑体" w:hAnsi="黑体" w:eastAsia="黑体" w:cs="宋体"/>
          <w:color w:val="auto"/>
          <w:sz w:val="32"/>
          <w:szCs w:val="32"/>
          <w:highlight w:val="none"/>
        </w:rPr>
        <w:t xml:space="preserve"> </w:t>
      </w:r>
      <w:r>
        <w:rPr>
          <w:rFonts w:hint="eastAsia" w:ascii="黑体" w:hAnsi="黑体" w:eastAsia="黑体" w:cs="宋体"/>
          <w:color w:val="auto"/>
          <w:sz w:val="32"/>
          <w:szCs w:val="32"/>
          <w:highlight w:val="none"/>
        </w:rPr>
        <w:t>人</w:t>
      </w:r>
      <w:r>
        <w:rPr>
          <w:rFonts w:ascii="黑体" w:hAnsi="黑体" w:eastAsia="黑体" w:cs="宋体"/>
          <w:color w:val="auto"/>
          <w:sz w:val="32"/>
          <w:szCs w:val="32"/>
          <w:highlight w:val="none"/>
        </w:rPr>
        <w:t xml:space="preserve"> </w:t>
      </w:r>
      <w:r>
        <w:rPr>
          <w:rFonts w:hint="eastAsia" w:ascii="黑体" w:hAnsi="黑体" w:eastAsia="黑体" w:cs="宋体"/>
          <w:color w:val="auto"/>
          <w:sz w:val="32"/>
          <w:szCs w:val="32"/>
          <w:highlight w:val="none"/>
        </w:rPr>
        <w:t>要</w:t>
      </w:r>
      <w:r>
        <w:rPr>
          <w:rFonts w:ascii="黑体" w:hAnsi="黑体" w:eastAsia="黑体" w:cs="宋体"/>
          <w:color w:val="auto"/>
          <w:sz w:val="32"/>
          <w:szCs w:val="32"/>
          <w:highlight w:val="none"/>
        </w:rPr>
        <w:t xml:space="preserve"> </w:t>
      </w:r>
      <w:r>
        <w:rPr>
          <w:rFonts w:hint="eastAsia" w:ascii="黑体" w:hAnsi="黑体" w:eastAsia="黑体" w:cs="宋体"/>
          <w:color w:val="auto"/>
          <w:sz w:val="32"/>
          <w:szCs w:val="32"/>
          <w:highlight w:val="none"/>
        </w:rPr>
        <w:t>求</w:t>
      </w:r>
    </w:p>
    <w:p w14:paraId="5E61362E">
      <w:pPr>
        <w:spacing w:line="360" w:lineRule="auto"/>
        <w:ind w:firstLine="480" w:firstLineChars="200"/>
        <w:rPr>
          <w:rFonts w:ascii="宋体" w:hAnsi="宋体" w:cs="宋体"/>
          <w:color w:val="auto"/>
          <w:sz w:val="24"/>
          <w:highlight w:val="none"/>
        </w:rPr>
      </w:pPr>
    </w:p>
    <w:p w14:paraId="7FE5E9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委托人要求应尽可能清晰准确，对于可以进行定量评估的工作，委托人要求不仅应明确规定其功能、用途、质量、环境、安全</w:t>
      </w:r>
      <w:r>
        <w:rPr>
          <w:rFonts w:ascii="宋体" w:hAnsi="宋体" w:cs="宋体"/>
          <w:color w:val="auto"/>
          <w:sz w:val="24"/>
          <w:highlight w:val="none"/>
        </w:rPr>
        <w:t>,并</w:t>
      </w:r>
      <w:bookmarkStart w:id="667" w:name="_Toc519601512"/>
      <w:r>
        <w:rPr>
          <w:rFonts w:hint="eastAsia" w:ascii="宋体" w:hAnsi="宋体" w:cs="宋体"/>
          <w:color w:val="auto"/>
          <w:sz w:val="24"/>
          <w:highlight w:val="none"/>
        </w:rPr>
        <w:t>且要规定检</w:t>
      </w:r>
      <w:bookmarkEnd w:id="667"/>
      <w:r>
        <w:rPr>
          <w:rFonts w:hint="eastAsia" w:ascii="宋体" w:hAnsi="宋体" w:cs="宋体"/>
          <w:color w:val="auto"/>
          <w:sz w:val="24"/>
          <w:highlight w:val="none"/>
        </w:rPr>
        <w:t>验</w:t>
      </w:r>
      <w:bookmarkStart w:id="668" w:name="_Toc519777893"/>
      <w:bookmarkStart w:id="669" w:name="_Toc519601513"/>
      <w:bookmarkStart w:id="670" w:name="_Toc519777841"/>
      <w:bookmarkStart w:id="671" w:name="_Toc519778506"/>
      <w:bookmarkStart w:id="672" w:name="_Toc519777945"/>
      <w:bookmarkStart w:id="673" w:name="_Toc519777796"/>
      <w:r>
        <w:rPr>
          <w:rFonts w:hint="eastAsia" w:ascii="宋体" w:hAnsi="宋体" w:cs="宋体"/>
          <w:color w:val="auto"/>
          <w:sz w:val="24"/>
          <w:highlight w:val="none"/>
        </w:rPr>
        <w:t>、试验、试运行的具体要求。对于试验检测机构负责提供的有关服务，在委托人要求中应一并明确规定。</w:t>
      </w:r>
    </w:p>
    <w:p w14:paraId="3E3741E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委托人要求</w:t>
      </w:r>
      <w:bookmarkEnd w:id="668"/>
      <w:bookmarkEnd w:id="669"/>
      <w:bookmarkEnd w:id="670"/>
      <w:bookmarkEnd w:id="671"/>
      <w:bookmarkEnd w:id="672"/>
      <w:bookmarkEnd w:id="673"/>
      <w:r>
        <w:rPr>
          <w:rFonts w:hint="eastAsia" w:ascii="宋体" w:hAnsi="宋体" w:cs="宋体"/>
          <w:color w:val="auto"/>
          <w:sz w:val="24"/>
          <w:highlight w:val="none"/>
        </w:rPr>
        <w:t>通常包括但不限于以下内容：</w:t>
      </w:r>
    </w:p>
    <w:p w14:paraId="3038A7EB">
      <w:pPr>
        <w:spacing w:line="360" w:lineRule="auto"/>
        <w:ind w:firstLine="560" w:firstLineChars="200"/>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一、监理试验室要求</w:t>
      </w:r>
    </w:p>
    <w:p w14:paraId="7B99072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招标人应当根据项目情况在本章中明确相应的监理试验室要求，一般应包括以下内容：</w:t>
      </w:r>
    </w:p>
    <w:p w14:paraId="6E5C962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（一）项目概况</w:t>
      </w:r>
    </w:p>
    <w:p w14:paraId="051451A6">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项目名称、建设单位、建设规模、技术标准、项目地理位置；项目的起讫地点、主要控制点；桥涵的结构形式；独立特大桥的桥型、荷载标准、跨径、桥长、桥宽、基础、水深、引道长度等；独立隧道的长度、宽度、防水排水、衬砌和设施等；附属设施标准、规格等；</w:t>
      </w:r>
    </w:p>
    <w:p w14:paraId="691A1387">
      <w:pPr>
        <w:spacing w:line="360" w:lineRule="auto"/>
        <w:ind w:firstLine="480" w:firstLineChars="200"/>
        <w:rPr>
          <w:rFonts w:hint="eastAsia" w:ascii="宋体" w:hAnsi="宋体" w:eastAsia="宋体" w:cs="宋体"/>
          <w:color w:val="auto"/>
          <w:sz w:val="24"/>
          <w:highlight w:val="none"/>
          <w:lang w:eastAsia="zh-CN"/>
        </w:rPr>
      </w:pPr>
      <w:r>
        <w:rPr>
          <w:rFonts w:ascii="宋体" w:hAnsi="宋体" w:cs="宋体"/>
          <w:color w:val="auto"/>
          <w:sz w:val="24"/>
          <w:highlight w:val="none"/>
        </w:rPr>
        <w:t>2.项目周边环境、文物情况</w:t>
      </w:r>
      <w:r>
        <w:rPr>
          <w:rFonts w:hint="eastAsia" w:ascii="宋体" w:hAnsi="宋体" w:cs="宋体"/>
          <w:color w:val="auto"/>
          <w:sz w:val="24"/>
          <w:highlight w:val="none"/>
          <w:lang w:eastAsia="zh-CN"/>
        </w:rPr>
        <w:t>；</w:t>
      </w:r>
    </w:p>
    <w:p w14:paraId="3BE233CE">
      <w:pPr>
        <w:spacing w:line="360" w:lineRule="auto"/>
        <w:ind w:firstLine="480" w:firstLineChars="200"/>
        <w:rPr>
          <w:rFonts w:hint="eastAsia" w:ascii="宋体" w:hAnsi="宋体" w:eastAsia="宋体" w:cs="宋体"/>
          <w:color w:val="auto"/>
          <w:sz w:val="24"/>
          <w:highlight w:val="none"/>
          <w:lang w:eastAsia="zh-CN"/>
        </w:rPr>
      </w:pPr>
      <w:r>
        <w:rPr>
          <w:rFonts w:ascii="宋体" w:hAnsi="宋体" w:cs="宋体"/>
          <w:color w:val="auto"/>
          <w:sz w:val="24"/>
          <w:highlight w:val="none"/>
        </w:rPr>
        <w:t>3.水文、气候、气象及地质简况</w:t>
      </w:r>
      <w:r>
        <w:rPr>
          <w:rFonts w:hint="eastAsia" w:ascii="宋体" w:hAnsi="宋体" w:cs="宋体"/>
          <w:color w:val="auto"/>
          <w:sz w:val="24"/>
          <w:highlight w:val="none"/>
          <w:lang w:eastAsia="zh-CN"/>
        </w:rPr>
        <w:t>；</w:t>
      </w:r>
    </w:p>
    <w:p w14:paraId="4D5F49DE">
      <w:pPr>
        <w:spacing w:line="360" w:lineRule="auto"/>
        <w:ind w:firstLine="480" w:firstLineChars="200"/>
        <w:rPr>
          <w:rFonts w:hint="eastAsia" w:ascii="宋体" w:hAnsi="宋体" w:eastAsia="宋体" w:cs="宋体"/>
          <w:color w:val="auto"/>
          <w:sz w:val="24"/>
          <w:highlight w:val="none"/>
          <w:lang w:eastAsia="zh-CN"/>
        </w:rPr>
      </w:pPr>
      <w:r>
        <w:rPr>
          <w:rFonts w:ascii="宋体" w:hAnsi="宋体" w:cs="宋体"/>
          <w:color w:val="auto"/>
          <w:sz w:val="24"/>
          <w:highlight w:val="none"/>
        </w:rPr>
        <w:t>4.交通、电力、</w:t>
      </w:r>
      <w:r>
        <w:rPr>
          <w:rFonts w:hint="eastAsia" w:ascii="宋体" w:hAnsi="宋体" w:cs="宋体"/>
          <w:color w:val="auto"/>
          <w:sz w:val="24"/>
          <w:highlight w:val="none"/>
          <w:lang w:eastAsia="zh-CN"/>
        </w:rPr>
        <w:t>通信</w:t>
      </w:r>
      <w:r>
        <w:rPr>
          <w:rFonts w:ascii="宋体" w:hAnsi="宋体" w:cs="宋体"/>
          <w:color w:val="auto"/>
          <w:sz w:val="24"/>
          <w:highlight w:val="none"/>
        </w:rPr>
        <w:t>及其他条件等</w:t>
      </w:r>
      <w:r>
        <w:rPr>
          <w:rFonts w:hint="eastAsia" w:ascii="宋体" w:hAnsi="宋体" w:cs="宋体"/>
          <w:color w:val="auto"/>
          <w:sz w:val="24"/>
          <w:highlight w:val="none"/>
          <w:lang w:eastAsia="zh-CN"/>
        </w:rPr>
        <w:t>。</w:t>
      </w:r>
    </w:p>
    <w:p w14:paraId="54C56B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（二）监理试验室范围及内容</w:t>
      </w:r>
    </w:p>
    <w:p w14:paraId="20F482F9">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包括监理试验室范围及主要监理试验室内容，与监理试验室范围对应的施工标段划分及各标段主要工程数量表等</w:t>
      </w:r>
      <w:r>
        <w:rPr>
          <w:rFonts w:hint="eastAsia" w:ascii="宋体" w:hAnsi="宋体" w:cs="宋体"/>
          <w:color w:val="auto"/>
          <w:sz w:val="24"/>
          <w:highlight w:val="none"/>
          <w:lang w:eastAsia="zh-CN"/>
        </w:rPr>
        <w:t>。</w:t>
      </w:r>
    </w:p>
    <w:p w14:paraId="37B04F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（三）监理试验室依据</w:t>
      </w:r>
    </w:p>
    <w:p w14:paraId="7D203A8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（四）监理试验室人员和试验检测仪器设备要求</w:t>
      </w:r>
    </w:p>
    <w:p w14:paraId="6AA996B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（五）其他要求</w:t>
      </w:r>
    </w:p>
    <w:p w14:paraId="5D9EF735">
      <w:pPr>
        <w:spacing w:line="360" w:lineRule="auto"/>
        <w:ind w:firstLine="560" w:firstLineChars="200"/>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二、适用规范标准</w:t>
      </w:r>
    </w:p>
    <w:p w14:paraId="3582F1E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（一）通用规范</w:t>
      </w:r>
    </w:p>
    <w:p w14:paraId="2D4E6E1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执行《公路工程施工监理规范》（JTG</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G10</w:t>
      </w:r>
      <w:r>
        <w:rPr>
          <w:rFonts w:hint="eastAsia" w:ascii="宋体" w:hAnsi="宋体" w:eastAsia="宋体" w:cs="宋体"/>
          <w:color w:val="auto"/>
          <w:sz w:val="24"/>
          <w:highlight w:val="none"/>
        </w:rPr>
        <w:t>－</w:t>
      </w:r>
      <w:r>
        <w:rPr>
          <w:rFonts w:hint="eastAsia" w:ascii="宋体" w:hAnsi="宋体" w:cs="宋体"/>
          <w:color w:val="auto"/>
          <w:sz w:val="24"/>
          <w:highlight w:val="none"/>
        </w:rPr>
        <w:t>2016）。</w:t>
      </w:r>
    </w:p>
    <w:p w14:paraId="087E95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（二）专用规范</w:t>
      </w:r>
    </w:p>
    <w:p w14:paraId="671C005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（三）施工技术规范</w:t>
      </w:r>
    </w:p>
    <w:p w14:paraId="38858A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（四）国家、行业、项目所在地适用本工程的其他规范、标准或规程</w:t>
      </w:r>
    </w:p>
    <w:p w14:paraId="766AF311">
      <w:pPr>
        <w:spacing w:line="360" w:lineRule="auto"/>
        <w:ind w:firstLine="560" w:firstLineChars="200"/>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三、成果文件要求</w:t>
      </w:r>
    </w:p>
    <w:p w14:paraId="6822DCC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（一）成果文件的组成</w:t>
      </w:r>
    </w:p>
    <w:p w14:paraId="73D90A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（二）成果文件的深度</w:t>
      </w:r>
    </w:p>
    <w:p w14:paraId="2D1885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（三）成果文件的格式要求</w:t>
      </w:r>
    </w:p>
    <w:p w14:paraId="268B711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（四）成果文件的份数要求</w:t>
      </w:r>
    </w:p>
    <w:p w14:paraId="0668CD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（五）成果文件的载体要求</w:t>
      </w:r>
    </w:p>
    <w:p w14:paraId="4697A67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1.纸质版的要求</w:t>
      </w:r>
    </w:p>
    <w:p w14:paraId="078B419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2.电子版的要求</w:t>
      </w:r>
    </w:p>
    <w:p w14:paraId="12594CE4">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3.其他要求</w:t>
      </w:r>
    </w:p>
    <w:p w14:paraId="4AB83BE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（六）成果文件的其他要求</w:t>
      </w:r>
    </w:p>
    <w:p w14:paraId="3151758E">
      <w:pPr>
        <w:spacing w:line="360" w:lineRule="auto"/>
        <w:ind w:firstLine="560" w:firstLineChars="200"/>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四、委托人财产清单</w:t>
      </w:r>
    </w:p>
    <w:p w14:paraId="43384A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（一）委托人提供的设备、设施</w:t>
      </w:r>
    </w:p>
    <w:p w14:paraId="52B4EFFF">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1.委托人提供的办公房屋及冷暖</w:t>
      </w:r>
      <w:r>
        <w:rPr>
          <w:rFonts w:hint="eastAsia" w:ascii="宋体" w:hAnsi="宋体" w:cs="宋体"/>
          <w:color w:val="auto"/>
          <w:sz w:val="24"/>
          <w:highlight w:val="none"/>
        </w:rPr>
        <w:t>设施：如办公室数量及面积、空调等</w:t>
      </w:r>
    </w:p>
    <w:p w14:paraId="0957659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2.委托人提供的设备清单</w:t>
      </w:r>
      <w:r>
        <w:rPr>
          <w:rFonts w:hint="eastAsia" w:ascii="宋体" w:hAnsi="宋体" w:cs="宋体"/>
          <w:color w:val="auto"/>
          <w:sz w:val="24"/>
          <w:highlight w:val="none"/>
        </w:rPr>
        <w:t>：如</w:t>
      </w:r>
      <w:r>
        <w:rPr>
          <w:rFonts w:hint="eastAsia" w:ascii="宋体" w:hAnsi="宋体" w:cs="宋体"/>
          <w:color w:val="auto"/>
          <w:sz w:val="24"/>
          <w:highlight w:val="none"/>
          <w:lang w:val="en-US" w:eastAsia="zh-CN"/>
        </w:rPr>
        <w:t>计算机</w:t>
      </w:r>
      <w:r>
        <w:rPr>
          <w:rFonts w:hint="eastAsia" w:ascii="宋体" w:hAnsi="宋体" w:cs="宋体"/>
          <w:color w:val="auto"/>
          <w:sz w:val="24"/>
          <w:highlight w:val="none"/>
        </w:rPr>
        <w:t>、投影</w:t>
      </w:r>
      <w:r>
        <w:rPr>
          <w:rFonts w:hint="eastAsia" w:ascii="宋体" w:hAnsi="宋体" w:cs="宋体"/>
          <w:color w:val="auto"/>
          <w:sz w:val="24"/>
          <w:highlight w:val="none"/>
          <w:lang w:val="en-US" w:eastAsia="zh-CN"/>
        </w:rPr>
        <w:t>仪</w:t>
      </w:r>
      <w:r>
        <w:rPr>
          <w:rFonts w:hint="eastAsia" w:ascii="宋体" w:hAnsi="宋体" w:cs="宋体"/>
          <w:color w:val="auto"/>
          <w:sz w:val="24"/>
          <w:highlight w:val="none"/>
        </w:rPr>
        <w:t>、打印机、复印机等</w:t>
      </w:r>
    </w:p>
    <w:p w14:paraId="4884E0B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3.委托人提供的设施清单：如办公桌椅、文件柜等</w:t>
      </w:r>
    </w:p>
    <w:p w14:paraId="3EF92E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1A1926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（二）委托人提供的资料</w:t>
      </w:r>
    </w:p>
    <w:p w14:paraId="7FF238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4BF468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（三）委托人财产使用要求及退还要求</w:t>
      </w:r>
    </w:p>
    <w:p w14:paraId="6896D89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1.委托人财产使用要求</w:t>
      </w:r>
    </w:p>
    <w:p w14:paraId="3E90F19A">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2.委托人财产退还要求</w:t>
      </w:r>
    </w:p>
    <w:p w14:paraId="57AA8C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407A9A4E">
      <w:pPr>
        <w:spacing w:line="360" w:lineRule="auto"/>
        <w:ind w:firstLine="560" w:firstLineChars="200"/>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五、委托人提供的便利条件</w:t>
      </w:r>
    </w:p>
    <w:p w14:paraId="4E5F7A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（一）委托人提供的生活条件</w:t>
      </w:r>
    </w:p>
    <w:p w14:paraId="2C2723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（二）委托人提供的交通条件</w:t>
      </w:r>
    </w:p>
    <w:p w14:paraId="733A3F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（三）委托人提供的网络、</w:t>
      </w:r>
      <w:r>
        <w:rPr>
          <w:rFonts w:hint="eastAsia" w:ascii="宋体" w:hAnsi="宋体" w:cs="宋体"/>
          <w:color w:val="auto"/>
          <w:sz w:val="24"/>
          <w:highlight w:val="none"/>
          <w:lang w:eastAsia="zh-CN"/>
        </w:rPr>
        <w:t>通信</w:t>
      </w:r>
      <w:r>
        <w:rPr>
          <w:rFonts w:hint="eastAsia" w:ascii="宋体" w:hAnsi="宋体" w:cs="宋体"/>
          <w:color w:val="auto"/>
          <w:sz w:val="24"/>
          <w:highlight w:val="none"/>
        </w:rPr>
        <w:t>条件</w:t>
      </w:r>
    </w:p>
    <w:p w14:paraId="699755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（四）委托人提供的协助人员</w:t>
      </w:r>
    </w:p>
    <w:p w14:paraId="37737D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51002800">
      <w:pPr>
        <w:spacing w:line="360" w:lineRule="auto"/>
        <w:ind w:firstLine="480" w:firstLineChars="200"/>
        <w:rPr>
          <w:rFonts w:ascii="宋体" w:hAnsi="宋体" w:cs="宋体"/>
          <w:color w:val="auto"/>
          <w:sz w:val="24"/>
          <w:highlight w:val="none"/>
        </w:rPr>
      </w:pPr>
    </w:p>
    <w:p w14:paraId="4C67073E">
      <w:pPr>
        <w:spacing w:line="360" w:lineRule="auto"/>
        <w:ind w:firstLine="560" w:firstLineChars="200"/>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六、监理试验室需要自备的工作条件</w:t>
      </w:r>
    </w:p>
    <w:p w14:paraId="5AD03F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（一）自备的工作手册：如本项目必备的规范标准、图集等</w:t>
      </w:r>
    </w:p>
    <w:p w14:paraId="78229370">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（二）自备的办公设备：如</w:t>
      </w:r>
      <w:r>
        <w:rPr>
          <w:rFonts w:hint="eastAsia" w:ascii="宋体" w:hAnsi="宋体" w:cs="宋体"/>
          <w:color w:val="auto"/>
          <w:sz w:val="24"/>
          <w:highlight w:val="none"/>
          <w:lang w:val="en-US" w:eastAsia="zh-CN"/>
        </w:rPr>
        <w:t>计算机</w:t>
      </w:r>
      <w:r>
        <w:rPr>
          <w:rFonts w:hint="eastAsia" w:ascii="宋体" w:hAnsi="宋体" w:cs="宋体"/>
          <w:color w:val="auto"/>
          <w:sz w:val="24"/>
          <w:highlight w:val="none"/>
        </w:rPr>
        <w:t>、软件、投影</w:t>
      </w:r>
      <w:r>
        <w:rPr>
          <w:rFonts w:hint="eastAsia" w:ascii="宋体" w:hAnsi="宋体" w:cs="宋体"/>
          <w:color w:val="auto"/>
          <w:sz w:val="24"/>
          <w:highlight w:val="none"/>
          <w:lang w:val="en-US" w:eastAsia="zh-CN"/>
        </w:rPr>
        <w:t>仪</w:t>
      </w:r>
      <w:r>
        <w:rPr>
          <w:rFonts w:hint="eastAsia" w:ascii="宋体" w:hAnsi="宋体" w:cs="宋体"/>
          <w:color w:val="auto"/>
          <w:sz w:val="24"/>
          <w:highlight w:val="none"/>
        </w:rPr>
        <w:t>、打印机、复印机、照相</w:t>
      </w:r>
      <w:r>
        <w:rPr>
          <w:rFonts w:hint="eastAsia" w:ascii="宋体" w:hAnsi="宋体" w:cs="宋体"/>
          <w:color w:val="auto"/>
          <w:sz w:val="24"/>
          <w:highlight w:val="none"/>
          <w:lang w:val="en-US" w:eastAsia="zh-CN"/>
        </w:rPr>
        <w:t>机等</w:t>
      </w:r>
    </w:p>
    <w:p w14:paraId="7105DE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（三）自备的交通工具：如出行车辆等</w:t>
      </w:r>
    </w:p>
    <w:p w14:paraId="55FDB9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（四）自备的现场办公设施：如办公桌椅、文件柜等</w:t>
      </w:r>
    </w:p>
    <w:p w14:paraId="337FCA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（五）自备的安全设施：如安全帽、安全鞋、手电筒等</w:t>
      </w:r>
    </w:p>
    <w:p w14:paraId="16780D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（六）自备的试验检测仪器、设备、工具</w:t>
      </w:r>
    </w:p>
    <w:p w14:paraId="43EED8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（七）自备的试验用房、样品用房</w:t>
      </w:r>
    </w:p>
    <w:p w14:paraId="6C2A12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1660B5C6">
      <w:pPr>
        <w:spacing w:line="360" w:lineRule="auto"/>
        <w:ind w:firstLine="560" w:firstLineChars="200"/>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七、委托人的其他要求</w:t>
      </w:r>
    </w:p>
    <w:p w14:paraId="7823873F">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委托人的其他要求</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 xml:space="preserve">  </w:t>
      </w:r>
    </w:p>
    <w:p w14:paraId="749691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p>
    <w:p w14:paraId="214CF0DB">
      <w:pPr>
        <w:pStyle w:val="276"/>
        <w:rPr>
          <w:rFonts w:ascii="宋体" w:hAnsi="宋体" w:cs="宋体"/>
          <w:color w:val="auto"/>
          <w:highlight w:val="none"/>
        </w:rPr>
      </w:pPr>
    </w:p>
    <w:p w14:paraId="49A53141">
      <w:pPr>
        <w:pStyle w:val="276"/>
        <w:rPr>
          <w:rFonts w:ascii="宋体" w:hAnsi="宋体" w:cs="宋体"/>
          <w:color w:val="auto"/>
          <w:highlight w:val="none"/>
        </w:rPr>
      </w:pPr>
    </w:p>
    <w:p w14:paraId="2AD7DB8E">
      <w:pPr>
        <w:pStyle w:val="276"/>
        <w:rPr>
          <w:rFonts w:ascii="宋体" w:hAnsi="宋体" w:cs="宋体"/>
          <w:color w:val="auto"/>
          <w:highlight w:val="none"/>
        </w:rPr>
      </w:pPr>
    </w:p>
    <w:p w14:paraId="7C43CED3">
      <w:pPr>
        <w:pStyle w:val="276"/>
        <w:rPr>
          <w:rFonts w:ascii="宋体" w:hAnsi="宋体" w:cs="宋体"/>
          <w:color w:val="auto"/>
          <w:highlight w:val="none"/>
        </w:rPr>
      </w:pPr>
    </w:p>
    <w:p w14:paraId="02ABF751">
      <w:pPr>
        <w:pStyle w:val="276"/>
        <w:rPr>
          <w:rFonts w:ascii="宋体" w:hAnsi="宋体" w:cs="宋体"/>
          <w:color w:val="auto"/>
          <w:highlight w:val="none"/>
        </w:rPr>
      </w:pPr>
    </w:p>
    <w:p w14:paraId="0FB1B394">
      <w:pPr>
        <w:pStyle w:val="276"/>
        <w:rPr>
          <w:rFonts w:ascii="宋体" w:hAnsi="宋体" w:cs="宋体"/>
          <w:color w:val="auto"/>
          <w:highlight w:val="none"/>
        </w:rPr>
      </w:pPr>
    </w:p>
    <w:p w14:paraId="366C7E05">
      <w:pPr>
        <w:pStyle w:val="276"/>
        <w:rPr>
          <w:rFonts w:ascii="宋体" w:hAnsi="宋体" w:cs="宋体"/>
          <w:color w:val="auto"/>
          <w:highlight w:val="none"/>
        </w:rPr>
      </w:pPr>
    </w:p>
    <w:p w14:paraId="59451879">
      <w:pPr>
        <w:pStyle w:val="276"/>
        <w:rPr>
          <w:rFonts w:ascii="宋体" w:hAnsi="宋体" w:cs="宋体"/>
          <w:color w:val="auto"/>
          <w:highlight w:val="none"/>
        </w:rPr>
      </w:pPr>
    </w:p>
    <w:p w14:paraId="323FB096">
      <w:pPr>
        <w:pStyle w:val="276"/>
        <w:rPr>
          <w:rFonts w:ascii="宋体" w:hAnsi="宋体" w:cs="宋体"/>
          <w:color w:val="auto"/>
          <w:highlight w:val="none"/>
        </w:rPr>
      </w:pPr>
    </w:p>
    <w:p w14:paraId="7C7EE325">
      <w:pPr>
        <w:pStyle w:val="276"/>
        <w:rPr>
          <w:rFonts w:ascii="宋体" w:hAnsi="宋体" w:cs="宋体"/>
          <w:color w:val="auto"/>
          <w:highlight w:val="none"/>
        </w:rPr>
      </w:pPr>
      <w:r>
        <w:rPr>
          <w:rFonts w:ascii="宋体" w:hAnsi="宋体" w:cs="宋体"/>
          <w:color w:val="auto"/>
          <w:highlight w:val="none"/>
        </w:rPr>
        <w:br w:type="page"/>
      </w:r>
    </w:p>
    <w:p w14:paraId="31662650">
      <w:pPr>
        <w:pStyle w:val="276"/>
        <w:rPr>
          <w:rFonts w:ascii="宋体" w:hAnsi="宋体" w:cs="宋体"/>
          <w:color w:val="auto"/>
          <w:highlight w:val="none"/>
        </w:rPr>
      </w:pPr>
    </w:p>
    <w:p w14:paraId="14EB26AE">
      <w:pPr>
        <w:pStyle w:val="276"/>
        <w:rPr>
          <w:rFonts w:ascii="宋体" w:hAnsi="宋体" w:cs="宋体"/>
          <w:color w:val="auto"/>
          <w:highlight w:val="none"/>
        </w:rPr>
      </w:pPr>
    </w:p>
    <w:p w14:paraId="4C536F08">
      <w:pPr>
        <w:pStyle w:val="276"/>
        <w:rPr>
          <w:rFonts w:ascii="宋体" w:hAnsi="宋体" w:cs="宋体"/>
          <w:color w:val="auto"/>
          <w:highlight w:val="none"/>
        </w:rPr>
      </w:pPr>
    </w:p>
    <w:p w14:paraId="23ABC3CB">
      <w:pPr>
        <w:pStyle w:val="276"/>
        <w:rPr>
          <w:rFonts w:ascii="宋体" w:hAnsi="宋体" w:cs="宋体"/>
          <w:color w:val="auto"/>
          <w:highlight w:val="none"/>
        </w:rPr>
      </w:pPr>
    </w:p>
    <w:p w14:paraId="62E1426D">
      <w:pPr>
        <w:pStyle w:val="276"/>
        <w:rPr>
          <w:rFonts w:ascii="宋体" w:hAnsi="宋体" w:cs="宋体"/>
          <w:color w:val="auto"/>
          <w:highlight w:val="none"/>
        </w:rPr>
      </w:pPr>
    </w:p>
    <w:p w14:paraId="63496571">
      <w:pPr>
        <w:pStyle w:val="276"/>
        <w:rPr>
          <w:rFonts w:ascii="宋体" w:hAnsi="宋体" w:cs="宋体"/>
          <w:color w:val="auto"/>
          <w:highlight w:val="none"/>
        </w:rPr>
      </w:pPr>
    </w:p>
    <w:p w14:paraId="730A925C">
      <w:pPr>
        <w:pStyle w:val="276"/>
        <w:rPr>
          <w:rFonts w:ascii="宋体" w:hAnsi="宋体" w:cs="宋体"/>
          <w:color w:val="auto"/>
          <w:highlight w:val="none"/>
        </w:rPr>
      </w:pPr>
    </w:p>
    <w:p w14:paraId="33FBF6E7">
      <w:pPr>
        <w:pStyle w:val="276"/>
        <w:rPr>
          <w:rFonts w:ascii="宋体" w:hAnsi="宋体" w:cs="宋体"/>
          <w:color w:val="auto"/>
          <w:highlight w:val="none"/>
        </w:rPr>
      </w:pPr>
    </w:p>
    <w:p w14:paraId="243C89F0">
      <w:pPr>
        <w:pStyle w:val="276"/>
        <w:rPr>
          <w:rFonts w:ascii="宋体" w:hAnsi="宋体" w:cs="宋体"/>
          <w:color w:val="auto"/>
          <w:highlight w:val="none"/>
        </w:rPr>
      </w:pPr>
    </w:p>
    <w:p w14:paraId="17835B3E">
      <w:pPr>
        <w:pStyle w:val="276"/>
        <w:rPr>
          <w:rFonts w:ascii="宋体" w:hAnsi="宋体" w:cs="宋体"/>
          <w:color w:val="auto"/>
          <w:highlight w:val="none"/>
        </w:rPr>
      </w:pPr>
    </w:p>
    <w:p w14:paraId="51A2BD51">
      <w:pPr>
        <w:pStyle w:val="276"/>
        <w:rPr>
          <w:rFonts w:ascii="宋体" w:hAnsi="宋体" w:cs="宋体"/>
          <w:color w:val="auto"/>
          <w:highlight w:val="none"/>
        </w:rPr>
      </w:pPr>
    </w:p>
    <w:p w14:paraId="763F01A1">
      <w:pPr>
        <w:pStyle w:val="276"/>
        <w:rPr>
          <w:rFonts w:ascii="宋体" w:hAnsi="宋体" w:cs="宋体"/>
          <w:color w:val="auto"/>
          <w:highlight w:val="none"/>
        </w:rPr>
      </w:pPr>
    </w:p>
    <w:p w14:paraId="10A53ADC">
      <w:pPr>
        <w:pStyle w:val="276"/>
        <w:rPr>
          <w:rFonts w:ascii="宋体" w:hAnsi="宋体" w:cs="宋体"/>
          <w:color w:val="auto"/>
          <w:highlight w:val="none"/>
        </w:rPr>
      </w:pPr>
    </w:p>
    <w:p w14:paraId="42B5E5CA">
      <w:pPr>
        <w:pStyle w:val="276"/>
        <w:rPr>
          <w:rFonts w:ascii="宋体" w:hAnsi="宋体" w:cs="宋体"/>
          <w:color w:val="auto"/>
          <w:highlight w:val="none"/>
        </w:rPr>
      </w:pPr>
    </w:p>
    <w:p w14:paraId="2CA554B0">
      <w:pPr>
        <w:pStyle w:val="276"/>
        <w:rPr>
          <w:rFonts w:ascii="宋体" w:hAnsi="宋体" w:cs="宋体"/>
          <w:color w:val="auto"/>
          <w:highlight w:val="none"/>
        </w:rPr>
      </w:pPr>
    </w:p>
    <w:p w14:paraId="3C072A13">
      <w:pPr>
        <w:pStyle w:val="276"/>
        <w:rPr>
          <w:rFonts w:ascii="宋体" w:hAnsi="宋体" w:cs="宋体"/>
          <w:color w:val="auto"/>
          <w:highlight w:val="none"/>
        </w:rPr>
      </w:pPr>
    </w:p>
    <w:p w14:paraId="6AA10081">
      <w:pPr>
        <w:pStyle w:val="276"/>
        <w:rPr>
          <w:rFonts w:ascii="宋体" w:hAnsi="宋体" w:cs="宋体"/>
          <w:color w:val="auto"/>
          <w:highlight w:val="none"/>
        </w:rPr>
      </w:pPr>
    </w:p>
    <w:p w14:paraId="4B711ACC">
      <w:pPr>
        <w:pStyle w:val="276"/>
        <w:rPr>
          <w:rFonts w:ascii="宋体" w:hAnsi="宋体" w:cs="宋体"/>
          <w:color w:val="auto"/>
          <w:highlight w:val="none"/>
        </w:rPr>
      </w:pPr>
    </w:p>
    <w:p w14:paraId="291E0439">
      <w:pPr>
        <w:pStyle w:val="276"/>
        <w:rPr>
          <w:rFonts w:ascii="宋体" w:hAnsi="宋体" w:cs="宋体"/>
          <w:color w:val="auto"/>
          <w:highlight w:val="none"/>
        </w:rPr>
      </w:pPr>
    </w:p>
    <w:p w14:paraId="5F3CF072">
      <w:pPr>
        <w:pStyle w:val="276"/>
        <w:rPr>
          <w:rFonts w:ascii="宋体" w:hAnsi="宋体" w:cs="宋体"/>
          <w:color w:val="auto"/>
          <w:highlight w:val="none"/>
        </w:rPr>
      </w:pPr>
    </w:p>
    <w:p w14:paraId="715A68BB">
      <w:pPr>
        <w:pStyle w:val="276"/>
        <w:rPr>
          <w:rFonts w:ascii="宋体" w:hAnsi="宋体" w:cs="宋体"/>
          <w:color w:val="auto"/>
          <w:highlight w:val="none"/>
        </w:rPr>
      </w:pPr>
    </w:p>
    <w:p w14:paraId="3903A585">
      <w:pPr>
        <w:pStyle w:val="276"/>
        <w:rPr>
          <w:rFonts w:ascii="宋体" w:hAnsi="宋体" w:cs="宋体"/>
          <w:color w:val="auto"/>
          <w:highlight w:val="none"/>
        </w:rPr>
      </w:pPr>
    </w:p>
    <w:p w14:paraId="225BFCA0">
      <w:pPr>
        <w:pStyle w:val="4"/>
        <w:rPr>
          <w:rFonts w:ascii="宋体" w:hAnsi="宋体" w:eastAsia="宋体" w:cs="宋体"/>
          <w:b w:val="0"/>
          <w:color w:val="auto"/>
          <w:sz w:val="52"/>
          <w:szCs w:val="52"/>
          <w:highlight w:val="none"/>
        </w:rPr>
      </w:pPr>
      <w:bookmarkStart w:id="674" w:name="_Toc74760926"/>
      <w:r>
        <w:rPr>
          <w:rFonts w:hint="eastAsia" w:ascii="黑体" w:hAnsi="黑体" w:cs="黑体"/>
          <w:b w:val="0"/>
          <w:color w:val="auto"/>
          <w:sz w:val="52"/>
          <w:szCs w:val="52"/>
          <w:highlight w:val="none"/>
        </w:rPr>
        <w:t>第六章</w:t>
      </w:r>
      <w:r>
        <w:rPr>
          <w:rFonts w:ascii="黑体" w:hAnsi="黑体" w:cs="黑体"/>
          <w:b w:val="0"/>
          <w:color w:val="auto"/>
          <w:sz w:val="52"/>
          <w:szCs w:val="52"/>
          <w:highlight w:val="none"/>
        </w:rPr>
        <w:t xml:space="preserve">  </w:t>
      </w:r>
      <w:r>
        <w:rPr>
          <w:rFonts w:hint="eastAsia" w:ascii="黑体" w:hAnsi="黑体" w:cs="黑体"/>
          <w:b w:val="0"/>
          <w:color w:val="auto"/>
          <w:sz w:val="52"/>
          <w:szCs w:val="52"/>
          <w:highlight w:val="none"/>
        </w:rPr>
        <w:t>图纸和资料（另册）</w:t>
      </w:r>
      <w:bookmarkEnd w:id="674"/>
    </w:p>
    <w:p w14:paraId="4AA8805D">
      <w:pPr>
        <w:pStyle w:val="276"/>
        <w:rPr>
          <w:rFonts w:ascii="宋体" w:hAnsi="宋体" w:cs="宋体"/>
          <w:color w:val="auto"/>
          <w:highlight w:val="none"/>
        </w:rPr>
      </w:pPr>
    </w:p>
    <w:p w14:paraId="11E48C28">
      <w:pPr>
        <w:pStyle w:val="276"/>
        <w:rPr>
          <w:rFonts w:ascii="宋体" w:hAnsi="宋体" w:cs="宋体"/>
          <w:color w:val="auto"/>
          <w:highlight w:val="none"/>
        </w:rPr>
      </w:pPr>
    </w:p>
    <w:p w14:paraId="2D185AC7">
      <w:pPr>
        <w:pStyle w:val="276"/>
        <w:rPr>
          <w:rFonts w:ascii="宋体" w:hAnsi="宋体" w:cs="宋体"/>
          <w:color w:val="auto"/>
          <w:highlight w:val="none"/>
        </w:rPr>
      </w:pPr>
    </w:p>
    <w:p w14:paraId="268D1991">
      <w:pPr>
        <w:pStyle w:val="276"/>
        <w:rPr>
          <w:rFonts w:ascii="宋体" w:hAnsi="宋体" w:cs="宋体"/>
          <w:color w:val="auto"/>
          <w:highlight w:val="none"/>
        </w:rPr>
      </w:pPr>
    </w:p>
    <w:p w14:paraId="78B20F9B">
      <w:pPr>
        <w:pStyle w:val="276"/>
        <w:rPr>
          <w:rFonts w:ascii="宋体" w:hAnsi="宋体" w:cs="宋体"/>
          <w:color w:val="auto"/>
          <w:highlight w:val="none"/>
        </w:rPr>
      </w:pPr>
    </w:p>
    <w:p w14:paraId="320474B3">
      <w:pPr>
        <w:pStyle w:val="276"/>
        <w:rPr>
          <w:rFonts w:ascii="宋体" w:hAnsi="宋体" w:cs="宋体"/>
          <w:color w:val="auto"/>
          <w:highlight w:val="none"/>
        </w:rPr>
      </w:pPr>
    </w:p>
    <w:p w14:paraId="00E270F5">
      <w:pPr>
        <w:pStyle w:val="276"/>
        <w:rPr>
          <w:rFonts w:ascii="宋体" w:hAnsi="宋体" w:cs="宋体"/>
          <w:color w:val="auto"/>
          <w:highlight w:val="none"/>
        </w:rPr>
      </w:pPr>
    </w:p>
    <w:p w14:paraId="57EAD830">
      <w:pPr>
        <w:pStyle w:val="276"/>
        <w:rPr>
          <w:rFonts w:ascii="宋体" w:hAnsi="宋体" w:cs="宋体"/>
          <w:color w:val="auto"/>
          <w:highlight w:val="none"/>
        </w:rPr>
      </w:pPr>
    </w:p>
    <w:p w14:paraId="33A96E51">
      <w:pPr>
        <w:pStyle w:val="276"/>
        <w:rPr>
          <w:rFonts w:ascii="宋体" w:hAnsi="宋体" w:cs="宋体"/>
          <w:color w:val="auto"/>
          <w:highlight w:val="none"/>
        </w:rPr>
      </w:pPr>
    </w:p>
    <w:p w14:paraId="26941F76">
      <w:pPr>
        <w:pStyle w:val="276"/>
        <w:rPr>
          <w:rFonts w:ascii="宋体" w:hAnsi="宋体" w:cs="宋体"/>
          <w:color w:val="auto"/>
          <w:highlight w:val="none"/>
        </w:rPr>
      </w:pPr>
    </w:p>
    <w:p w14:paraId="68037CC0">
      <w:pPr>
        <w:pStyle w:val="276"/>
        <w:rPr>
          <w:rFonts w:ascii="宋体" w:hAnsi="宋体" w:cs="宋体"/>
          <w:color w:val="auto"/>
          <w:highlight w:val="none"/>
        </w:rPr>
      </w:pPr>
    </w:p>
    <w:p w14:paraId="711430F0">
      <w:pPr>
        <w:pStyle w:val="276"/>
        <w:rPr>
          <w:rFonts w:ascii="宋体" w:hAnsi="宋体" w:cs="宋体"/>
          <w:color w:val="auto"/>
          <w:highlight w:val="none"/>
        </w:rPr>
      </w:pPr>
    </w:p>
    <w:p w14:paraId="11F9E393">
      <w:pPr>
        <w:pStyle w:val="276"/>
        <w:rPr>
          <w:rFonts w:ascii="宋体" w:hAnsi="宋体" w:cs="宋体"/>
          <w:color w:val="auto"/>
          <w:highlight w:val="none"/>
        </w:rPr>
      </w:pPr>
    </w:p>
    <w:p w14:paraId="70A16E68">
      <w:pPr>
        <w:pStyle w:val="276"/>
        <w:rPr>
          <w:rFonts w:ascii="宋体" w:hAnsi="宋体" w:cs="宋体"/>
          <w:color w:val="auto"/>
          <w:highlight w:val="none"/>
        </w:rPr>
      </w:pPr>
    </w:p>
    <w:p w14:paraId="55082F64">
      <w:pPr>
        <w:pStyle w:val="276"/>
        <w:rPr>
          <w:rFonts w:ascii="宋体" w:hAnsi="宋体" w:cs="宋体"/>
          <w:color w:val="auto"/>
          <w:highlight w:val="none"/>
        </w:rPr>
      </w:pPr>
    </w:p>
    <w:p w14:paraId="549231D5">
      <w:pPr>
        <w:pStyle w:val="276"/>
        <w:rPr>
          <w:rFonts w:ascii="宋体" w:hAnsi="宋体" w:cs="宋体"/>
          <w:color w:val="auto"/>
          <w:highlight w:val="none"/>
        </w:rPr>
      </w:pPr>
    </w:p>
    <w:p w14:paraId="0A09EBD0">
      <w:pPr>
        <w:pStyle w:val="276"/>
        <w:rPr>
          <w:rFonts w:ascii="宋体" w:hAnsi="宋体" w:cs="宋体"/>
          <w:color w:val="auto"/>
          <w:highlight w:val="none"/>
        </w:rPr>
      </w:pPr>
    </w:p>
    <w:p w14:paraId="7F40CCBF">
      <w:pPr>
        <w:pStyle w:val="276"/>
        <w:rPr>
          <w:rFonts w:ascii="宋体" w:hAnsi="宋体" w:cs="宋体"/>
          <w:color w:val="auto"/>
          <w:highlight w:val="none"/>
        </w:rPr>
      </w:pPr>
    </w:p>
    <w:p w14:paraId="31842CD0">
      <w:pPr>
        <w:pStyle w:val="276"/>
        <w:rPr>
          <w:rFonts w:ascii="宋体" w:hAnsi="宋体" w:cs="宋体"/>
          <w:color w:val="auto"/>
          <w:highlight w:val="none"/>
        </w:rPr>
      </w:pPr>
    </w:p>
    <w:p w14:paraId="1DCA1C91">
      <w:pPr>
        <w:pStyle w:val="276"/>
        <w:rPr>
          <w:rFonts w:ascii="宋体" w:hAnsi="宋体" w:cs="宋体"/>
          <w:color w:val="auto"/>
          <w:highlight w:val="none"/>
        </w:rPr>
      </w:pPr>
    </w:p>
    <w:p w14:paraId="00AAECEA">
      <w:pPr>
        <w:pStyle w:val="276"/>
        <w:rPr>
          <w:rFonts w:ascii="宋体" w:hAnsi="宋体" w:cs="宋体"/>
          <w:color w:val="auto"/>
          <w:highlight w:val="none"/>
        </w:rPr>
      </w:pPr>
      <w:r>
        <w:rPr>
          <w:rFonts w:ascii="宋体" w:hAnsi="宋体" w:cs="宋体"/>
          <w:color w:val="auto"/>
          <w:highlight w:val="none"/>
        </w:rPr>
        <w:br w:type="page"/>
      </w:r>
    </w:p>
    <w:p w14:paraId="3615C4F9">
      <w:pPr>
        <w:pStyle w:val="276"/>
        <w:rPr>
          <w:rFonts w:ascii="宋体" w:hAnsi="宋体" w:cs="宋体"/>
          <w:color w:val="auto"/>
          <w:highlight w:val="none"/>
        </w:rPr>
      </w:pPr>
    </w:p>
    <w:p w14:paraId="0F80C4E1">
      <w:pPr>
        <w:pStyle w:val="276"/>
        <w:rPr>
          <w:rFonts w:ascii="宋体" w:hAnsi="宋体" w:cs="宋体"/>
          <w:color w:val="auto"/>
          <w:highlight w:val="none"/>
        </w:rPr>
      </w:pPr>
    </w:p>
    <w:p w14:paraId="6C1DEC46">
      <w:pPr>
        <w:pStyle w:val="276"/>
        <w:rPr>
          <w:rFonts w:ascii="宋体" w:hAnsi="宋体" w:cs="宋体"/>
          <w:color w:val="auto"/>
          <w:highlight w:val="none"/>
        </w:rPr>
      </w:pPr>
    </w:p>
    <w:p w14:paraId="1EB8A9E6">
      <w:pPr>
        <w:pStyle w:val="276"/>
        <w:rPr>
          <w:rFonts w:ascii="宋体" w:hAnsi="宋体" w:cs="宋体"/>
          <w:color w:val="auto"/>
          <w:highlight w:val="none"/>
        </w:rPr>
      </w:pPr>
    </w:p>
    <w:p w14:paraId="373AE4B4">
      <w:pPr>
        <w:pStyle w:val="276"/>
        <w:rPr>
          <w:rFonts w:ascii="宋体" w:hAnsi="宋体" w:cs="宋体"/>
          <w:color w:val="auto"/>
          <w:highlight w:val="none"/>
        </w:rPr>
      </w:pPr>
    </w:p>
    <w:p w14:paraId="3397385B">
      <w:pPr>
        <w:pStyle w:val="276"/>
        <w:rPr>
          <w:rFonts w:ascii="宋体" w:hAnsi="宋体" w:cs="宋体"/>
          <w:color w:val="auto"/>
          <w:highlight w:val="none"/>
        </w:rPr>
      </w:pPr>
    </w:p>
    <w:p w14:paraId="47CE79E7">
      <w:pPr>
        <w:pStyle w:val="276"/>
        <w:rPr>
          <w:rFonts w:ascii="宋体" w:hAnsi="宋体" w:cs="宋体"/>
          <w:color w:val="auto"/>
          <w:highlight w:val="none"/>
        </w:rPr>
      </w:pPr>
    </w:p>
    <w:p w14:paraId="6CA35A57">
      <w:pPr>
        <w:pStyle w:val="276"/>
        <w:rPr>
          <w:rFonts w:ascii="宋体" w:hAnsi="宋体" w:cs="宋体"/>
          <w:color w:val="auto"/>
          <w:highlight w:val="none"/>
        </w:rPr>
      </w:pPr>
    </w:p>
    <w:p w14:paraId="000997CD">
      <w:pPr>
        <w:pStyle w:val="276"/>
        <w:rPr>
          <w:rFonts w:ascii="宋体" w:hAnsi="宋体" w:cs="宋体"/>
          <w:color w:val="auto"/>
          <w:highlight w:val="none"/>
        </w:rPr>
      </w:pPr>
    </w:p>
    <w:p w14:paraId="30E7E81E">
      <w:pPr>
        <w:pStyle w:val="276"/>
        <w:rPr>
          <w:rFonts w:ascii="宋体" w:hAnsi="宋体" w:cs="宋体"/>
          <w:color w:val="auto"/>
          <w:highlight w:val="none"/>
        </w:rPr>
      </w:pPr>
    </w:p>
    <w:p w14:paraId="7F4C400D">
      <w:pPr>
        <w:pStyle w:val="276"/>
        <w:rPr>
          <w:rFonts w:ascii="宋体" w:hAnsi="宋体" w:cs="宋体"/>
          <w:color w:val="auto"/>
          <w:highlight w:val="none"/>
        </w:rPr>
      </w:pPr>
    </w:p>
    <w:p w14:paraId="1732C469">
      <w:pPr>
        <w:pStyle w:val="276"/>
        <w:rPr>
          <w:rFonts w:ascii="宋体" w:hAnsi="宋体" w:cs="宋体"/>
          <w:color w:val="auto"/>
          <w:highlight w:val="none"/>
        </w:rPr>
      </w:pPr>
    </w:p>
    <w:p w14:paraId="34C60738">
      <w:pPr>
        <w:pStyle w:val="276"/>
        <w:rPr>
          <w:rFonts w:ascii="宋体" w:hAnsi="宋体" w:cs="宋体"/>
          <w:color w:val="auto"/>
          <w:highlight w:val="none"/>
        </w:rPr>
      </w:pPr>
    </w:p>
    <w:p w14:paraId="1D921E4D">
      <w:pPr>
        <w:pStyle w:val="276"/>
        <w:rPr>
          <w:rFonts w:ascii="宋体" w:hAnsi="宋体" w:cs="宋体"/>
          <w:color w:val="auto"/>
          <w:highlight w:val="none"/>
        </w:rPr>
      </w:pPr>
    </w:p>
    <w:p w14:paraId="4C7717BD">
      <w:pPr>
        <w:pStyle w:val="276"/>
        <w:rPr>
          <w:rFonts w:ascii="宋体" w:hAnsi="宋体" w:cs="宋体"/>
          <w:color w:val="auto"/>
          <w:highlight w:val="none"/>
        </w:rPr>
      </w:pPr>
    </w:p>
    <w:p w14:paraId="4F686971">
      <w:pPr>
        <w:pStyle w:val="276"/>
        <w:rPr>
          <w:rFonts w:ascii="宋体" w:hAnsi="宋体" w:cs="宋体"/>
          <w:color w:val="auto"/>
          <w:highlight w:val="none"/>
        </w:rPr>
      </w:pPr>
    </w:p>
    <w:p w14:paraId="13C0113F">
      <w:pPr>
        <w:pStyle w:val="276"/>
        <w:rPr>
          <w:rFonts w:ascii="宋体" w:hAnsi="宋体" w:cs="宋体"/>
          <w:color w:val="auto"/>
          <w:highlight w:val="none"/>
        </w:rPr>
      </w:pPr>
    </w:p>
    <w:p w14:paraId="747AF02F">
      <w:pPr>
        <w:pStyle w:val="276"/>
        <w:rPr>
          <w:rFonts w:ascii="宋体" w:hAnsi="宋体" w:cs="宋体"/>
          <w:color w:val="auto"/>
          <w:highlight w:val="none"/>
        </w:rPr>
      </w:pPr>
    </w:p>
    <w:p w14:paraId="6241110F">
      <w:pPr>
        <w:pStyle w:val="276"/>
        <w:rPr>
          <w:rFonts w:ascii="宋体" w:hAnsi="宋体" w:cs="宋体"/>
          <w:color w:val="auto"/>
          <w:highlight w:val="none"/>
        </w:rPr>
      </w:pPr>
    </w:p>
    <w:p w14:paraId="56C10780">
      <w:pPr>
        <w:pStyle w:val="276"/>
        <w:rPr>
          <w:rFonts w:ascii="宋体" w:hAnsi="宋体" w:cs="宋体"/>
          <w:color w:val="auto"/>
          <w:highlight w:val="none"/>
        </w:rPr>
      </w:pPr>
    </w:p>
    <w:p w14:paraId="575364FF">
      <w:pPr>
        <w:pStyle w:val="276"/>
        <w:rPr>
          <w:rFonts w:ascii="宋体" w:hAnsi="宋体" w:cs="宋体"/>
          <w:color w:val="auto"/>
          <w:highlight w:val="none"/>
        </w:rPr>
      </w:pPr>
    </w:p>
    <w:p w14:paraId="37222EBB">
      <w:pPr>
        <w:pStyle w:val="276"/>
        <w:rPr>
          <w:rFonts w:ascii="宋体" w:hAnsi="宋体" w:cs="宋体"/>
          <w:color w:val="auto"/>
          <w:highlight w:val="none"/>
        </w:rPr>
      </w:pPr>
    </w:p>
    <w:p w14:paraId="1DBC2ECE">
      <w:pPr>
        <w:pStyle w:val="4"/>
        <w:spacing w:before="0" w:after="0" w:line="240" w:lineRule="auto"/>
        <w:rPr>
          <w:rFonts w:ascii="黑体" w:hAnsi="黑体" w:cs="黑体"/>
          <w:color w:val="auto"/>
          <w:sz w:val="76"/>
          <w:szCs w:val="76"/>
          <w:highlight w:val="none"/>
        </w:rPr>
      </w:pPr>
      <w:bookmarkStart w:id="675" w:name="_Toc74760927"/>
      <w:r>
        <w:rPr>
          <w:rFonts w:hint="eastAsia" w:ascii="黑体" w:hAnsi="黑体" w:cs="黑体"/>
          <w:color w:val="auto"/>
          <w:sz w:val="76"/>
          <w:szCs w:val="76"/>
          <w:highlight w:val="none"/>
        </w:rPr>
        <w:t>第</w:t>
      </w:r>
      <w:r>
        <w:rPr>
          <w:rFonts w:ascii="黑体" w:hAnsi="黑体" w:cs="黑体"/>
          <w:color w:val="auto"/>
          <w:sz w:val="76"/>
          <w:szCs w:val="76"/>
          <w:highlight w:val="none"/>
        </w:rPr>
        <w:t xml:space="preserve"> </w:t>
      </w:r>
      <w:r>
        <w:rPr>
          <w:rFonts w:hint="eastAsia" w:ascii="黑体" w:hAnsi="黑体" w:cs="黑体"/>
          <w:color w:val="auto"/>
          <w:sz w:val="76"/>
          <w:szCs w:val="76"/>
          <w:highlight w:val="none"/>
        </w:rPr>
        <w:t>三</w:t>
      </w:r>
      <w:r>
        <w:rPr>
          <w:rFonts w:ascii="黑体" w:hAnsi="黑体" w:cs="黑体"/>
          <w:color w:val="auto"/>
          <w:sz w:val="76"/>
          <w:szCs w:val="76"/>
          <w:highlight w:val="none"/>
        </w:rPr>
        <w:t xml:space="preserve"> </w:t>
      </w:r>
      <w:r>
        <w:rPr>
          <w:rFonts w:hint="eastAsia" w:ascii="黑体" w:hAnsi="黑体" w:cs="黑体"/>
          <w:color w:val="auto"/>
          <w:sz w:val="76"/>
          <w:szCs w:val="76"/>
          <w:highlight w:val="none"/>
        </w:rPr>
        <w:t>卷</w:t>
      </w:r>
      <w:bookmarkEnd w:id="675"/>
    </w:p>
    <w:p w14:paraId="3146DA65">
      <w:pPr>
        <w:pStyle w:val="276"/>
        <w:rPr>
          <w:rFonts w:ascii="宋体" w:hAnsi="宋体" w:cs="宋体"/>
          <w:color w:val="auto"/>
          <w:highlight w:val="none"/>
        </w:rPr>
      </w:pPr>
    </w:p>
    <w:p w14:paraId="6EE019CC">
      <w:pPr>
        <w:pStyle w:val="276"/>
        <w:rPr>
          <w:rFonts w:ascii="宋体" w:hAnsi="宋体" w:cs="宋体"/>
          <w:color w:val="auto"/>
          <w:highlight w:val="none"/>
        </w:rPr>
      </w:pPr>
    </w:p>
    <w:p w14:paraId="20422491">
      <w:pPr>
        <w:pStyle w:val="276"/>
        <w:rPr>
          <w:rFonts w:ascii="宋体" w:hAnsi="宋体" w:cs="宋体"/>
          <w:color w:val="auto"/>
          <w:highlight w:val="none"/>
        </w:rPr>
      </w:pPr>
    </w:p>
    <w:p w14:paraId="64A8D222">
      <w:pPr>
        <w:pStyle w:val="276"/>
        <w:rPr>
          <w:rFonts w:ascii="宋体" w:hAnsi="宋体" w:cs="宋体"/>
          <w:color w:val="auto"/>
          <w:highlight w:val="none"/>
        </w:rPr>
      </w:pPr>
    </w:p>
    <w:p w14:paraId="0A0C2575">
      <w:pPr>
        <w:pStyle w:val="276"/>
        <w:rPr>
          <w:rFonts w:ascii="宋体" w:hAnsi="宋体" w:cs="宋体"/>
          <w:color w:val="auto"/>
          <w:highlight w:val="none"/>
        </w:rPr>
      </w:pPr>
    </w:p>
    <w:p w14:paraId="5F3D586E">
      <w:pPr>
        <w:pStyle w:val="276"/>
        <w:rPr>
          <w:rFonts w:ascii="宋体" w:hAnsi="宋体" w:cs="宋体"/>
          <w:color w:val="auto"/>
          <w:highlight w:val="none"/>
        </w:rPr>
      </w:pPr>
    </w:p>
    <w:p w14:paraId="69C08ACD">
      <w:pPr>
        <w:pStyle w:val="276"/>
        <w:rPr>
          <w:rFonts w:ascii="宋体" w:hAnsi="宋体" w:cs="宋体"/>
          <w:color w:val="auto"/>
          <w:highlight w:val="none"/>
        </w:rPr>
      </w:pPr>
    </w:p>
    <w:p w14:paraId="25844C0B">
      <w:pPr>
        <w:pStyle w:val="276"/>
        <w:rPr>
          <w:rFonts w:ascii="宋体" w:hAnsi="宋体" w:cs="宋体"/>
          <w:color w:val="auto"/>
          <w:highlight w:val="none"/>
        </w:rPr>
      </w:pPr>
    </w:p>
    <w:p w14:paraId="6AA066B7">
      <w:pPr>
        <w:pStyle w:val="276"/>
        <w:rPr>
          <w:rFonts w:ascii="宋体" w:hAnsi="宋体" w:cs="宋体"/>
          <w:color w:val="auto"/>
          <w:highlight w:val="none"/>
        </w:rPr>
      </w:pPr>
    </w:p>
    <w:p w14:paraId="52230569">
      <w:pPr>
        <w:pStyle w:val="276"/>
        <w:rPr>
          <w:rFonts w:ascii="宋体" w:hAnsi="宋体" w:cs="宋体"/>
          <w:color w:val="auto"/>
          <w:highlight w:val="none"/>
        </w:rPr>
      </w:pPr>
    </w:p>
    <w:p w14:paraId="46701809">
      <w:pPr>
        <w:pStyle w:val="276"/>
        <w:rPr>
          <w:rFonts w:ascii="宋体" w:hAnsi="宋体" w:cs="宋体"/>
          <w:color w:val="auto"/>
          <w:highlight w:val="none"/>
        </w:rPr>
      </w:pPr>
    </w:p>
    <w:p w14:paraId="7889BFA9">
      <w:pPr>
        <w:pStyle w:val="276"/>
        <w:rPr>
          <w:rFonts w:ascii="宋体" w:hAnsi="宋体" w:cs="宋体"/>
          <w:color w:val="auto"/>
          <w:highlight w:val="none"/>
        </w:rPr>
      </w:pPr>
    </w:p>
    <w:p w14:paraId="284FB229">
      <w:pPr>
        <w:pStyle w:val="276"/>
        <w:rPr>
          <w:rFonts w:ascii="宋体" w:hAnsi="宋体" w:cs="宋体"/>
          <w:color w:val="auto"/>
          <w:highlight w:val="none"/>
        </w:rPr>
      </w:pPr>
    </w:p>
    <w:p w14:paraId="7DFAD37F">
      <w:pPr>
        <w:pStyle w:val="276"/>
        <w:rPr>
          <w:rFonts w:ascii="宋体" w:hAnsi="宋体" w:cs="宋体"/>
          <w:color w:val="auto"/>
          <w:highlight w:val="none"/>
        </w:rPr>
      </w:pPr>
    </w:p>
    <w:p w14:paraId="73B4B869">
      <w:pPr>
        <w:pStyle w:val="276"/>
        <w:rPr>
          <w:rFonts w:ascii="宋体" w:hAnsi="宋体" w:cs="宋体"/>
          <w:color w:val="auto"/>
          <w:highlight w:val="none"/>
        </w:rPr>
      </w:pPr>
    </w:p>
    <w:p w14:paraId="32CEBB28">
      <w:pPr>
        <w:pStyle w:val="276"/>
        <w:rPr>
          <w:rFonts w:ascii="宋体" w:hAnsi="宋体" w:cs="宋体"/>
          <w:color w:val="auto"/>
          <w:highlight w:val="none"/>
        </w:rPr>
      </w:pPr>
    </w:p>
    <w:p w14:paraId="0E355AA7">
      <w:pPr>
        <w:pStyle w:val="276"/>
        <w:rPr>
          <w:rFonts w:ascii="宋体" w:hAnsi="宋体" w:cs="宋体"/>
          <w:color w:val="auto"/>
          <w:highlight w:val="none"/>
        </w:rPr>
      </w:pPr>
    </w:p>
    <w:p w14:paraId="514735AB">
      <w:pPr>
        <w:pStyle w:val="276"/>
        <w:rPr>
          <w:rFonts w:ascii="宋体" w:hAnsi="宋体" w:cs="宋体"/>
          <w:color w:val="auto"/>
          <w:highlight w:val="none"/>
        </w:rPr>
      </w:pPr>
      <w:r>
        <w:rPr>
          <w:rFonts w:ascii="宋体" w:hAnsi="宋体" w:cs="宋体"/>
          <w:color w:val="auto"/>
          <w:highlight w:val="none"/>
        </w:rPr>
        <w:br w:type="page"/>
      </w:r>
    </w:p>
    <w:p w14:paraId="55FB6B93">
      <w:pPr>
        <w:pStyle w:val="276"/>
        <w:rPr>
          <w:rFonts w:ascii="宋体" w:hAnsi="宋体" w:cs="宋体"/>
          <w:color w:val="auto"/>
          <w:highlight w:val="none"/>
        </w:rPr>
      </w:pPr>
    </w:p>
    <w:p w14:paraId="314E4A84">
      <w:pPr>
        <w:pStyle w:val="276"/>
        <w:rPr>
          <w:rFonts w:ascii="宋体" w:hAnsi="宋体" w:cs="宋体"/>
          <w:color w:val="auto"/>
          <w:highlight w:val="none"/>
        </w:rPr>
      </w:pPr>
    </w:p>
    <w:p w14:paraId="1D4453C9">
      <w:pPr>
        <w:pStyle w:val="276"/>
        <w:rPr>
          <w:rFonts w:ascii="宋体" w:hAnsi="宋体" w:cs="宋体"/>
          <w:color w:val="auto"/>
          <w:highlight w:val="none"/>
        </w:rPr>
      </w:pPr>
    </w:p>
    <w:p w14:paraId="0586741D">
      <w:pPr>
        <w:pStyle w:val="276"/>
        <w:rPr>
          <w:rFonts w:ascii="宋体" w:hAnsi="宋体" w:cs="宋体"/>
          <w:color w:val="auto"/>
          <w:highlight w:val="none"/>
        </w:rPr>
      </w:pPr>
    </w:p>
    <w:p w14:paraId="17E69872">
      <w:pPr>
        <w:pStyle w:val="276"/>
        <w:rPr>
          <w:rFonts w:ascii="宋体" w:hAnsi="宋体" w:cs="宋体"/>
          <w:color w:val="auto"/>
          <w:highlight w:val="none"/>
        </w:rPr>
      </w:pPr>
    </w:p>
    <w:p w14:paraId="4153AB01">
      <w:pPr>
        <w:pStyle w:val="276"/>
        <w:rPr>
          <w:rFonts w:ascii="宋体" w:hAnsi="宋体" w:cs="宋体"/>
          <w:color w:val="auto"/>
          <w:highlight w:val="none"/>
        </w:rPr>
      </w:pPr>
    </w:p>
    <w:p w14:paraId="54DF942C">
      <w:pPr>
        <w:pStyle w:val="276"/>
        <w:rPr>
          <w:rFonts w:ascii="宋体" w:hAnsi="宋体" w:cs="宋体"/>
          <w:color w:val="auto"/>
          <w:highlight w:val="none"/>
        </w:rPr>
      </w:pPr>
    </w:p>
    <w:p w14:paraId="4D284C2D">
      <w:pPr>
        <w:pStyle w:val="276"/>
        <w:rPr>
          <w:rFonts w:ascii="宋体" w:hAnsi="宋体" w:cs="宋体"/>
          <w:color w:val="auto"/>
          <w:highlight w:val="none"/>
        </w:rPr>
      </w:pPr>
    </w:p>
    <w:p w14:paraId="0EB200D8">
      <w:pPr>
        <w:pStyle w:val="276"/>
        <w:rPr>
          <w:rFonts w:ascii="宋体" w:hAnsi="宋体" w:cs="宋体"/>
          <w:color w:val="auto"/>
          <w:highlight w:val="none"/>
        </w:rPr>
      </w:pPr>
    </w:p>
    <w:p w14:paraId="0DEF66FC">
      <w:pPr>
        <w:pStyle w:val="276"/>
        <w:rPr>
          <w:rFonts w:ascii="宋体" w:hAnsi="宋体" w:cs="宋体"/>
          <w:color w:val="auto"/>
          <w:highlight w:val="none"/>
        </w:rPr>
      </w:pPr>
    </w:p>
    <w:p w14:paraId="3D2D13A8">
      <w:pPr>
        <w:pStyle w:val="276"/>
        <w:rPr>
          <w:rFonts w:ascii="宋体" w:hAnsi="宋体" w:cs="宋体"/>
          <w:color w:val="auto"/>
          <w:highlight w:val="none"/>
        </w:rPr>
      </w:pPr>
    </w:p>
    <w:p w14:paraId="18B1A147">
      <w:pPr>
        <w:pStyle w:val="276"/>
        <w:rPr>
          <w:rFonts w:ascii="宋体" w:hAnsi="宋体" w:cs="宋体"/>
          <w:color w:val="auto"/>
          <w:highlight w:val="none"/>
        </w:rPr>
      </w:pPr>
    </w:p>
    <w:p w14:paraId="1C145FB8">
      <w:pPr>
        <w:pStyle w:val="276"/>
        <w:rPr>
          <w:rFonts w:ascii="宋体" w:hAnsi="宋体" w:cs="宋体"/>
          <w:color w:val="auto"/>
          <w:highlight w:val="none"/>
        </w:rPr>
      </w:pPr>
    </w:p>
    <w:p w14:paraId="6AF58751">
      <w:pPr>
        <w:pStyle w:val="276"/>
        <w:rPr>
          <w:rFonts w:ascii="宋体" w:hAnsi="宋体" w:cs="宋体"/>
          <w:color w:val="auto"/>
          <w:highlight w:val="none"/>
        </w:rPr>
      </w:pPr>
    </w:p>
    <w:p w14:paraId="1773AAF0">
      <w:pPr>
        <w:pStyle w:val="276"/>
        <w:rPr>
          <w:rFonts w:ascii="宋体" w:hAnsi="宋体" w:cs="宋体"/>
          <w:color w:val="auto"/>
          <w:highlight w:val="none"/>
        </w:rPr>
      </w:pPr>
    </w:p>
    <w:p w14:paraId="4513B8B4">
      <w:pPr>
        <w:pStyle w:val="276"/>
        <w:rPr>
          <w:rFonts w:ascii="宋体" w:hAnsi="宋体" w:cs="宋体"/>
          <w:color w:val="auto"/>
          <w:highlight w:val="none"/>
        </w:rPr>
      </w:pPr>
    </w:p>
    <w:p w14:paraId="60875B28">
      <w:pPr>
        <w:pStyle w:val="276"/>
        <w:rPr>
          <w:rFonts w:ascii="宋体" w:hAnsi="宋体" w:cs="宋体"/>
          <w:color w:val="auto"/>
          <w:highlight w:val="none"/>
        </w:rPr>
      </w:pPr>
    </w:p>
    <w:p w14:paraId="15CF9CC7">
      <w:pPr>
        <w:pStyle w:val="276"/>
        <w:rPr>
          <w:rFonts w:ascii="宋体" w:hAnsi="宋体" w:cs="宋体"/>
          <w:color w:val="auto"/>
          <w:highlight w:val="none"/>
        </w:rPr>
      </w:pPr>
    </w:p>
    <w:p w14:paraId="4FA0DC89">
      <w:pPr>
        <w:pStyle w:val="276"/>
        <w:rPr>
          <w:rFonts w:ascii="宋体" w:hAnsi="宋体" w:cs="宋体"/>
          <w:color w:val="auto"/>
          <w:highlight w:val="none"/>
        </w:rPr>
      </w:pPr>
    </w:p>
    <w:p w14:paraId="7867AA2A">
      <w:pPr>
        <w:pStyle w:val="276"/>
        <w:rPr>
          <w:rFonts w:ascii="宋体" w:hAnsi="宋体" w:cs="宋体"/>
          <w:color w:val="auto"/>
          <w:highlight w:val="none"/>
        </w:rPr>
      </w:pPr>
    </w:p>
    <w:p w14:paraId="0EA05CFC">
      <w:pPr>
        <w:pStyle w:val="4"/>
        <w:rPr>
          <w:rFonts w:ascii="黑体" w:hAnsi="黑体" w:cs="黑体"/>
          <w:b w:val="0"/>
          <w:color w:val="auto"/>
          <w:sz w:val="52"/>
          <w:szCs w:val="52"/>
          <w:highlight w:val="none"/>
        </w:rPr>
      </w:pPr>
      <w:bookmarkStart w:id="676" w:name="_Toc74760928"/>
      <w:r>
        <w:rPr>
          <w:rFonts w:hint="eastAsia" w:ascii="黑体" w:hAnsi="黑体" w:cs="黑体"/>
          <w:b w:val="0"/>
          <w:color w:val="auto"/>
          <w:sz w:val="52"/>
          <w:szCs w:val="52"/>
          <w:highlight w:val="none"/>
        </w:rPr>
        <w:t>第七章</w:t>
      </w:r>
      <w:r>
        <w:rPr>
          <w:rFonts w:ascii="黑体" w:hAnsi="黑体" w:cs="黑体"/>
          <w:b w:val="0"/>
          <w:color w:val="auto"/>
          <w:sz w:val="52"/>
          <w:szCs w:val="52"/>
          <w:highlight w:val="none"/>
        </w:rPr>
        <w:t xml:space="preserve">  </w:t>
      </w:r>
      <w:r>
        <w:rPr>
          <w:rFonts w:hint="eastAsia" w:ascii="黑体" w:hAnsi="黑体" w:cs="黑体"/>
          <w:b w:val="0"/>
          <w:color w:val="auto"/>
          <w:sz w:val="52"/>
          <w:szCs w:val="52"/>
          <w:highlight w:val="none"/>
        </w:rPr>
        <w:t>投标文件格式</w:t>
      </w:r>
      <w:r>
        <w:rPr>
          <w:rStyle w:val="58"/>
          <w:rFonts w:ascii="黑体" w:hAnsi="黑体" w:cs="黑体"/>
          <w:b w:val="0"/>
          <w:color w:val="auto"/>
          <w:sz w:val="52"/>
          <w:szCs w:val="52"/>
          <w:highlight w:val="none"/>
        </w:rPr>
        <w:footnoteReference w:id="123"/>
      </w:r>
      <w:bookmarkEnd w:id="676"/>
    </w:p>
    <w:p w14:paraId="425E32F3">
      <w:pPr>
        <w:rPr>
          <w:rFonts w:ascii="宋体" w:hAnsi="宋体" w:cs="宋体"/>
          <w:b/>
          <w:color w:val="auto"/>
          <w:sz w:val="36"/>
          <w:szCs w:val="36"/>
          <w:highlight w:val="none"/>
        </w:rPr>
      </w:pPr>
      <w:bookmarkStart w:id="677" w:name="_Toc519777947"/>
      <w:bookmarkStart w:id="678" w:name="_Toc519601516"/>
      <w:bookmarkStart w:id="679" w:name="_Toc519777798"/>
      <w:bookmarkStart w:id="680" w:name="_Toc519777895"/>
      <w:bookmarkStart w:id="681" w:name="_Toc519777843"/>
      <w:bookmarkStart w:id="682" w:name="_Toc519778508"/>
      <w:r>
        <w:rPr>
          <w:rFonts w:ascii="宋体" w:hAnsi="宋体" w:cs="宋体"/>
          <w:b/>
          <w:color w:val="auto"/>
          <w:sz w:val="36"/>
          <w:szCs w:val="36"/>
          <w:highlight w:val="none"/>
        </w:rPr>
        <w:br w:type="page"/>
      </w:r>
    </w:p>
    <w:p w14:paraId="68DA6677">
      <w:pPr>
        <w:pStyle w:val="276"/>
        <w:spacing w:line="360" w:lineRule="auto"/>
        <w:rPr>
          <w:rFonts w:ascii="宋体" w:hAnsi="宋体" w:cs="宋体"/>
          <w:b/>
          <w:color w:val="auto"/>
          <w:sz w:val="21"/>
          <w:szCs w:val="21"/>
          <w:highlight w:val="none"/>
        </w:rPr>
      </w:pPr>
    </w:p>
    <w:p w14:paraId="3F94D222">
      <w:pPr>
        <w:pStyle w:val="276"/>
        <w:spacing w:line="360" w:lineRule="auto"/>
        <w:rPr>
          <w:rFonts w:ascii="宋体" w:hAnsi="宋体" w:cs="宋体"/>
          <w:b/>
          <w:color w:val="auto"/>
          <w:sz w:val="21"/>
          <w:szCs w:val="21"/>
          <w:highlight w:val="none"/>
        </w:rPr>
      </w:pPr>
    </w:p>
    <w:p w14:paraId="0DC3B53C">
      <w:pPr>
        <w:pStyle w:val="276"/>
        <w:spacing w:line="360" w:lineRule="auto"/>
        <w:rPr>
          <w:rFonts w:ascii="宋体" w:hAnsi="宋体" w:cs="宋体"/>
          <w:b/>
          <w:color w:val="auto"/>
          <w:sz w:val="36"/>
          <w:szCs w:val="36"/>
          <w:highlight w:val="none"/>
        </w:rPr>
      </w:pPr>
      <w:r>
        <w:rPr>
          <w:rFonts w:ascii="宋体" w:hAnsi="宋体" w:cs="宋体"/>
          <w:b/>
          <w:color w:val="auto"/>
          <w:sz w:val="36"/>
          <w:szCs w:val="36"/>
          <w:highlight w:val="none"/>
        </w:rPr>
        <w:t xml:space="preserve"> </w:t>
      </w:r>
      <w:r>
        <w:rPr>
          <w:rFonts w:ascii="黑体" w:hAnsi="黑体" w:eastAsia="黑体" w:cs="宋体"/>
          <w:color w:val="auto"/>
          <w:sz w:val="36"/>
          <w:szCs w:val="36"/>
          <w:highlight w:val="none"/>
          <w:u w:val="single"/>
        </w:rPr>
        <w:t xml:space="preserve">              </w:t>
      </w:r>
      <w:r>
        <w:rPr>
          <w:rFonts w:hint="eastAsia" w:ascii="黑体" w:hAnsi="黑体" w:eastAsia="黑体" w:cs="宋体"/>
          <w:color w:val="auto"/>
          <w:sz w:val="36"/>
          <w:szCs w:val="36"/>
          <w:highlight w:val="none"/>
        </w:rPr>
        <w:t>（招标项目名称）招标第</w:t>
      </w:r>
      <w:r>
        <w:rPr>
          <w:rFonts w:ascii="黑体" w:hAnsi="黑体" w:eastAsia="黑体" w:cs="宋体"/>
          <w:color w:val="auto"/>
          <w:sz w:val="36"/>
          <w:szCs w:val="36"/>
          <w:highlight w:val="none"/>
          <w:u w:val="single"/>
        </w:rPr>
        <w:t xml:space="preserve">     </w:t>
      </w:r>
      <w:r>
        <w:rPr>
          <w:rFonts w:hint="eastAsia" w:ascii="黑体" w:hAnsi="黑体" w:eastAsia="黑体" w:cs="宋体"/>
          <w:color w:val="auto"/>
          <w:sz w:val="36"/>
          <w:szCs w:val="36"/>
          <w:highlight w:val="none"/>
        </w:rPr>
        <w:t>标段</w:t>
      </w:r>
    </w:p>
    <w:p w14:paraId="4CCE888B">
      <w:pPr>
        <w:pStyle w:val="276"/>
        <w:rPr>
          <w:rFonts w:ascii="宋体" w:hAnsi="宋体" w:cs="宋体"/>
          <w:color w:val="auto"/>
          <w:highlight w:val="none"/>
        </w:rPr>
      </w:pPr>
    </w:p>
    <w:p w14:paraId="3D348F87">
      <w:pPr>
        <w:pStyle w:val="276"/>
        <w:rPr>
          <w:rFonts w:ascii="宋体" w:hAnsi="宋体" w:cs="宋体"/>
          <w:color w:val="auto"/>
          <w:highlight w:val="none"/>
        </w:rPr>
      </w:pPr>
    </w:p>
    <w:p w14:paraId="2247ADE4">
      <w:pPr>
        <w:pStyle w:val="276"/>
        <w:rPr>
          <w:rFonts w:ascii="宋体" w:hAnsi="宋体" w:cs="宋体"/>
          <w:color w:val="auto"/>
          <w:highlight w:val="none"/>
        </w:rPr>
      </w:pPr>
    </w:p>
    <w:p w14:paraId="74480F2C">
      <w:pPr>
        <w:pStyle w:val="276"/>
        <w:rPr>
          <w:rFonts w:ascii="宋体" w:hAnsi="宋体" w:cs="宋体"/>
          <w:color w:val="auto"/>
          <w:highlight w:val="none"/>
        </w:rPr>
      </w:pPr>
    </w:p>
    <w:p w14:paraId="0DF963CF">
      <w:pPr>
        <w:pStyle w:val="276"/>
        <w:rPr>
          <w:rFonts w:ascii="宋体" w:hAnsi="宋体" w:cs="宋体"/>
          <w:color w:val="auto"/>
          <w:highlight w:val="none"/>
        </w:rPr>
      </w:pPr>
    </w:p>
    <w:p w14:paraId="52D8CD35">
      <w:pPr>
        <w:pStyle w:val="276"/>
        <w:rPr>
          <w:rFonts w:ascii="宋体" w:hAnsi="宋体" w:cs="宋体"/>
          <w:color w:val="auto"/>
          <w:highlight w:val="none"/>
        </w:rPr>
      </w:pPr>
    </w:p>
    <w:p w14:paraId="2B3466D2">
      <w:pPr>
        <w:pStyle w:val="276"/>
        <w:rPr>
          <w:rFonts w:ascii="宋体" w:hAnsi="宋体" w:cs="宋体"/>
          <w:color w:val="auto"/>
          <w:highlight w:val="none"/>
        </w:rPr>
      </w:pPr>
    </w:p>
    <w:p w14:paraId="661E6C40">
      <w:pPr>
        <w:pStyle w:val="276"/>
        <w:rPr>
          <w:rFonts w:ascii="宋体" w:hAnsi="宋体" w:cs="宋体"/>
          <w:color w:val="auto"/>
          <w:highlight w:val="none"/>
        </w:rPr>
      </w:pPr>
    </w:p>
    <w:p w14:paraId="59C1A7E4">
      <w:pPr>
        <w:pStyle w:val="276"/>
        <w:rPr>
          <w:rFonts w:ascii="宋体" w:hAnsi="宋体" w:cs="宋体"/>
          <w:color w:val="auto"/>
          <w:highlight w:val="none"/>
        </w:rPr>
      </w:pPr>
    </w:p>
    <w:p w14:paraId="2DD64B88">
      <w:pPr>
        <w:pStyle w:val="276"/>
        <w:rPr>
          <w:rFonts w:ascii="宋体" w:hAnsi="宋体" w:cs="宋体"/>
          <w:color w:val="auto"/>
          <w:highlight w:val="none"/>
        </w:rPr>
      </w:pPr>
    </w:p>
    <w:p w14:paraId="5D4D0468">
      <w:pPr>
        <w:pStyle w:val="276"/>
        <w:rPr>
          <w:rFonts w:ascii="宋体" w:hAnsi="宋体" w:cs="宋体"/>
          <w:color w:val="auto"/>
          <w:highlight w:val="none"/>
        </w:rPr>
      </w:pPr>
    </w:p>
    <w:p w14:paraId="372A8CEA">
      <w:pPr>
        <w:pStyle w:val="276"/>
        <w:rPr>
          <w:rFonts w:ascii="宋体" w:hAnsi="宋体" w:cs="宋体"/>
          <w:color w:val="auto"/>
          <w:highlight w:val="none"/>
        </w:rPr>
      </w:pPr>
    </w:p>
    <w:p w14:paraId="33255FAF">
      <w:pPr>
        <w:pStyle w:val="276"/>
        <w:rPr>
          <w:rFonts w:ascii="宋体" w:hAnsi="宋体" w:cs="宋体"/>
          <w:color w:val="auto"/>
          <w:highlight w:val="none"/>
        </w:rPr>
      </w:pPr>
    </w:p>
    <w:p w14:paraId="38ED6A07">
      <w:pPr>
        <w:pStyle w:val="5"/>
        <w:jc w:val="center"/>
        <w:outlineLvl w:val="1"/>
        <w:rPr>
          <w:rFonts w:ascii="黑体" w:hAnsi="黑体" w:cs="宋体"/>
          <w:color w:val="auto"/>
          <w:sz w:val="72"/>
          <w:szCs w:val="72"/>
          <w:highlight w:val="none"/>
        </w:rPr>
      </w:pPr>
      <w:bookmarkStart w:id="683" w:name="_Toc74760929"/>
      <w:r>
        <w:rPr>
          <w:rFonts w:hint="eastAsia" w:ascii="黑体" w:hAnsi="黑体" w:cs="宋体"/>
          <w:color w:val="auto"/>
          <w:sz w:val="72"/>
          <w:szCs w:val="72"/>
          <w:highlight w:val="none"/>
        </w:rPr>
        <w:t>投</w:t>
      </w:r>
      <w:r>
        <w:rPr>
          <w:rFonts w:hint="eastAsia" w:ascii="黑体" w:hAnsi="黑体" w:cs="宋体"/>
          <w:color w:val="auto"/>
          <w:sz w:val="72"/>
          <w:szCs w:val="72"/>
          <w:highlight w:val="none"/>
          <w:lang w:val="en-US" w:eastAsia="zh-CN"/>
        </w:rPr>
        <w:t xml:space="preserve"> </w:t>
      </w:r>
      <w:r>
        <w:rPr>
          <w:rFonts w:ascii="黑体" w:hAnsi="黑体" w:cs="宋体"/>
          <w:color w:val="auto"/>
          <w:sz w:val="72"/>
          <w:szCs w:val="72"/>
          <w:highlight w:val="none"/>
        </w:rPr>
        <w:t>标</w:t>
      </w:r>
      <w:r>
        <w:rPr>
          <w:rFonts w:hint="eastAsia" w:ascii="黑体" w:hAnsi="黑体" w:cs="宋体"/>
          <w:color w:val="auto"/>
          <w:sz w:val="72"/>
          <w:szCs w:val="72"/>
          <w:highlight w:val="none"/>
          <w:lang w:val="en-US" w:eastAsia="zh-CN"/>
        </w:rPr>
        <w:t xml:space="preserve"> </w:t>
      </w:r>
      <w:r>
        <w:rPr>
          <w:rFonts w:ascii="黑体" w:hAnsi="黑体" w:cs="宋体"/>
          <w:color w:val="auto"/>
          <w:sz w:val="72"/>
          <w:szCs w:val="72"/>
          <w:highlight w:val="none"/>
        </w:rPr>
        <w:t>文</w:t>
      </w:r>
      <w:r>
        <w:rPr>
          <w:rFonts w:hint="eastAsia" w:ascii="黑体" w:hAnsi="黑体" w:cs="宋体"/>
          <w:color w:val="auto"/>
          <w:sz w:val="72"/>
          <w:szCs w:val="72"/>
          <w:highlight w:val="none"/>
          <w:lang w:val="en-US" w:eastAsia="zh-CN"/>
        </w:rPr>
        <w:t xml:space="preserve"> </w:t>
      </w:r>
      <w:r>
        <w:rPr>
          <w:rFonts w:hint="eastAsia" w:ascii="黑体" w:hAnsi="黑体" w:cs="宋体"/>
          <w:color w:val="auto"/>
          <w:sz w:val="72"/>
          <w:szCs w:val="72"/>
          <w:highlight w:val="none"/>
        </w:rPr>
        <w:t>件</w:t>
      </w:r>
      <w:bookmarkEnd w:id="683"/>
    </w:p>
    <w:p w14:paraId="232FC3C0">
      <w:pPr>
        <w:pStyle w:val="5"/>
        <w:jc w:val="center"/>
        <w:outlineLvl w:val="1"/>
        <w:rPr>
          <w:rFonts w:ascii="黑体" w:hAnsi="黑体" w:cs="黑体"/>
          <w:b w:val="0"/>
          <w:color w:val="auto"/>
          <w:szCs w:val="32"/>
          <w:highlight w:val="none"/>
        </w:rPr>
      </w:pPr>
      <w:bookmarkStart w:id="684" w:name="_Toc74760930"/>
      <w:r>
        <w:rPr>
          <w:rFonts w:hint="eastAsia" w:ascii="黑体" w:hAnsi="黑体" w:cs="黑体"/>
          <w:b w:val="0"/>
          <w:color w:val="auto"/>
          <w:szCs w:val="32"/>
          <w:highlight w:val="none"/>
        </w:rPr>
        <w:t>第一个信封（商务及技术文件）</w:t>
      </w:r>
      <w:bookmarkEnd w:id="684"/>
    </w:p>
    <w:p w14:paraId="55F537B1">
      <w:pPr>
        <w:pStyle w:val="276"/>
        <w:rPr>
          <w:rFonts w:ascii="宋体" w:hAnsi="宋体" w:cs="宋体"/>
          <w:color w:val="auto"/>
          <w:highlight w:val="none"/>
        </w:rPr>
      </w:pPr>
    </w:p>
    <w:p w14:paraId="0ED49738">
      <w:pPr>
        <w:pStyle w:val="276"/>
        <w:rPr>
          <w:rFonts w:ascii="宋体" w:hAnsi="宋体" w:cs="宋体"/>
          <w:color w:val="auto"/>
          <w:highlight w:val="none"/>
        </w:rPr>
      </w:pPr>
    </w:p>
    <w:p w14:paraId="406A114F">
      <w:pPr>
        <w:pStyle w:val="276"/>
        <w:rPr>
          <w:rFonts w:ascii="宋体" w:hAnsi="宋体" w:cs="宋体"/>
          <w:color w:val="auto"/>
          <w:highlight w:val="none"/>
        </w:rPr>
      </w:pPr>
    </w:p>
    <w:p w14:paraId="15B07E92">
      <w:pPr>
        <w:pStyle w:val="276"/>
        <w:rPr>
          <w:rFonts w:ascii="宋体" w:hAnsi="宋体" w:cs="宋体"/>
          <w:color w:val="auto"/>
          <w:highlight w:val="none"/>
        </w:rPr>
      </w:pPr>
    </w:p>
    <w:p w14:paraId="2C706E9E">
      <w:pPr>
        <w:pStyle w:val="276"/>
        <w:rPr>
          <w:rFonts w:ascii="宋体" w:hAnsi="宋体" w:cs="宋体"/>
          <w:color w:val="auto"/>
          <w:highlight w:val="none"/>
        </w:rPr>
      </w:pPr>
    </w:p>
    <w:p w14:paraId="38468EED">
      <w:pPr>
        <w:pStyle w:val="276"/>
        <w:rPr>
          <w:rFonts w:ascii="宋体" w:hAnsi="宋体" w:cs="宋体"/>
          <w:color w:val="auto"/>
          <w:highlight w:val="none"/>
        </w:rPr>
      </w:pPr>
    </w:p>
    <w:p w14:paraId="3EDDB827">
      <w:pPr>
        <w:pStyle w:val="276"/>
        <w:rPr>
          <w:rFonts w:ascii="宋体" w:hAnsi="宋体" w:cs="宋体"/>
          <w:color w:val="auto"/>
          <w:highlight w:val="none"/>
        </w:rPr>
      </w:pPr>
    </w:p>
    <w:p w14:paraId="6F3CF805">
      <w:pPr>
        <w:pStyle w:val="276"/>
        <w:rPr>
          <w:rFonts w:ascii="宋体" w:hAnsi="宋体" w:cs="宋体"/>
          <w:color w:val="auto"/>
          <w:highlight w:val="none"/>
        </w:rPr>
      </w:pPr>
    </w:p>
    <w:p w14:paraId="0E78F76E">
      <w:pPr>
        <w:pStyle w:val="276"/>
        <w:rPr>
          <w:rFonts w:ascii="宋体" w:hAnsi="宋体" w:cs="宋体"/>
          <w:color w:val="auto"/>
          <w:highlight w:val="none"/>
        </w:rPr>
      </w:pPr>
    </w:p>
    <w:p w14:paraId="580C2DA9">
      <w:pPr>
        <w:pStyle w:val="276"/>
        <w:rPr>
          <w:rFonts w:ascii="宋体" w:hAnsi="宋体" w:cs="宋体"/>
          <w:color w:val="auto"/>
          <w:highlight w:val="none"/>
        </w:rPr>
      </w:pPr>
      <w:bookmarkStart w:id="685" w:name="page2"/>
      <w:bookmarkEnd w:id="685"/>
    </w:p>
    <w:p w14:paraId="66E384EE">
      <w:pPr>
        <w:pStyle w:val="276"/>
        <w:rPr>
          <w:rFonts w:ascii="宋体" w:hAnsi="宋体" w:cs="宋体"/>
          <w:color w:val="auto"/>
          <w:highlight w:val="none"/>
        </w:rPr>
      </w:pPr>
    </w:p>
    <w:p w14:paraId="70A1C253">
      <w:pPr>
        <w:pStyle w:val="276"/>
        <w:rPr>
          <w:rFonts w:ascii="宋体" w:hAnsi="宋体" w:cs="宋体"/>
          <w:color w:val="auto"/>
          <w:highlight w:val="none"/>
        </w:rPr>
      </w:pPr>
    </w:p>
    <w:p w14:paraId="6FCF5234">
      <w:pPr>
        <w:pStyle w:val="276"/>
        <w:rPr>
          <w:rFonts w:ascii="宋体" w:hAnsi="宋体" w:cs="宋体"/>
          <w:color w:val="auto"/>
          <w:highlight w:val="none"/>
        </w:rPr>
      </w:pPr>
    </w:p>
    <w:p w14:paraId="0BCF1DAA">
      <w:pPr>
        <w:pStyle w:val="276"/>
        <w:rPr>
          <w:rFonts w:ascii="宋体" w:hAnsi="宋体" w:cs="宋体"/>
          <w:color w:val="auto"/>
          <w:highlight w:val="none"/>
        </w:rPr>
      </w:pPr>
    </w:p>
    <w:p w14:paraId="799BF97A">
      <w:pPr>
        <w:pStyle w:val="276"/>
        <w:rPr>
          <w:rFonts w:ascii="宋体" w:hAnsi="宋体" w:cs="宋体"/>
          <w:color w:val="auto"/>
          <w:highlight w:val="none"/>
        </w:rPr>
      </w:pPr>
    </w:p>
    <w:bookmarkEnd w:id="677"/>
    <w:bookmarkEnd w:id="678"/>
    <w:bookmarkEnd w:id="679"/>
    <w:bookmarkEnd w:id="680"/>
    <w:bookmarkEnd w:id="681"/>
    <w:bookmarkEnd w:id="682"/>
    <w:p w14:paraId="28800487">
      <w:pPr>
        <w:pStyle w:val="276"/>
        <w:rPr>
          <w:rFonts w:ascii="宋体" w:hAnsi="宋体" w:cs="宋体"/>
          <w:color w:val="auto"/>
          <w:highlight w:val="none"/>
        </w:rPr>
      </w:pPr>
      <w:bookmarkStart w:id="686" w:name="page29"/>
      <w:bookmarkEnd w:id="686"/>
      <w:bookmarkStart w:id="687" w:name="page23"/>
      <w:bookmarkEnd w:id="687"/>
      <w:bookmarkStart w:id="688" w:name="page37"/>
      <w:bookmarkEnd w:id="688"/>
      <w:bookmarkStart w:id="689" w:name="page17"/>
      <w:bookmarkEnd w:id="689"/>
      <w:bookmarkStart w:id="690" w:name="page43"/>
      <w:bookmarkEnd w:id="690"/>
      <w:bookmarkStart w:id="691" w:name="page3"/>
      <w:bookmarkEnd w:id="691"/>
      <w:bookmarkStart w:id="692" w:name="page6"/>
      <w:bookmarkEnd w:id="692"/>
      <w:bookmarkStart w:id="693" w:name="page36"/>
      <w:bookmarkEnd w:id="693"/>
      <w:bookmarkStart w:id="694" w:name="page28"/>
      <w:bookmarkEnd w:id="694"/>
      <w:bookmarkStart w:id="695" w:name="page35"/>
      <w:bookmarkEnd w:id="695"/>
      <w:bookmarkStart w:id="696" w:name="page21"/>
      <w:bookmarkEnd w:id="696"/>
      <w:bookmarkStart w:id="697" w:name="page13"/>
      <w:bookmarkEnd w:id="697"/>
      <w:bookmarkStart w:id="698" w:name="page18"/>
      <w:bookmarkEnd w:id="698"/>
      <w:bookmarkStart w:id="699" w:name="page19"/>
      <w:bookmarkEnd w:id="699"/>
      <w:bookmarkStart w:id="700" w:name="page42"/>
      <w:bookmarkEnd w:id="700"/>
      <w:bookmarkStart w:id="701" w:name="page12"/>
      <w:bookmarkEnd w:id="701"/>
      <w:bookmarkStart w:id="702" w:name="page40"/>
      <w:bookmarkEnd w:id="702"/>
      <w:bookmarkStart w:id="703" w:name="page41"/>
      <w:bookmarkEnd w:id="703"/>
      <w:bookmarkStart w:id="704" w:name="page34"/>
      <w:bookmarkEnd w:id="704"/>
      <w:bookmarkStart w:id="705" w:name="page38"/>
      <w:bookmarkEnd w:id="705"/>
      <w:bookmarkStart w:id="706" w:name="page16"/>
      <w:bookmarkEnd w:id="706"/>
      <w:bookmarkStart w:id="707" w:name="page25"/>
      <w:bookmarkEnd w:id="707"/>
      <w:bookmarkStart w:id="708" w:name="page5"/>
      <w:bookmarkEnd w:id="708"/>
      <w:bookmarkStart w:id="709" w:name="page39"/>
      <w:bookmarkEnd w:id="709"/>
      <w:bookmarkStart w:id="710" w:name="page26"/>
      <w:bookmarkEnd w:id="710"/>
      <w:bookmarkStart w:id="711" w:name="page22"/>
      <w:bookmarkEnd w:id="711"/>
      <w:bookmarkStart w:id="712" w:name="page30"/>
      <w:bookmarkEnd w:id="712"/>
      <w:bookmarkStart w:id="713" w:name="page7"/>
      <w:bookmarkEnd w:id="713"/>
      <w:bookmarkStart w:id="714" w:name="page11"/>
      <w:bookmarkEnd w:id="714"/>
      <w:bookmarkStart w:id="715" w:name="page45"/>
      <w:bookmarkEnd w:id="715"/>
      <w:bookmarkStart w:id="716" w:name="page27"/>
      <w:bookmarkEnd w:id="716"/>
      <w:bookmarkStart w:id="717" w:name="page14"/>
      <w:bookmarkEnd w:id="717"/>
      <w:bookmarkStart w:id="718" w:name="page20"/>
      <w:bookmarkEnd w:id="718"/>
      <w:bookmarkStart w:id="719" w:name="page8"/>
      <w:bookmarkEnd w:id="719"/>
      <w:bookmarkStart w:id="720" w:name="page31"/>
      <w:bookmarkEnd w:id="720"/>
      <w:bookmarkStart w:id="721" w:name="page10"/>
      <w:bookmarkEnd w:id="721"/>
      <w:bookmarkStart w:id="722" w:name="page32"/>
      <w:bookmarkEnd w:id="722"/>
      <w:bookmarkStart w:id="723" w:name="page15"/>
      <w:bookmarkEnd w:id="723"/>
      <w:bookmarkStart w:id="724" w:name="page4"/>
      <w:bookmarkEnd w:id="724"/>
    </w:p>
    <w:p w14:paraId="39F7DA4C">
      <w:pPr>
        <w:pStyle w:val="276"/>
        <w:rPr>
          <w:rFonts w:ascii="宋体" w:hAnsi="宋体" w:cs="宋体"/>
          <w:color w:val="auto"/>
          <w:highlight w:val="none"/>
        </w:rPr>
      </w:pPr>
    </w:p>
    <w:p w14:paraId="74007A8A">
      <w:pPr>
        <w:pStyle w:val="276"/>
        <w:rPr>
          <w:rFonts w:ascii="宋体" w:hAnsi="宋体" w:cs="宋体"/>
          <w:color w:val="auto"/>
          <w:highlight w:val="none"/>
        </w:rPr>
      </w:pPr>
    </w:p>
    <w:p w14:paraId="63BA100A">
      <w:pPr>
        <w:pStyle w:val="276"/>
        <w:ind w:firstLine="1680" w:firstLineChars="600"/>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投标人：</w:t>
      </w:r>
      <w:r>
        <w:rPr>
          <w:rFonts w:ascii="黑体" w:hAnsi="黑体" w:eastAsia="黑体" w:cs="宋体"/>
          <w:color w:val="auto"/>
          <w:sz w:val="28"/>
          <w:szCs w:val="28"/>
          <w:highlight w:val="none"/>
          <w:u w:val="single"/>
        </w:rPr>
        <w:t xml:space="preserve">                        </w:t>
      </w:r>
      <w:r>
        <w:rPr>
          <w:rFonts w:ascii="黑体" w:hAnsi="黑体" w:eastAsia="黑体" w:cs="宋体"/>
          <w:color w:val="auto"/>
          <w:sz w:val="28"/>
          <w:szCs w:val="28"/>
          <w:highlight w:val="none"/>
        </w:rPr>
        <w:t xml:space="preserve"> （全称）</w:t>
      </w:r>
      <w:r>
        <w:rPr>
          <w:rStyle w:val="58"/>
          <w:rFonts w:ascii="黑体" w:hAnsi="黑体" w:eastAsia="黑体" w:cs="宋体"/>
          <w:color w:val="auto"/>
          <w:sz w:val="28"/>
          <w:szCs w:val="28"/>
          <w:highlight w:val="none"/>
        </w:rPr>
        <w:footnoteReference w:id="124"/>
      </w:r>
    </w:p>
    <w:p w14:paraId="0F23D605">
      <w:pPr>
        <w:pStyle w:val="276"/>
        <w:rPr>
          <w:rFonts w:ascii="黑体" w:hAnsi="黑体" w:eastAsia="黑体" w:cs="宋体"/>
          <w:color w:val="auto"/>
          <w:sz w:val="28"/>
          <w:szCs w:val="28"/>
          <w:highlight w:val="none"/>
        </w:rPr>
      </w:pPr>
    </w:p>
    <w:p w14:paraId="37EED63C">
      <w:pPr>
        <w:pStyle w:val="276"/>
        <w:rPr>
          <w:rFonts w:ascii="宋体" w:hAnsi="宋体" w:cs="宋体"/>
          <w:color w:val="auto"/>
          <w:highlight w:val="none"/>
        </w:rPr>
      </w:pPr>
      <w:r>
        <w:rPr>
          <w:rFonts w:ascii="黑体" w:hAnsi="黑体" w:eastAsia="黑体" w:cs="宋体"/>
          <w:color w:val="auto"/>
          <w:sz w:val="28"/>
          <w:szCs w:val="28"/>
          <w:highlight w:val="none"/>
        </w:rPr>
        <w:t xml:space="preserve">                   </w:t>
      </w:r>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年</w:t>
      </w:r>
      <w:r>
        <w:rPr>
          <w:rFonts w:ascii="黑体" w:hAnsi="黑体" w:eastAsia="黑体" w:cs="宋体"/>
          <w:color w:val="auto"/>
          <w:sz w:val="28"/>
          <w:szCs w:val="28"/>
          <w:highlight w:val="none"/>
          <w:u w:val="single"/>
        </w:rPr>
        <w:t xml:space="preserve">  </w:t>
      </w:r>
      <w:r>
        <w:rPr>
          <w:rFonts w:ascii="黑体" w:hAnsi="黑体" w:eastAsia="黑体" w:cs="宋体"/>
          <w:color w:val="auto"/>
          <w:sz w:val="28"/>
          <w:szCs w:val="28"/>
          <w:highlight w:val="none"/>
          <w:u w:val="single"/>
        </w:rPr>
        <w:tab/>
      </w:r>
      <w:r>
        <w:rPr>
          <w:rFonts w:hint="eastAsia" w:ascii="黑体" w:hAnsi="黑体" w:eastAsia="黑体" w:cs="宋体"/>
          <w:color w:val="auto"/>
          <w:sz w:val="28"/>
          <w:szCs w:val="28"/>
          <w:highlight w:val="none"/>
        </w:rPr>
        <w:t>月</w:t>
      </w:r>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日</w:t>
      </w:r>
    </w:p>
    <w:p w14:paraId="5AE7739D">
      <w:pPr>
        <w:widowControl/>
        <w:jc w:val="center"/>
        <w:rPr>
          <w:rFonts w:ascii="黑体" w:hAnsi="黑体" w:eastAsia="黑体" w:cs="黑体"/>
          <w:color w:val="auto"/>
          <w:szCs w:val="30"/>
          <w:highlight w:val="none"/>
        </w:rPr>
      </w:pPr>
      <w:r>
        <w:rPr>
          <w:rFonts w:ascii="黑体" w:hAnsi="黑体" w:eastAsia="黑体" w:cs="黑体"/>
          <w:b/>
          <w:bCs/>
          <w:color w:val="auto"/>
          <w:sz w:val="30"/>
          <w:szCs w:val="30"/>
          <w:highlight w:val="none"/>
        </w:rPr>
        <w:br w:type="page"/>
      </w:r>
      <w:r>
        <w:rPr>
          <w:rFonts w:hint="eastAsia" w:ascii="黑体" w:hAnsi="黑体" w:eastAsia="黑体" w:cs="黑体"/>
          <w:bCs/>
          <w:color w:val="auto"/>
          <w:sz w:val="30"/>
          <w:szCs w:val="30"/>
          <w:highlight w:val="none"/>
        </w:rPr>
        <w:t>目</w:t>
      </w:r>
      <w:r>
        <w:rPr>
          <w:rFonts w:ascii="黑体" w:hAnsi="黑体" w:eastAsia="黑体" w:cs="黑体"/>
          <w:bCs/>
          <w:color w:val="auto"/>
          <w:sz w:val="30"/>
          <w:szCs w:val="30"/>
          <w:highlight w:val="none"/>
        </w:rPr>
        <w:tab/>
      </w:r>
      <w:r>
        <w:rPr>
          <w:rFonts w:ascii="黑体" w:hAnsi="黑体" w:eastAsia="黑体" w:cs="黑体"/>
          <w:bCs/>
          <w:color w:val="auto"/>
          <w:sz w:val="30"/>
          <w:szCs w:val="30"/>
          <w:highlight w:val="none"/>
        </w:rPr>
        <w:t xml:space="preserve">  录</w:t>
      </w:r>
      <w:r>
        <w:rPr>
          <w:rStyle w:val="58"/>
          <w:rFonts w:ascii="黑体" w:hAnsi="黑体" w:eastAsia="黑体" w:cs="黑体"/>
          <w:bCs/>
          <w:color w:val="auto"/>
          <w:sz w:val="30"/>
          <w:szCs w:val="30"/>
          <w:highlight w:val="none"/>
        </w:rPr>
        <w:footnoteReference w:id="125"/>
      </w:r>
    </w:p>
    <w:p w14:paraId="005FAE4E">
      <w:pPr>
        <w:pStyle w:val="276"/>
        <w:rPr>
          <w:rFonts w:ascii="宋体" w:hAnsi="宋体" w:cs="宋体"/>
          <w:color w:val="auto"/>
          <w:highlight w:val="none"/>
        </w:rPr>
      </w:pPr>
    </w:p>
    <w:p w14:paraId="467EDC14">
      <w:pPr>
        <w:pStyle w:val="276"/>
        <w:rPr>
          <w:rFonts w:ascii="宋体" w:hAnsi="宋体" w:cs="宋体"/>
          <w:color w:val="auto"/>
          <w:highlight w:val="none"/>
        </w:rPr>
      </w:pPr>
    </w:p>
    <w:p w14:paraId="131A078C">
      <w:pPr>
        <w:pStyle w:val="276"/>
        <w:spacing w:line="240" w:lineRule="auto"/>
        <w:rPr>
          <w:rFonts w:hint="default" w:ascii="宋体" w:hAnsi="宋体" w:cs="宋体"/>
          <w:color w:val="auto"/>
          <w:sz w:val="21"/>
          <w:highlight w:val="none"/>
        </w:rPr>
      </w:pPr>
    </w:p>
    <w:p w14:paraId="1F6F8106">
      <w:pPr>
        <w:pStyle w:val="276"/>
        <w:spacing w:line="480" w:lineRule="auto"/>
        <w:rPr>
          <w:rFonts w:ascii="宋体" w:hAnsi="宋体" w:cs="宋体"/>
          <w:color w:val="auto"/>
          <w:sz w:val="24"/>
          <w:highlight w:val="none"/>
        </w:rPr>
      </w:pPr>
      <w:r>
        <w:rPr>
          <w:rFonts w:hint="eastAsia" w:ascii="宋体" w:hAnsi="宋体" w:cs="宋体"/>
          <w:color w:val="auto"/>
          <w:sz w:val="24"/>
          <w:highlight w:val="none"/>
        </w:rPr>
        <w:t>一、投标函</w:t>
      </w:r>
    </w:p>
    <w:p w14:paraId="25E27475">
      <w:pPr>
        <w:pStyle w:val="276"/>
        <w:spacing w:line="480" w:lineRule="auto"/>
        <w:rPr>
          <w:rFonts w:ascii="宋体" w:hAnsi="宋体" w:cs="宋体"/>
          <w:color w:val="auto"/>
          <w:sz w:val="24"/>
          <w:highlight w:val="none"/>
        </w:rPr>
      </w:pPr>
      <w:r>
        <w:rPr>
          <w:rFonts w:hint="eastAsia" w:ascii="宋体" w:hAnsi="宋体" w:cs="宋体"/>
          <w:color w:val="auto"/>
          <w:sz w:val="24"/>
          <w:highlight w:val="none"/>
        </w:rPr>
        <w:t>二、授权委托书</w:t>
      </w:r>
      <w:bookmarkStart w:id="725" w:name="_Toc523921856"/>
      <w:bookmarkStart w:id="726" w:name="_Toc28187737"/>
      <w:r>
        <w:rPr>
          <w:rFonts w:hint="eastAsia" w:ascii="宋体" w:hAnsi="宋体" w:cs="宋体"/>
          <w:color w:val="auto"/>
          <w:sz w:val="24"/>
          <w:highlight w:val="none"/>
        </w:rPr>
        <w:t>或法定代表人身份证明</w:t>
      </w:r>
    </w:p>
    <w:p w14:paraId="56359CF6">
      <w:pPr>
        <w:pStyle w:val="276"/>
        <w:spacing w:line="48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三</w:t>
      </w:r>
      <w:bookmarkEnd w:id="725"/>
      <w:bookmarkEnd w:id="726"/>
      <w:r>
        <w:rPr>
          <w:rFonts w:hint="eastAsia" w:ascii="宋体" w:hAnsi="宋体" w:cs="宋体"/>
          <w:color w:val="auto"/>
          <w:sz w:val="24"/>
          <w:highlight w:val="none"/>
        </w:rPr>
        <w:t>、</w:t>
      </w:r>
      <w:bookmarkStart w:id="727" w:name="_Toc28187738"/>
      <w:bookmarkStart w:id="728" w:name="_Toc523921857"/>
      <w:r>
        <w:rPr>
          <w:rFonts w:hint="eastAsia" w:ascii="宋体" w:hAnsi="宋体" w:cs="宋体"/>
          <w:color w:val="auto"/>
          <w:sz w:val="24"/>
          <w:highlight w:val="none"/>
        </w:rPr>
        <w:t>联合体协议书</w:t>
      </w:r>
      <w:bookmarkEnd w:id="727"/>
      <w:bookmarkEnd w:id="728"/>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p>
    <w:p w14:paraId="33629F90">
      <w:pPr>
        <w:pStyle w:val="276"/>
        <w:spacing w:line="480" w:lineRule="auto"/>
        <w:rPr>
          <w:rFonts w:ascii="宋体" w:hAnsi="宋体" w:cs="宋体"/>
          <w:color w:val="auto"/>
          <w:sz w:val="24"/>
          <w:highlight w:val="none"/>
        </w:rPr>
      </w:pPr>
      <w:r>
        <w:rPr>
          <w:rFonts w:hint="eastAsia" w:ascii="宋体" w:hAnsi="宋体" w:cs="宋体"/>
          <w:color w:val="auto"/>
          <w:sz w:val="24"/>
          <w:highlight w:val="none"/>
        </w:rPr>
        <w:t>四、投标保证金</w:t>
      </w:r>
      <w:r>
        <w:rPr>
          <w:rFonts w:ascii="宋体" w:hAnsi="宋体" w:cs="宋体"/>
          <w:color w:val="auto"/>
          <w:sz w:val="24"/>
          <w:highlight w:val="none"/>
        </w:rPr>
        <w:t xml:space="preserve"> </w:t>
      </w:r>
    </w:p>
    <w:p w14:paraId="07F8CE47">
      <w:pPr>
        <w:pStyle w:val="276"/>
        <w:spacing w:line="480" w:lineRule="auto"/>
        <w:rPr>
          <w:rFonts w:ascii="宋体" w:hAnsi="宋体" w:cs="宋体"/>
          <w:color w:val="auto"/>
          <w:sz w:val="24"/>
          <w:highlight w:val="none"/>
        </w:rPr>
      </w:pPr>
      <w:r>
        <w:rPr>
          <w:rFonts w:hint="eastAsia" w:ascii="宋体" w:hAnsi="宋体" w:cs="宋体"/>
          <w:color w:val="auto"/>
          <w:sz w:val="24"/>
          <w:highlight w:val="none"/>
        </w:rPr>
        <w:t>五、资格审查资料</w:t>
      </w:r>
    </w:p>
    <w:p w14:paraId="376368C0">
      <w:pPr>
        <w:pStyle w:val="276"/>
        <w:spacing w:line="480" w:lineRule="auto"/>
        <w:rPr>
          <w:rFonts w:ascii="宋体" w:hAnsi="宋体" w:cs="宋体"/>
          <w:color w:val="auto"/>
          <w:sz w:val="24"/>
          <w:highlight w:val="none"/>
        </w:rPr>
      </w:pPr>
      <w:r>
        <w:rPr>
          <w:rFonts w:hint="eastAsia" w:ascii="宋体" w:hAnsi="宋体" w:cs="宋体"/>
          <w:color w:val="auto"/>
          <w:sz w:val="24"/>
          <w:highlight w:val="none"/>
        </w:rPr>
        <w:t>六、技术建议书</w:t>
      </w:r>
    </w:p>
    <w:p w14:paraId="5AAAF7FC">
      <w:pPr>
        <w:pStyle w:val="276"/>
        <w:spacing w:line="480" w:lineRule="auto"/>
        <w:rPr>
          <w:rFonts w:ascii="宋体" w:hAnsi="宋体" w:cs="宋体"/>
          <w:color w:val="auto"/>
          <w:sz w:val="24"/>
          <w:highlight w:val="none"/>
        </w:rPr>
      </w:pPr>
      <w:r>
        <w:rPr>
          <w:rFonts w:hint="eastAsia" w:ascii="宋体" w:hAnsi="宋体" w:cs="宋体"/>
          <w:color w:val="auto"/>
          <w:sz w:val="24"/>
          <w:highlight w:val="none"/>
        </w:rPr>
        <w:t>七、其他资料（如有）</w:t>
      </w:r>
    </w:p>
    <w:p w14:paraId="2A95028B">
      <w:pPr>
        <w:widowControl/>
        <w:jc w:val="left"/>
        <w:rPr>
          <w:rFonts w:ascii="黑体" w:hAnsi="黑体" w:eastAsia="黑体" w:cs="黑体"/>
          <w:b/>
          <w:bCs/>
          <w:color w:val="auto"/>
          <w:kern w:val="44"/>
          <w:sz w:val="32"/>
          <w:szCs w:val="44"/>
          <w:highlight w:val="none"/>
        </w:rPr>
      </w:pPr>
      <w:r>
        <w:rPr>
          <w:rFonts w:ascii="黑体" w:hAnsi="黑体" w:cs="黑体"/>
          <w:color w:val="auto"/>
          <w:highlight w:val="none"/>
        </w:rPr>
        <w:br w:type="page"/>
      </w:r>
    </w:p>
    <w:p w14:paraId="6F0FD358">
      <w:pPr>
        <w:pStyle w:val="5"/>
        <w:jc w:val="center"/>
        <w:rPr>
          <w:b w:val="0"/>
          <w:bCs w:val="0"/>
        </w:rPr>
      </w:pPr>
      <w:bookmarkStart w:id="729" w:name="_Toc74760931"/>
      <w:r>
        <w:rPr>
          <w:rFonts w:hint="eastAsia"/>
          <w:b w:val="0"/>
          <w:bCs w:val="0"/>
        </w:rPr>
        <w:t>一、投</w:t>
      </w:r>
      <w:r>
        <w:rPr>
          <w:rFonts w:hint="eastAsia"/>
          <w:b w:val="0"/>
          <w:bCs w:val="0"/>
          <w:lang w:val="en-US" w:eastAsia="zh-CN"/>
        </w:rPr>
        <w:t xml:space="preserve"> </w:t>
      </w:r>
      <w:r>
        <w:rPr>
          <w:rFonts w:hint="eastAsia"/>
          <w:b w:val="0"/>
          <w:bCs w:val="0"/>
        </w:rPr>
        <w:t>标</w:t>
      </w:r>
      <w:r>
        <w:rPr>
          <w:rFonts w:hint="eastAsia"/>
          <w:b w:val="0"/>
          <w:bCs w:val="0"/>
          <w:lang w:val="en-US" w:eastAsia="zh-CN"/>
        </w:rPr>
        <w:t xml:space="preserve"> </w:t>
      </w:r>
      <w:r>
        <w:rPr>
          <w:rFonts w:hint="eastAsia"/>
          <w:b w:val="0"/>
          <w:bCs w:val="0"/>
        </w:rPr>
        <w:t>函</w:t>
      </w:r>
      <w:bookmarkEnd w:id="729"/>
    </w:p>
    <w:p w14:paraId="60052E9F">
      <w:pPr>
        <w:pStyle w:val="276"/>
        <w:spacing w:line="360" w:lineRule="auto"/>
        <w:jc w:val="center"/>
        <w:rPr>
          <w:rFonts w:ascii="宋体" w:hAnsi="宋体" w:cs="宋体"/>
          <w:color w:val="auto"/>
          <w:highlight w:val="none"/>
        </w:rPr>
      </w:pPr>
    </w:p>
    <w:p w14:paraId="25072AAC">
      <w:pPr>
        <w:spacing w:line="360" w:lineRule="auto"/>
        <w:rPr>
          <w:rFonts w:ascii="宋体" w:hAnsi="宋体" w:cs="宋体"/>
          <w:color w:val="auto"/>
          <w:sz w:val="24"/>
          <w:highlight w:val="none"/>
        </w:rPr>
      </w:pP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（招标人名称）：</w:t>
      </w:r>
    </w:p>
    <w:p w14:paraId="3199D0B5">
      <w:pPr>
        <w:spacing w:line="360" w:lineRule="auto"/>
        <w:ind w:firstLine="480" w:firstLineChars="200"/>
        <w:rPr>
          <w:rFonts w:ascii="宋体" w:hAnsi="宋体" w:cs="宋体"/>
          <w:color w:val="auto"/>
          <w:sz w:val="24"/>
          <w:highlight w:val="none"/>
        </w:rPr>
      </w:pPr>
    </w:p>
    <w:p w14:paraId="49B3E1E8">
      <w:pPr>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1．我方已仔细研究</w:t>
      </w:r>
      <w:r>
        <w:rPr>
          <w:rFonts w:ascii="宋体" w:hAnsi="宋体" w:cs="宋体"/>
          <w:color w:val="auto"/>
          <w:sz w:val="24"/>
          <w:highlight w:val="none"/>
          <w:u w:val="single"/>
        </w:rPr>
        <w:t xml:space="preserve">          </w:t>
      </w:r>
      <w:r>
        <w:rPr>
          <w:rFonts w:hint="eastAsia" w:ascii="宋体" w:hAnsi="宋体" w:cs="宋体"/>
          <w:color w:val="auto"/>
          <w:sz w:val="24"/>
          <w:highlight w:val="none"/>
        </w:rPr>
        <w:t>（招标项目名称）</w:t>
      </w:r>
      <w:bookmarkStart w:id="730" w:name="_Toc523921858"/>
      <w:r>
        <w:rPr>
          <w:rFonts w:ascii="宋体" w:hAnsi="宋体" w:cs="宋体"/>
          <w:color w:val="auto"/>
          <w:sz w:val="24"/>
          <w:highlight w:val="none"/>
        </w:rPr>
        <w:t>招标</w:t>
      </w:r>
      <w:r>
        <w:rPr>
          <w:rFonts w:hint="eastAsia" w:ascii="宋体" w:hAnsi="宋体" w:cs="宋体"/>
          <w:color w:val="auto"/>
          <w:sz w:val="24"/>
          <w:highlight w:val="none"/>
        </w:rPr>
        <w:t>第</w:t>
      </w:r>
      <w:r>
        <w:rPr>
          <w:rFonts w:ascii="宋体" w:hAnsi="宋体" w:cs="宋体"/>
          <w:color w:val="auto"/>
          <w:sz w:val="24"/>
          <w:highlight w:val="none"/>
          <w:u w:val="single"/>
        </w:rPr>
        <w:t xml:space="preserve">  </w:t>
      </w:r>
      <w:bookmarkEnd w:id="730"/>
      <w:r>
        <w:rPr>
          <w:rFonts w:ascii="宋体" w:hAnsi="宋体" w:cs="宋体"/>
          <w:color w:val="auto"/>
          <w:sz w:val="24"/>
          <w:highlight w:val="none"/>
          <w:u w:val="single"/>
        </w:rPr>
        <w:t xml:space="preserve">  </w:t>
      </w:r>
      <w:r>
        <w:rPr>
          <w:rFonts w:hint="eastAsia" w:ascii="宋体" w:hAnsi="宋体" w:cs="宋体"/>
          <w:color w:val="auto"/>
          <w:sz w:val="24"/>
          <w:highlight w:val="none"/>
        </w:rPr>
        <w:t>标段招标文件的全部内容（含全</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部补遗书），在考察工程现场后，愿意以第二个信封（报价文件）中的投标总报价，按合同约定完成</w:t>
      </w:r>
      <w:bookmarkStart w:id="731" w:name="_Toc28187739"/>
      <w:bookmarkStart w:id="732" w:name="_Toc523921859"/>
      <w:r>
        <w:rPr>
          <w:rFonts w:hint="eastAsia" w:ascii="宋体" w:hAnsi="宋体" w:cs="宋体"/>
          <w:color w:val="auto"/>
          <w:sz w:val="24"/>
          <w:highlight w:val="none"/>
        </w:rPr>
        <w:t>监理</w:t>
      </w:r>
      <w:bookmarkEnd w:id="731"/>
      <w:bookmarkEnd w:id="732"/>
      <w:r>
        <w:rPr>
          <w:rFonts w:hint="eastAsia" w:ascii="宋体" w:hAnsi="宋体" w:cs="宋体"/>
          <w:color w:val="auto"/>
          <w:sz w:val="24"/>
          <w:highlight w:val="none"/>
        </w:rPr>
        <w:t>试验室工作。</w:t>
      </w:r>
    </w:p>
    <w:p w14:paraId="6796953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2．我方承诺在招标文件规定的投标有效期内不撤销投标文件。</w:t>
      </w:r>
    </w:p>
    <w:p w14:paraId="3901075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试验室主任姓名：</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，年龄：</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技术</w:t>
      </w:r>
      <w:r>
        <w:rPr>
          <w:rFonts w:hint="eastAsia" w:ascii="宋体" w:hAnsi="宋体" w:cs="宋体"/>
          <w:color w:val="auto"/>
          <w:sz w:val="24"/>
          <w:highlight w:val="none"/>
        </w:rPr>
        <w:t>职称：</w:t>
      </w:r>
      <w:r>
        <w:rPr>
          <w:rFonts w:ascii="宋体" w:hAnsi="宋体" w:cs="宋体"/>
          <w:color w:val="auto"/>
          <w:sz w:val="24"/>
          <w:highlight w:val="none"/>
          <w:u w:val="single"/>
        </w:rPr>
        <w:t xml:space="preserve">    </w:t>
      </w:r>
      <w:r>
        <w:rPr>
          <w:rFonts w:hint="eastAsia" w:ascii="宋体" w:hAnsi="宋体" w:cs="宋体"/>
          <w:color w:val="auto"/>
          <w:sz w:val="24"/>
          <w:highlight w:val="none"/>
        </w:rPr>
        <w:t>，试验检测工程师证书编号：</w:t>
      </w:r>
      <w:r>
        <w:rPr>
          <w:rFonts w:ascii="宋体" w:hAnsi="宋体" w:cs="宋体"/>
          <w:color w:val="auto"/>
          <w:sz w:val="24"/>
          <w:highlight w:val="none"/>
          <w:u w:val="single"/>
        </w:rPr>
        <w:t xml:space="preserve">             </w:t>
      </w:r>
      <w:r>
        <w:rPr>
          <w:rFonts w:ascii="宋体" w:hAnsi="宋体" w:cs="宋体"/>
          <w:color w:val="auto"/>
          <w:sz w:val="24"/>
          <w:highlight w:val="none"/>
        </w:rPr>
        <w:t>。</w:t>
      </w:r>
    </w:p>
    <w:p w14:paraId="79FA919B">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4. </w:t>
      </w:r>
      <w:r>
        <w:rPr>
          <w:rFonts w:hint="eastAsia" w:ascii="宋体" w:hAnsi="宋体" w:cs="宋体"/>
          <w:color w:val="auto"/>
          <w:sz w:val="24"/>
          <w:highlight w:val="none"/>
        </w:rPr>
        <w:t>质量要求：</w:t>
      </w:r>
      <w:r>
        <w:rPr>
          <w:rFonts w:ascii="宋体" w:hAnsi="宋体" w:cs="宋体"/>
          <w:color w:val="auto"/>
          <w:sz w:val="24"/>
          <w:highlight w:val="none"/>
          <w:u w:val="single"/>
        </w:rPr>
        <w:t>同</w:t>
      </w:r>
      <w:r>
        <w:rPr>
          <w:rFonts w:hint="eastAsia" w:ascii="宋体" w:hAnsi="宋体" w:cs="宋体"/>
          <w:color w:val="auto"/>
          <w:sz w:val="24"/>
          <w:highlight w:val="none"/>
          <w:u w:val="single"/>
        </w:rPr>
        <w:t>第二章“投标人须知”前附表第</w:t>
      </w:r>
      <w:r>
        <w:rPr>
          <w:rFonts w:ascii="宋体" w:hAnsi="宋体" w:cs="宋体"/>
          <w:color w:val="auto"/>
          <w:sz w:val="24"/>
          <w:highlight w:val="none"/>
          <w:u w:val="single"/>
        </w:rPr>
        <w:t>1.3.3项</w:t>
      </w:r>
      <w:r>
        <w:rPr>
          <w:rFonts w:hint="eastAsia" w:ascii="宋体" w:hAnsi="宋体" w:cs="宋体"/>
          <w:color w:val="auto"/>
          <w:sz w:val="24"/>
          <w:highlight w:val="none"/>
        </w:rPr>
        <w:t>，安全目标：</w:t>
      </w:r>
      <w:r>
        <w:rPr>
          <w:rFonts w:hint="eastAsia" w:ascii="宋体" w:hAnsi="宋体" w:cs="宋体"/>
          <w:color w:val="auto"/>
          <w:sz w:val="24"/>
          <w:highlight w:val="none"/>
          <w:u w:val="single"/>
        </w:rPr>
        <w:t>同第二章“投标人须知”前附表第</w:t>
      </w:r>
      <w:r>
        <w:rPr>
          <w:rFonts w:ascii="宋体" w:hAnsi="宋体" w:cs="宋体"/>
          <w:color w:val="auto"/>
          <w:sz w:val="24"/>
          <w:highlight w:val="none"/>
          <w:u w:val="single"/>
        </w:rPr>
        <w:t>1.3.4项</w:t>
      </w:r>
      <w:r>
        <w:rPr>
          <w:rFonts w:hint="eastAsia" w:ascii="宋体" w:hAnsi="宋体" w:cs="宋体"/>
          <w:color w:val="auto"/>
          <w:sz w:val="24"/>
          <w:highlight w:val="none"/>
        </w:rPr>
        <w:t>，监理试验室服务期限：</w:t>
      </w:r>
      <w:r>
        <w:rPr>
          <w:rFonts w:hint="eastAsia" w:ascii="宋体" w:hAnsi="宋体" w:cs="宋体"/>
          <w:color w:val="auto"/>
          <w:sz w:val="24"/>
          <w:highlight w:val="none"/>
          <w:u w:val="single"/>
        </w:rPr>
        <w:t>同第二章“投标人须知”前附表第</w:t>
      </w:r>
      <w:r>
        <w:rPr>
          <w:rFonts w:ascii="宋体" w:hAnsi="宋体" w:cs="宋体"/>
          <w:color w:val="auto"/>
          <w:sz w:val="24"/>
          <w:highlight w:val="none"/>
          <w:u w:val="single"/>
        </w:rPr>
        <w:t>1.3.2项</w:t>
      </w:r>
      <w:r>
        <w:rPr>
          <w:rFonts w:hint="eastAsia" w:ascii="宋体" w:hAnsi="宋体" w:cs="宋体"/>
          <w:color w:val="auto"/>
          <w:sz w:val="24"/>
          <w:highlight w:val="none"/>
        </w:rPr>
        <w:t>。</w:t>
      </w:r>
    </w:p>
    <w:p w14:paraId="68BD0C6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5．如我方中标，我方承诺： </w:t>
      </w:r>
    </w:p>
    <w:p w14:paraId="4E8759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1）在收到中标通知书后，在中标通知书规定的期限内与你方签订合同；</w:t>
      </w:r>
    </w:p>
    <w:p w14:paraId="5C5191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2）在签订合同时不向你方提出附加条件；</w:t>
      </w:r>
    </w:p>
    <w:p w14:paraId="73F9F7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3）按照招标文件要求</w:t>
      </w:r>
      <w:r>
        <w:rPr>
          <w:rFonts w:hint="eastAsia" w:ascii="宋体" w:hAnsi="宋体" w:cs="宋体"/>
          <w:color w:val="auto"/>
          <w:sz w:val="24"/>
          <w:highlight w:val="none"/>
        </w:rPr>
        <w:t>提交履约保证金；</w:t>
      </w:r>
    </w:p>
    <w:p w14:paraId="79489A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 xml:space="preserve">4）在合同约定的期限内完成合同规定的全部义务； </w:t>
      </w:r>
    </w:p>
    <w:p w14:paraId="47D0CE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本标段拟委任的</w:t>
      </w:r>
      <w:r>
        <w:rPr>
          <w:rFonts w:ascii="宋体" w:hAnsi="宋体" w:cs="宋体"/>
          <w:color w:val="auto"/>
          <w:sz w:val="24"/>
          <w:highlight w:val="none"/>
        </w:rPr>
        <w:t>主要人员</w:t>
      </w:r>
      <w:r>
        <w:rPr>
          <w:rFonts w:hint="eastAsia" w:ascii="宋体" w:hAnsi="宋体" w:cs="宋体"/>
          <w:color w:val="auto"/>
          <w:sz w:val="24"/>
          <w:highlight w:val="none"/>
        </w:rPr>
        <w:t>未在</w:t>
      </w:r>
      <w:r>
        <w:rPr>
          <w:rFonts w:ascii="宋体" w:hAnsi="宋体" w:cs="宋体"/>
          <w:color w:val="auto"/>
          <w:sz w:val="24"/>
          <w:highlight w:val="none"/>
        </w:rPr>
        <w:t>其他项目上任职，或</w:t>
      </w:r>
      <w:r>
        <w:rPr>
          <w:rFonts w:hint="eastAsia" w:ascii="宋体" w:hAnsi="宋体" w:cs="宋体"/>
          <w:color w:val="auto"/>
          <w:sz w:val="24"/>
          <w:highlight w:val="none"/>
        </w:rPr>
        <w:t>虽</w:t>
      </w:r>
      <w:r>
        <w:rPr>
          <w:rFonts w:ascii="宋体" w:hAnsi="宋体" w:cs="宋体"/>
          <w:color w:val="auto"/>
          <w:sz w:val="24"/>
          <w:highlight w:val="none"/>
        </w:rPr>
        <w:t>在其他项目上任职</w:t>
      </w:r>
      <w:r>
        <w:rPr>
          <w:rFonts w:hint="eastAsia" w:ascii="宋体" w:hAnsi="宋体" w:cs="宋体"/>
          <w:color w:val="auto"/>
          <w:sz w:val="24"/>
          <w:highlight w:val="none"/>
        </w:rPr>
        <w:t>但本项目中标后能够</w:t>
      </w:r>
      <w:r>
        <w:rPr>
          <w:rFonts w:ascii="宋体" w:hAnsi="宋体" w:cs="宋体"/>
          <w:color w:val="auto"/>
          <w:sz w:val="24"/>
          <w:highlight w:val="none"/>
        </w:rPr>
        <w:t>从该项目撤离。</w:t>
      </w:r>
    </w:p>
    <w:p w14:paraId="4931DF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在你方和我方进行合同谈判之前，我方将按照合同附件提出的最低要求填报派驻本标段的其他主要人员及主要试验检测设备，经你方审批后作为本标段的主要人员和主要试验检测设备且不进行更换。如我方拟派驻的人员和设备不满足合同附件要求，你方有权取消我方中标资格</w:t>
      </w:r>
      <w:r>
        <w:rPr>
          <w:rStyle w:val="58"/>
          <w:rFonts w:ascii="宋体" w:hAnsi="宋体" w:cs="宋体"/>
          <w:color w:val="auto"/>
          <w:sz w:val="24"/>
          <w:highlight w:val="none"/>
        </w:rPr>
        <w:footnoteReference w:id="126"/>
      </w:r>
      <w:r>
        <w:rPr>
          <w:rFonts w:hint="eastAsia" w:ascii="宋体" w:hAnsi="宋体" w:cs="宋体"/>
          <w:color w:val="auto"/>
          <w:sz w:val="24"/>
          <w:highlight w:val="none"/>
        </w:rPr>
        <w:t>。</w:t>
      </w:r>
    </w:p>
    <w:p w14:paraId="2DCCF90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6．我方在此声明，所递交的投标文件及有关资料内容完整、真实和准确，且不存在招标文件第二章“投标人须知”第1.4.3项和第1.4.4项规定的任何一种情形。同时，</w:t>
      </w:r>
      <w:r>
        <w:rPr>
          <w:rFonts w:hint="eastAsia" w:ascii="宋体" w:hAnsi="宋体" w:cs="宋体"/>
          <w:color w:val="auto"/>
          <w:sz w:val="24"/>
          <w:highlight w:val="none"/>
        </w:rPr>
        <w:t>投标文件</w:t>
      </w:r>
      <w:r>
        <w:rPr>
          <w:rFonts w:ascii="宋体" w:hAnsi="宋体" w:cs="宋体"/>
          <w:color w:val="auto"/>
          <w:sz w:val="24"/>
          <w:highlight w:val="none"/>
        </w:rPr>
        <w:t>中</w:t>
      </w:r>
      <w:r>
        <w:rPr>
          <w:rFonts w:hint="eastAsia" w:ascii="宋体" w:hAnsi="宋体" w:cs="宋体"/>
          <w:color w:val="auto"/>
          <w:sz w:val="24"/>
          <w:highlight w:val="none"/>
          <w:lang w:val="en-US" w:eastAsia="zh-CN"/>
        </w:rPr>
        <w:t>合同</w:t>
      </w:r>
      <w:r>
        <w:rPr>
          <w:rFonts w:hint="eastAsia" w:ascii="宋体" w:hAnsi="宋体" w:cs="宋体"/>
          <w:color w:val="auto"/>
          <w:sz w:val="24"/>
          <w:highlight w:val="none"/>
        </w:rPr>
        <w:t>权利义务符合第二章“投标人须知”前附表第</w:t>
      </w:r>
      <w:r>
        <w:rPr>
          <w:rFonts w:hint="eastAsia" w:ascii="宋体" w:hAnsi="宋体" w:cs="宋体"/>
          <w:color w:val="auto"/>
          <w:sz w:val="24"/>
          <w:highlight w:val="none"/>
          <w:lang w:val="en-US" w:eastAsia="zh-CN"/>
        </w:rPr>
        <w:t>10</w:t>
      </w:r>
      <w:r>
        <w:rPr>
          <w:rFonts w:ascii="宋体" w:hAnsi="宋体" w:cs="宋体"/>
          <w:color w:val="auto"/>
          <w:sz w:val="24"/>
          <w:highlight w:val="none"/>
        </w:rPr>
        <w:t>.2款的规定。</w:t>
      </w:r>
    </w:p>
    <w:p w14:paraId="1883AA10">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7．在合同协议书正式签署生效之前，本投标函连同你方的中标通知书将构成我</w:t>
      </w:r>
      <w:r>
        <w:rPr>
          <w:rFonts w:hint="eastAsia" w:ascii="宋体" w:hAnsi="宋体" w:cs="宋体"/>
          <w:color w:val="auto"/>
          <w:sz w:val="24"/>
          <w:highlight w:val="none"/>
        </w:rPr>
        <w:t>们双方之间共同遵守的文件，对双方具有约束力。</w:t>
      </w:r>
    </w:p>
    <w:p w14:paraId="4CD730C5">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8．</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（其他补充说明）。</w:t>
      </w:r>
    </w:p>
    <w:p w14:paraId="39940A9A">
      <w:pPr>
        <w:spacing w:line="360" w:lineRule="auto"/>
        <w:ind w:firstLine="480" w:firstLineChars="200"/>
        <w:rPr>
          <w:rFonts w:ascii="宋体" w:hAnsi="宋体" w:cs="宋体"/>
          <w:color w:val="auto"/>
          <w:sz w:val="24"/>
          <w:highlight w:val="none"/>
        </w:rPr>
      </w:pPr>
    </w:p>
    <w:p w14:paraId="56570369">
      <w:pPr>
        <w:spacing w:line="360" w:lineRule="auto"/>
        <w:ind w:firstLine="480" w:firstLineChars="200"/>
        <w:rPr>
          <w:rFonts w:ascii="宋体" w:hAnsi="宋体" w:cs="宋体"/>
          <w:color w:val="auto"/>
          <w:sz w:val="24"/>
          <w:highlight w:val="none"/>
        </w:rPr>
      </w:pPr>
    </w:p>
    <w:p w14:paraId="68B43A6C">
      <w:pPr>
        <w:spacing w:line="360" w:lineRule="auto"/>
        <w:ind w:firstLine="1080" w:firstLineChars="450"/>
        <w:rPr>
          <w:rFonts w:ascii="宋体" w:hAnsi="宋体" w:cs="宋体"/>
          <w:color w:val="auto"/>
          <w:sz w:val="24"/>
          <w:highlight w:val="none"/>
        </w:rPr>
      </w:pPr>
      <w:r>
        <w:rPr>
          <w:rFonts w:hint="eastAsia" w:ascii="宋体" w:hAnsi="宋体" w:cs="宋体"/>
          <w:color w:val="auto"/>
          <w:sz w:val="24"/>
          <w:highlight w:val="none"/>
        </w:rPr>
        <w:t>投</w:t>
      </w:r>
      <w:r>
        <w:rPr>
          <w:rFonts w:ascii="宋体" w:hAnsi="宋体" w:cs="宋体"/>
          <w:color w:val="auto"/>
          <w:sz w:val="24"/>
          <w:highlight w:val="none"/>
        </w:rPr>
        <w:t xml:space="preserve"> </w:t>
      </w:r>
      <w:r>
        <w:rPr>
          <w:rFonts w:hint="eastAsia" w:ascii="宋体" w:hAnsi="宋体" w:cs="宋体"/>
          <w:color w:val="auto"/>
          <w:sz w:val="24"/>
          <w:highlight w:val="none"/>
        </w:rPr>
        <w:t>标</w:t>
      </w:r>
      <w:r>
        <w:rPr>
          <w:rFonts w:ascii="宋体" w:hAnsi="宋体" w:cs="宋体"/>
          <w:color w:val="auto"/>
          <w:sz w:val="24"/>
          <w:highlight w:val="none"/>
        </w:rPr>
        <w:t xml:space="preserve"> </w:t>
      </w:r>
      <w:r>
        <w:rPr>
          <w:rFonts w:hint="eastAsia" w:ascii="宋体" w:hAnsi="宋体" w:cs="宋体"/>
          <w:color w:val="auto"/>
          <w:sz w:val="24"/>
          <w:highlight w:val="none"/>
        </w:rPr>
        <w:t>人：</w:t>
      </w:r>
      <w:r>
        <w:rPr>
          <w:rFonts w:ascii="宋体" w:hAnsi="宋体" w:cs="宋体"/>
          <w:color w:val="auto"/>
          <w:sz w:val="24"/>
          <w:highlight w:val="none"/>
          <w:u w:val="single"/>
        </w:rPr>
        <w:t xml:space="preserve">           （全称）</w:t>
      </w:r>
      <w:r>
        <w:rPr>
          <w:rFonts w:hint="eastAsia" w:ascii="宋体" w:hAnsi="宋体" w:cs="宋体"/>
          <w:color w:val="auto"/>
          <w:sz w:val="24"/>
          <w:highlight w:val="none"/>
          <w:u w:val="single"/>
          <w:lang w:val="en-US" w:eastAsia="zh-CN"/>
        </w:rPr>
        <w:t xml:space="preserve">        </w:t>
      </w:r>
      <w:r>
        <w:rPr>
          <w:rStyle w:val="58"/>
          <w:rFonts w:ascii="宋体" w:hAnsi="宋体" w:cs="宋体"/>
          <w:color w:val="auto"/>
          <w:sz w:val="28"/>
          <w:szCs w:val="28"/>
          <w:highlight w:val="none"/>
        </w:rPr>
        <w:footnoteReference w:id="127"/>
      </w:r>
      <w:r>
        <w:rPr>
          <w:rFonts w:hint="eastAsia" w:ascii="宋体" w:hAnsi="宋体" w:cs="宋体"/>
          <w:color w:val="auto"/>
          <w:sz w:val="24"/>
          <w:highlight w:val="none"/>
        </w:rPr>
        <w:t>（盖单位电子印章）</w:t>
      </w:r>
      <w:r>
        <w:rPr>
          <w:rStyle w:val="58"/>
          <w:rFonts w:ascii="宋体" w:hAnsi="宋体" w:cs="宋体"/>
          <w:color w:val="auto"/>
          <w:sz w:val="28"/>
          <w:szCs w:val="28"/>
          <w:highlight w:val="none"/>
        </w:rPr>
        <w:footnoteReference w:id="128"/>
      </w:r>
    </w:p>
    <w:p w14:paraId="2EF5EB14">
      <w:pPr>
        <w:spacing w:line="360" w:lineRule="auto"/>
        <w:ind w:firstLine="1080" w:firstLineChars="450"/>
        <w:rPr>
          <w:rFonts w:hint="eastAsia" w:ascii="宋体" w:hAnsi="宋体" w:cs="宋体"/>
          <w:color w:val="auto"/>
          <w:sz w:val="24"/>
          <w:highlight w:val="none"/>
        </w:rPr>
      </w:pPr>
      <w:r>
        <w:rPr>
          <w:rFonts w:hint="eastAsia" w:ascii="宋体" w:hAnsi="宋体" w:cs="宋体"/>
          <w:color w:val="auto"/>
          <w:sz w:val="24"/>
          <w:highlight w:val="none"/>
        </w:rPr>
        <w:t>法定代表人</w:t>
      </w:r>
    </w:p>
    <w:p w14:paraId="2F93FFEC">
      <w:pPr>
        <w:spacing w:line="360" w:lineRule="auto"/>
        <w:ind w:firstLine="1080" w:firstLineChars="450"/>
        <w:rPr>
          <w:rFonts w:ascii="宋体" w:hAnsi="宋体" w:cs="宋体"/>
          <w:color w:val="auto"/>
          <w:sz w:val="24"/>
          <w:highlight w:val="none"/>
        </w:rPr>
      </w:pPr>
      <w:r>
        <w:rPr>
          <w:rFonts w:hint="eastAsia" w:ascii="宋体" w:hAnsi="宋体" w:cs="宋体"/>
          <w:color w:val="auto"/>
          <w:sz w:val="24"/>
          <w:highlight w:val="none"/>
        </w:rPr>
        <w:t>或其委托代理人</w:t>
      </w:r>
      <w:r>
        <w:rPr>
          <w:rStyle w:val="58"/>
          <w:rFonts w:ascii="宋体" w:hAnsi="宋体" w:cs="宋体"/>
          <w:color w:val="auto"/>
          <w:sz w:val="24"/>
          <w:highlight w:val="none"/>
        </w:rPr>
        <w:footnoteReference w:id="129"/>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（个人电子签名章或</w:t>
      </w:r>
      <w:r>
        <w:rPr>
          <w:rFonts w:ascii="宋体" w:hAnsi="宋体"/>
          <w:color w:val="auto"/>
          <w:sz w:val="24"/>
          <w:highlight w:val="none"/>
        </w:rPr>
        <w:t>个人电子印章</w:t>
      </w:r>
      <w:r>
        <w:rPr>
          <w:rFonts w:hint="eastAsia" w:ascii="宋体" w:hAnsi="宋体" w:cs="宋体"/>
          <w:color w:val="auto"/>
          <w:sz w:val="24"/>
          <w:highlight w:val="none"/>
        </w:rPr>
        <w:t>）</w:t>
      </w:r>
    </w:p>
    <w:p w14:paraId="47FDD973">
      <w:pPr>
        <w:spacing w:line="360" w:lineRule="auto"/>
        <w:ind w:firstLine="1080" w:firstLineChars="450"/>
        <w:rPr>
          <w:rFonts w:ascii="宋体" w:hAnsi="宋体" w:cs="宋体"/>
          <w:color w:val="auto"/>
          <w:sz w:val="24"/>
          <w:highlight w:val="none"/>
        </w:rPr>
      </w:pPr>
      <w:r>
        <w:rPr>
          <w:rFonts w:hint="eastAsia" w:ascii="宋体" w:hAnsi="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p>
    <w:p w14:paraId="110D815C">
      <w:pPr>
        <w:spacing w:line="360" w:lineRule="auto"/>
        <w:ind w:firstLine="1080" w:firstLineChars="450"/>
        <w:rPr>
          <w:rFonts w:ascii="宋体" w:hAnsi="宋体" w:cs="宋体"/>
          <w:color w:val="auto"/>
          <w:sz w:val="24"/>
          <w:highlight w:val="none"/>
        </w:rPr>
      </w:pPr>
      <w:r>
        <w:rPr>
          <w:rFonts w:hint="eastAsia" w:ascii="宋体" w:hAnsi="宋体" w:cs="宋体"/>
          <w:color w:val="auto"/>
          <w:sz w:val="24"/>
          <w:highlight w:val="none"/>
        </w:rPr>
        <w:t>网</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479BB65A">
      <w:pPr>
        <w:spacing w:line="360" w:lineRule="auto"/>
        <w:ind w:firstLine="1080" w:firstLineChars="450"/>
        <w:rPr>
          <w:rFonts w:ascii="宋体" w:hAnsi="宋体" w:cs="宋体"/>
          <w:color w:val="auto"/>
          <w:sz w:val="24"/>
          <w:highlight w:val="none"/>
        </w:rPr>
      </w:pPr>
      <w:r>
        <w:rPr>
          <w:rFonts w:hint="eastAsia" w:ascii="宋体" w:hAnsi="宋体" w:cs="宋体"/>
          <w:color w:val="auto"/>
          <w:sz w:val="24"/>
          <w:highlight w:val="none"/>
        </w:rPr>
        <w:t>电</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话：</w:t>
      </w:r>
      <w:r>
        <w:rPr>
          <w:rFonts w:ascii="宋体" w:hAnsi="宋体" w:cs="宋体"/>
          <w:color w:val="auto"/>
          <w:sz w:val="24"/>
          <w:highlight w:val="none"/>
          <w:u w:val="single"/>
        </w:rPr>
        <w:tab/>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2EE609A3">
      <w:pPr>
        <w:spacing w:line="360" w:lineRule="auto"/>
        <w:ind w:firstLine="1080" w:firstLineChars="450"/>
        <w:rPr>
          <w:rFonts w:ascii="宋体" w:hAnsi="宋体" w:cs="宋体"/>
          <w:color w:val="auto"/>
          <w:sz w:val="24"/>
          <w:highlight w:val="none"/>
        </w:rPr>
      </w:pPr>
      <w:r>
        <w:rPr>
          <w:rFonts w:hint="eastAsia" w:ascii="宋体" w:hAnsi="宋体" w:cs="宋体"/>
          <w:color w:val="auto"/>
          <w:sz w:val="24"/>
          <w:highlight w:val="none"/>
        </w:rPr>
        <w:t>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真：</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ascii="宋体" w:hAnsi="宋体" w:cs="宋体"/>
          <w:color w:val="auto"/>
          <w:sz w:val="24"/>
          <w:highlight w:val="none"/>
          <w:u w:val="single"/>
        </w:rPr>
        <w:tab/>
      </w:r>
    </w:p>
    <w:p w14:paraId="3B89DF5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邮政编码：</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ascii="宋体" w:hAnsi="宋体" w:cs="宋体"/>
          <w:color w:val="auto"/>
          <w:sz w:val="24"/>
          <w:highlight w:val="none"/>
          <w:u w:val="single"/>
        </w:rPr>
        <w:tab/>
      </w:r>
    </w:p>
    <w:p w14:paraId="67F7D342">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ab/>
      </w:r>
      <w:r>
        <w:rPr>
          <w:rFonts w:ascii="宋体" w:hAnsi="宋体" w:cs="宋体"/>
          <w:color w:val="auto"/>
          <w:sz w:val="24"/>
          <w:highlight w:val="none"/>
        </w:rPr>
        <w:tab/>
      </w:r>
      <w:r>
        <w:rPr>
          <w:rFonts w:hint="eastAsia" w:ascii="宋体" w:hAnsi="宋体" w:cs="宋体"/>
          <w:i w:val="0"/>
          <w:iCs w:val="0"/>
          <w:color w:val="auto"/>
          <w:sz w:val="24"/>
          <w:highlight w:val="none"/>
          <w:u w:val="non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14:paraId="1C098369">
      <w:pPr>
        <w:widowControl/>
        <w:jc w:val="left"/>
        <w:rPr>
          <w:rFonts w:ascii="宋体" w:hAnsi="宋体" w:cs="宋体"/>
          <w:color w:val="auto"/>
          <w:sz w:val="24"/>
          <w:highlight w:val="none"/>
        </w:rPr>
      </w:pPr>
      <w:r>
        <w:rPr>
          <w:rFonts w:ascii="宋体" w:hAnsi="宋体" w:cs="宋体"/>
          <w:color w:val="auto"/>
          <w:sz w:val="24"/>
          <w:highlight w:val="none"/>
        </w:rPr>
        <w:br w:type="page"/>
      </w:r>
    </w:p>
    <w:p w14:paraId="09389F0B">
      <w:pPr>
        <w:pStyle w:val="5"/>
        <w:jc w:val="center"/>
        <w:outlineLvl w:val="1"/>
        <w:rPr>
          <w:b w:val="0"/>
          <w:bCs w:val="0"/>
        </w:rPr>
      </w:pPr>
      <w:bookmarkStart w:id="733" w:name="_Toc74760932"/>
      <w:r>
        <w:rPr>
          <w:rFonts w:hint="eastAsia"/>
          <w:b w:val="0"/>
          <w:bCs w:val="0"/>
        </w:rPr>
        <w:t>二、授权委托书或法定代表人身份证明</w:t>
      </w:r>
      <w:bookmarkEnd w:id="733"/>
    </w:p>
    <w:p w14:paraId="1F245B6C">
      <w:pPr>
        <w:pStyle w:val="6"/>
        <w:ind w:firstLine="3640" w:firstLineChars="1300"/>
        <w:rPr>
          <w:b w:val="0"/>
          <w:bCs w:val="0"/>
        </w:rPr>
      </w:pPr>
      <w:r>
        <w:rPr>
          <w:rFonts w:hint="eastAsia"/>
          <w:b w:val="0"/>
          <w:bCs w:val="0"/>
        </w:rPr>
        <w:t>授权委托书</w:t>
      </w:r>
    </w:p>
    <w:p w14:paraId="137970EE">
      <w:pPr>
        <w:pStyle w:val="276"/>
        <w:spacing w:line="360" w:lineRule="auto"/>
        <w:rPr>
          <w:rFonts w:ascii="宋体" w:hAnsi="宋体" w:cs="宋体"/>
          <w:color w:val="auto"/>
          <w:highlight w:val="none"/>
        </w:rPr>
      </w:pPr>
    </w:p>
    <w:p w14:paraId="2FA4808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本人</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（姓名）系</w:t>
      </w:r>
      <w:r>
        <w:rPr>
          <w:rFonts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（投标人名称）的法定代表人，现委托</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（姓名）为我方代理人。代理人根据授权，以我方名义签署、澄清确认、递交、</w:t>
      </w:r>
      <w:r>
        <w:rPr>
          <w:rFonts w:ascii="宋体" w:hAnsi="宋体" w:cs="宋体"/>
          <w:color w:val="auto"/>
          <w:sz w:val="24"/>
          <w:highlight w:val="none"/>
        </w:rPr>
        <w:t xml:space="preserve"> </w:t>
      </w:r>
      <w:r>
        <w:rPr>
          <w:rFonts w:hint="eastAsia" w:ascii="宋体" w:hAnsi="宋体" w:cs="宋体"/>
          <w:color w:val="auto"/>
          <w:sz w:val="24"/>
          <w:highlight w:val="none"/>
        </w:rPr>
        <w:t>撤回、修改</w:t>
      </w:r>
      <w:r>
        <w:rPr>
          <w:rFonts w:ascii="宋体" w:hAnsi="宋体" w:cs="宋体"/>
          <w:color w:val="auto"/>
          <w:sz w:val="24"/>
          <w:highlight w:val="none"/>
          <w:u w:val="single"/>
        </w:rPr>
        <w:t xml:space="preserve">         </w:t>
      </w:r>
      <w:r>
        <w:rPr>
          <w:rFonts w:hint="eastAsia" w:ascii="宋体" w:hAnsi="宋体" w:cs="宋体"/>
          <w:color w:val="auto"/>
          <w:sz w:val="24"/>
          <w:highlight w:val="none"/>
        </w:rPr>
        <w:t>（招标项目名称）</w:t>
      </w:r>
      <w:r>
        <w:rPr>
          <w:rFonts w:hint="eastAsia" w:ascii="宋体" w:hAnsi="宋体"/>
          <w:color w:val="auto"/>
          <w:sz w:val="24"/>
          <w:highlight w:val="none"/>
        </w:rPr>
        <w:t>招标</w:t>
      </w:r>
      <w:r>
        <w:rPr>
          <w:rFonts w:hint="eastAsia" w:ascii="宋体" w:hAnsi="宋体" w:cs="宋体"/>
          <w:color w:val="auto"/>
          <w:sz w:val="24"/>
          <w:highlight w:val="none"/>
        </w:rPr>
        <w:t>第</w:t>
      </w:r>
      <w:r>
        <w:rPr>
          <w:rFonts w:ascii="宋体" w:hAnsi="宋体" w:cs="宋体"/>
          <w:color w:val="auto"/>
          <w:sz w:val="24"/>
          <w:highlight w:val="none"/>
          <w:u w:val="single"/>
        </w:rPr>
        <w:t xml:space="preserve">     </w:t>
      </w:r>
      <w:r>
        <w:rPr>
          <w:rFonts w:hint="eastAsia" w:ascii="宋体" w:hAnsi="宋体" w:cs="宋体"/>
          <w:color w:val="auto"/>
          <w:sz w:val="24"/>
          <w:highlight w:val="none"/>
        </w:rPr>
        <w:t>标段</w:t>
      </w:r>
      <w:bookmarkStart w:id="734" w:name="_Toc28187740"/>
      <w:bookmarkStart w:id="735" w:name="_Toc523921860"/>
      <w:r>
        <w:rPr>
          <w:rFonts w:hint="eastAsia" w:ascii="宋体" w:hAnsi="宋体" w:cs="宋体"/>
          <w:color w:val="auto"/>
          <w:sz w:val="24"/>
          <w:highlight w:val="none"/>
        </w:rPr>
        <w:t>投标</w:t>
      </w:r>
      <w:bookmarkEnd w:id="734"/>
      <w:bookmarkEnd w:id="735"/>
      <w:r>
        <w:rPr>
          <w:rFonts w:hint="eastAsia" w:ascii="宋体" w:hAnsi="宋体" w:cs="宋体"/>
          <w:color w:val="auto"/>
          <w:sz w:val="24"/>
          <w:highlight w:val="none"/>
        </w:rPr>
        <w:t>文</w:t>
      </w:r>
      <w:bookmarkStart w:id="736" w:name="_Toc523921861"/>
      <w:r>
        <w:rPr>
          <w:rFonts w:hint="eastAsia" w:ascii="宋体" w:hAnsi="宋体" w:cs="宋体"/>
          <w:color w:val="auto"/>
          <w:sz w:val="24"/>
          <w:highlight w:val="none"/>
        </w:rPr>
        <w:t>件、签订合</w:t>
      </w:r>
      <w:bookmarkEnd w:id="736"/>
      <w:r>
        <w:rPr>
          <w:rFonts w:hint="eastAsia" w:ascii="宋体" w:hAnsi="宋体" w:cs="宋体"/>
          <w:color w:val="auto"/>
          <w:sz w:val="24"/>
          <w:highlight w:val="none"/>
        </w:rPr>
        <w:t>同和处理有关事宜，其法律后果由我方承担。</w:t>
      </w:r>
    </w:p>
    <w:p w14:paraId="3776401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委托期限：自本委托书签署之日起至投标有效期满。</w:t>
      </w:r>
      <w:r>
        <w:rPr>
          <w:rFonts w:ascii="宋体" w:hAnsi="宋体" w:cs="宋体"/>
          <w:color w:val="auto"/>
          <w:sz w:val="24"/>
          <w:highlight w:val="none"/>
        </w:rPr>
        <w:t xml:space="preserve"> </w:t>
      </w:r>
    </w:p>
    <w:p w14:paraId="0F322C1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代理人无转委托权。</w:t>
      </w:r>
    </w:p>
    <w:p w14:paraId="4E0C8535">
      <w:pPr>
        <w:spacing w:line="360" w:lineRule="auto"/>
        <w:ind w:firstLine="480" w:firstLineChars="200"/>
        <w:jc w:val="left"/>
        <w:rPr>
          <w:rFonts w:hint="eastAsia" w:ascii="宋体" w:hAnsi="宋体" w:cs="宋体"/>
          <w:color w:val="auto"/>
          <w:sz w:val="24"/>
          <w:highlight w:val="none"/>
        </w:rPr>
      </w:pPr>
    </w:p>
    <w:p w14:paraId="07D704A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附：法定代表人身份证、委托代理人身份证原件原色扫描件</w:t>
      </w:r>
    </w:p>
    <w:p w14:paraId="75C72E15">
      <w:pPr>
        <w:spacing w:line="360" w:lineRule="auto"/>
        <w:ind w:firstLine="480" w:firstLineChars="200"/>
        <w:jc w:val="left"/>
        <w:rPr>
          <w:rFonts w:ascii="宋体" w:hAnsi="宋体" w:cs="宋体"/>
          <w:color w:val="auto"/>
          <w:sz w:val="24"/>
          <w:highlight w:val="none"/>
        </w:rPr>
      </w:pPr>
    </w:p>
    <w:p w14:paraId="5D17C60B">
      <w:pPr>
        <w:spacing w:line="360" w:lineRule="auto"/>
        <w:ind w:left="2520" w:leftChars="1200" w:firstLine="480" w:firstLineChars="200"/>
        <w:jc w:val="left"/>
        <w:rPr>
          <w:rFonts w:ascii="宋体" w:hAnsi="宋体" w:cs="宋体"/>
          <w:color w:val="auto"/>
          <w:sz w:val="24"/>
          <w:highlight w:val="none"/>
        </w:rPr>
      </w:pPr>
      <w:r>
        <w:rPr>
          <w:rFonts w:hint="eastAsia" w:ascii="宋体" w:hAnsi="宋体" w:cs="宋体"/>
          <w:color w:val="auto"/>
          <w:sz w:val="24"/>
          <w:highlight w:val="none"/>
        </w:rPr>
        <w:t>投</w:t>
      </w:r>
      <w:r>
        <w:rPr>
          <w:rFonts w:ascii="宋体" w:hAnsi="宋体" w:cs="宋体"/>
          <w:color w:val="auto"/>
          <w:sz w:val="24"/>
          <w:highlight w:val="none"/>
        </w:rPr>
        <w:t xml:space="preserve">  标  人： </w:t>
      </w:r>
      <w:r>
        <w:rPr>
          <w:rFonts w:ascii="宋体" w:hAnsi="宋体" w:cs="宋体"/>
          <w:color w:val="auto"/>
          <w:sz w:val="24"/>
          <w:highlight w:val="none"/>
          <w:u w:val="single"/>
        </w:rPr>
        <w:t xml:space="preserve">      （全称）   </w:t>
      </w:r>
      <w:r>
        <w:rPr>
          <w:rFonts w:hint="eastAsia" w:ascii="宋体" w:hAnsi="宋体" w:cs="宋体"/>
          <w:color w:val="auto"/>
          <w:sz w:val="24"/>
          <w:highlight w:val="none"/>
        </w:rPr>
        <w:t>（盖单位电子印章）</w:t>
      </w:r>
    </w:p>
    <w:p w14:paraId="125DE32D">
      <w:pPr>
        <w:spacing w:line="360" w:lineRule="auto"/>
        <w:ind w:left="2520" w:leftChars="1200" w:firstLine="480" w:firstLineChars="200"/>
        <w:jc w:val="left"/>
        <w:rPr>
          <w:rFonts w:ascii="宋体" w:hAnsi="宋体" w:cs="宋体"/>
          <w:color w:val="auto"/>
          <w:sz w:val="24"/>
          <w:highlight w:val="none"/>
        </w:rPr>
      </w:pPr>
      <w:r>
        <w:rPr>
          <w:rFonts w:hint="eastAsia" w:ascii="宋体" w:hAnsi="宋体" w:cs="宋体"/>
          <w:color w:val="auto"/>
          <w:sz w:val="24"/>
          <w:highlight w:val="none"/>
        </w:rPr>
        <w:t>法定代表人：</w:t>
      </w:r>
      <w:r>
        <w:rPr>
          <w:rFonts w:ascii="宋体" w:hAnsi="宋体" w:cs="宋体"/>
          <w:color w:val="auto"/>
          <w:sz w:val="24"/>
          <w:highlight w:val="none"/>
          <w:u w:val="single"/>
        </w:rPr>
        <w:t xml:space="preserve">    </w:t>
      </w:r>
      <w:r>
        <w:rPr>
          <w:rFonts w:hint="eastAsia" w:ascii="宋体" w:hAnsi="宋体" w:cs="宋体"/>
          <w:color w:val="auto"/>
          <w:sz w:val="24"/>
          <w:highlight w:val="none"/>
        </w:rPr>
        <w:t>（个人电子签名章或</w:t>
      </w:r>
      <w:r>
        <w:rPr>
          <w:rFonts w:ascii="宋体" w:hAnsi="宋体"/>
          <w:color w:val="auto"/>
          <w:sz w:val="24"/>
          <w:highlight w:val="none"/>
        </w:rPr>
        <w:t>个人电子印章</w:t>
      </w:r>
      <w:r>
        <w:rPr>
          <w:rFonts w:hint="eastAsia" w:ascii="宋体" w:hAnsi="宋体" w:cs="宋体"/>
          <w:color w:val="auto"/>
          <w:sz w:val="24"/>
          <w:highlight w:val="none"/>
        </w:rPr>
        <w:t>）</w:t>
      </w:r>
    </w:p>
    <w:p w14:paraId="12C0123E">
      <w:pPr>
        <w:spacing w:line="360" w:lineRule="auto"/>
        <w:ind w:left="2520" w:leftChars="1200" w:firstLine="480" w:firstLineChars="200"/>
        <w:jc w:val="left"/>
        <w:rPr>
          <w:rFonts w:ascii="宋体" w:hAnsi="宋体" w:cs="宋体"/>
          <w:color w:val="auto"/>
          <w:sz w:val="24"/>
          <w:highlight w:val="none"/>
        </w:rPr>
      </w:pPr>
      <w:r>
        <w:rPr>
          <w:rFonts w:hint="eastAsia" w:ascii="宋体" w:hAnsi="宋体" w:cs="宋体"/>
          <w:color w:val="auto"/>
          <w:sz w:val="24"/>
          <w:highlight w:val="none"/>
        </w:rPr>
        <w:t>身份证号码：</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p>
    <w:p w14:paraId="52C9EDE2">
      <w:pPr>
        <w:spacing w:line="360" w:lineRule="auto"/>
        <w:ind w:left="2520" w:leftChars="1200" w:firstLine="480" w:firstLineChars="200"/>
        <w:jc w:val="left"/>
        <w:rPr>
          <w:rFonts w:ascii="宋体" w:hAnsi="宋体" w:cs="宋体"/>
          <w:color w:val="auto"/>
          <w:sz w:val="24"/>
          <w:highlight w:val="none"/>
        </w:rPr>
      </w:pPr>
      <w:r>
        <w:rPr>
          <w:rFonts w:hint="eastAsia" w:ascii="宋体" w:hAnsi="宋体" w:cs="宋体"/>
          <w:color w:val="auto"/>
          <w:sz w:val="24"/>
          <w:highlight w:val="none"/>
        </w:rPr>
        <w:t>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（个人电子签名章或</w:t>
      </w:r>
      <w:r>
        <w:rPr>
          <w:rFonts w:ascii="宋体" w:hAnsi="宋体"/>
          <w:color w:val="auto"/>
          <w:sz w:val="24"/>
          <w:highlight w:val="none"/>
        </w:rPr>
        <w:t>个人电子印章</w:t>
      </w:r>
      <w:r>
        <w:rPr>
          <w:rFonts w:hint="eastAsia" w:ascii="宋体" w:hAnsi="宋体" w:cs="宋体"/>
          <w:color w:val="auto"/>
          <w:sz w:val="24"/>
          <w:highlight w:val="none"/>
        </w:rPr>
        <w:t>）</w:t>
      </w:r>
    </w:p>
    <w:p w14:paraId="04FB77CF">
      <w:pPr>
        <w:spacing w:line="360" w:lineRule="auto"/>
        <w:ind w:left="2520" w:leftChars="1200"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身份证号码：</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p>
    <w:p w14:paraId="50A92EBF">
      <w:pPr>
        <w:spacing w:line="360" w:lineRule="auto"/>
        <w:ind w:left="2520" w:leftChars="1200" w:firstLine="3960" w:firstLineChars="1650"/>
        <w:jc w:val="left"/>
        <w:rPr>
          <w:rFonts w:ascii="宋体" w:hAnsi="宋体" w:cs="宋体"/>
          <w:color w:val="auto"/>
          <w:sz w:val="24"/>
          <w:highlight w:val="none"/>
        </w:rPr>
      </w:pP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ascii="宋体" w:hAnsi="宋体" w:cs="宋体"/>
          <w:color w:val="auto"/>
          <w:sz w:val="24"/>
          <w:highlight w:val="none"/>
        </w:rPr>
        <w:t>月</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14:paraId="358172DD">
      <w:pPr>
        <w:spacing w:line="360" w:lineRule="auto"/>
        <w:ind w:firstLine="480" w:firstLineChars="200"/>
        <w:jc w:val="both"/>
        <w:rPr>
          <w:rFonts w:ascii="宋体" w:hAnsi="宋体" w:cs="宋体"/>
          <w:color w:val="auto"/>
          <w:sz w:val="24"/>
          <w:highlight w:val="none"/>
        </w:rPr>
      </w:pPr>
    </w:p>
    <w:p w14:paraId="7B834C65">
      <w:pPr>
        <w:spacing w:line="360" w:lineRule="auto"/>
        <w:ind w:firstLine="420" w:firstLineChars="200"/>
        <w:jc w:val="both"/>
        <w:rPr>
          <w:rFonts w:hint="eastAsia" w:ascii="宋体" w:hAnsi="宋体" w:cs="宋体"/>
          <w:color w:val="auto"/>
          <w:szCs w:val="21"/>
          <w:highlight w:val="none"/>
        </w:rPr>
      </w:pPr>
      <w:r>
        <w:rPr>
          <w:rFonts w:hint="eastAsia" w:ascii="宋体" w:hAnsi="宋体" w:cs="宋体"/>
          <w:color w:val="auto"/>
          <w:szCs w:val="21"/>
          <w:highlight w:val="none"/>
        </w:rPr>
        <w:t>注：</w:t>
      </w:r>
    </w:p>
    <w:p w14:paraId="1019A318">
      <w:pPr>
        <w:spacing w:line="360" w:lineRule="auto"/>
        <w:ind w:firstLine="420" w:firstLineChars="200"/>
        <w:jc w:val="both"/>
        <w:rPr>
          <w:rFonts w:ascii="宋体" w:hAnsi="宋体" w:cs="宋体"/>
          <w:color w:val="auto"/>
          <w:szCs w:val="21"/>
          <w:highlight w:val="none"/>
        </w:rPr>
      </w:pPr>
      <w:r>
        <w:rPr>
          <w:rFonts w:ascii="宋体" w:hAnsi="宋体" w:cs="宋体"/>
          <w:color w:val="auto"/>
          <w:szCs w:val="21"/>
          <w:highlight w:val="none"/>
        </w:rPr>
        <w:t>1.如果投标文件由委托代理人签署，则投标人须提交授权委托书，授权委托书须满足下列要求：</w:t>
      </w:r>
    </w:p>
    <w:p w14:paraId="6EDEB534">
      <w:pPr>
        <w:spacing w:line="360"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1）投标人须在授权委托书上加盖投标人单位电子印章；</w:t>
      </w:r>
    </w:p>
    <w:p w14:paraId="20152DAD">
      <w:pPr>
        <w:spacing w:line="360" w:lineRule="auto"/>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2）法定代表人和委托代理人必须在授权书上加盖个人电子签名章</w:t>
      </w:r>
      <w:r>
        <w:rPr>
          <w:rFonts w:hint="eastAsia" w:ascii="宋体" w:hAnsi="宋体" w:cs="宋体"/>
          <w:color w:val="auto"/>
          <w:szCs w:val="21"/>
          <w:highlight w:val="none"/>
          <w:lang w:val="en-US" w:eastAsia="zh-CN"/>
        </w:rPr>
        <w:t>或个人电子印章</w:t>
      </w:r>
      <w:r>
        <w:rPr>
          <w:rFonts w:ascii="宋体" w:hAnsi="宋体" w:cs="宋体"/>
          <w:color w:val="auto"/>
          <w:szCs w:val="21"/>
          <w:highlight w:val="none"/>
        </w:rPr>
        <w:t>；</w:t>
      </w:r>
    </w:p>
    <w:p w14:paraId="65DF0AC2">
      <w:pPr>
        <w:spacing w:line="360" w:lineRule="auto"/>
        <w:ind w:firstLine="420" w:firstLineChars="200"/>
        <w:jc w:val="both"/>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w:t>
      </w:r>
      <w:r>
        <w:rPr>
          <w:rFonts w:ascii="宋体" w:hAnsi="宋体" w:cs="宋体"/>
          <w:color w:val="auto"/>
          <w:szCs w:val="21"/>
          <w:highlight w:val="none"/>
        </w:rPr>
        <w:t>3）委托代理人只能是一个人，且不能再授予他人，否则其授权无效</w:t>
      </w:r>
      <w:r>
        <w:rPr>
          <w:rFonts w:hint="eastAsia" w:ascii="宋体" w:hAnsi="宋体" w:cs="宋体"/>
          <w:color w:val="auto"/>
          <w:szCs w:val="21"/>
          <w:highlight w:val="none"/>
          <w:lang w:eastAsia="zh-CN"/>
        </w:rPr>
        <w:t>。</w:t>
      </w:r>
    </w:p>
    <w:p w14:paraId="2DADA22B">
      <w:pPr>
        <w:spacing w:line="360" w:lineRule="auto"/>
        <w:ind w:firstLine="420" w:firstLineChars="200"/>
        <w:jc w:val="both"/>
        <w:rPr>
          <w:rFonts w:ascii="宋体" w:hAnsi="宋体" w:cs="宋体"/>
          <w:color w:val="auto"/>
          <w:szCs w:val="21"/>
          <w:highlight w:val="none"/>
        </w:rPr>
      </w:pPr>
      <w:r>
        <w:rPr>
          <w:rFonts w:ascii="宋体" w:hAnsi="宋体" w:cs="宋体"/>
          <w:color w:val="auto"/>
          <w:szCs w:val="21"/>
          <w:highlight w:val="none"/>
        </w:rPr>
        <w:t>2.如果由投标人的委托代理人签署投标文件，则</w:t>
      </w:r>
      <w:r>
        <w:rPr>
          <w:rFonts w:hint="eastAsia" w:ascii="宋体" w:hAnsi="宋体" w:cs="宋体"/>
          <w:color w:val="auto"/>
          <w:szCs w:val="21"/>
          <w:highlight w:val="none"/>
          <w:lang w:val="en-US" w:eastAsia="zh-CN"/>
        </w:rPr>
        <w:t>无须</w:t>
      </w:r>
      <w:r>
        <w:rPr>
          <w:rFonts w:ascii="宋体" w:hAnsi="宋体" w:cs="宋体"/>
          <w:color w:val="auto"/>
          <w:szCs w:val="21"/>
          <w:highlight w:val="none"/>
        </w:rPr>
        <w:t>提供法定代表人身份证明。</w:t>
      </w:r>
    </w:p>
    <w:p w14:paraId="184EFF62">
      <w:pPr>
        <w:spacing w:line="360" w:lineRule="auto"/>
        <w:ind w:firstLine="420" w:firstLineChars="200"/>
        <w:jc w:val="both"/>
        <w:rPr>
          <w:rFonts w:ascii="宋体" w:hAnsi="宋体" w:cs="宋体"/>
          <w:color w:val="auto"/>
          <w:highlight w:val="none"/>
        </w:rPr>
      </w:pPr>
      <w:r>
        <w:rPr>
          <w:rFonts w:ascii="宋体" w:hAnsi="宋体" w:cs="宋体"/>
          <w:color w:val="auto"/>
          <w:szCs w:val="21"/>
          <w:highlight w:val="none"/>
        </w:rPr>
        <w:t>3.</w:t>
      </w:r>
      <w:r>
        <w:rPr>
          <w:rFonts w:hint="eastAsia" w:ascii="宋体" w:hAnsi="宋体" w:cs="宋体"/>
          <w:szCs w:val="21"/>
        </w:rPr>
        <w:t>允许联合体投标时，</w:t>
      </w:r>
      <w:r>
        <w:rPr>
          <w:rFonts w:hint="eastAsia" w:ascii="宋体" w:hAnsi="宋体" w:cs="宋体"/>
          <w:szCs w:val="21"/>
          <w:lang w:val="en-US" w:eastAsia="zh-CN"/>
        </w:rPr>
        <w:t>若</w:t>
      </w:r>
      <w:r>
        <w:rPr>
          <w:rFonts w:ascii="宋体" w:hAnsi="宋体" w:cs="宋体"/>
          <w:color w:val="auto"/>
          <w:szCs w:val="21"/>
          <w:highlight w:val="none"/>
        </w:rPr>
        <w:t>以联合体形式</w:t>
      </w:r>
      <w:r>
        <w:rPr>
          <w:rFonts w:hint="eastAsia" w:ascii="宋体" w:hAnsi="宋体" w:cs="宋体"/>
          <w:color w:val="auto"/>
          <w:szCs w:val="21"/>
          <w:highlight w:val="none"/>
        </w:rPr>
        <w:t>投标的，本授权委托书由联合体牵头人提供，且由联合体牵头人的法定代表人或其委托代理人按上述规定加盖个人电子签名章或</w:t>
      </w:r>
      <w:r>
        <w:rPr>
          <w:rFonts w:ascii="宋体" w:hAnsi="宋体" w:cs="宋体"/>
          <w:color w:val="auto"/>
          <w:szCs w:val="21"/>
          <w:highlight w:val="none"/>
        </w:rPr>
        <w:t>个人电子印章</w:t>
      </w:r>
      <w:r>
        <w:rPr>
          <w:rFonts w:hint="eastAsia" w:ascii="宋体" w:hAnsi="宋体" w:cs="宋体"/>
          <w:color w:val="auto"/>
          <w:szCs w:val="21"/>
          <w:highlight w:val="none"/>
        </w:rPr>
        <w:t>并加盖联合体牵头人单位电子印章。</w:t>
      </w:r>
    </w:p>
    <w:p w14:paraId="09F6F147">
      <w:pPr>
        <w:widowControl/>
        <w:jc w:val="left"/>
        <w:rPr>
          <w:b/>
          <w:bCs/>
          <w:color w:val="auto"/>
          <w:sz w:val="28"/>
          <w:szCs w:val="28"/>
          <w:highlight w:val="none"/>
        </w:rPr>
      </w:pPr>
      <w:r>
        <w:rPr>
          <w:b/>
          <w:bCs/>
          <w:color w:val="auto"/>
          <w:sz w:val="28"/>
          <w:szCs w:val="28"/>
          <w:highlight w:val="none"/>
        </w:rPr>
        <w:br w:type="page"/>
      </w:r>
    </w:p>
    <w:p w14:paraId="7993560B">
      <w:pPr>
        <w:pStyle w:val="6"/>
        <w:ind w:firstLine="3080" w:firstLineChars="1100"/>
        <w:rPr>
          <w:rFonts w:ascii="黑体" w:hAnsi="黑体" w:eastAsia="黑体"/>
          <w:bCs/>
          <w:color w:val="auto"/>
          <w:szCs w:val="28"/>
          <w:highlight w:val="none"/>
        </w:rPr>
      </w:pPr>
      <w:r>
        <w:rPr>
          <w:rFonts w:hint="eastAsia"/>
          <w:b w:val="0"/>
          <w:bCs w:val="0"/>
        </w:rPr>
        <w:t>法定代表人身份证明</w:t>
      </w:r>
    </w:p>
    <w:p w14:paraId="72BF7E4C">
      <w:pPr>
        <w:pStyle w:val="276"/>
        <w:spacing w:line="360" w:lineRule="auto"/>
        <w:rPr>
          <w:rFonts w:ascii="宋体" w:hAnsi="宋体" w:cs="宋体"/>
          <w:color w:val="auto"/>
          <w:highlight w:val="none"/>
        </w:rPr>
      </w:pPr>
    </w:p>
    <w:p w14:paraId="47CA75FF">
      <w:pPr>
        <w:pStyle w:val="276"/>
        <w:spacing w:line="360" w:lineRule="auto"/>
        <w:rPr>
          <w:rFonts w:ascii="宋体" w:hAnsi="宋体" w:cs="宋体"/>
          <w:color w:val="auto"/>
          <w:highlight w:val="none"/>
        </w:rPr>
      </w:pPr>
    </w:p>
    <w:p w14:paraId="7E8EF3E8">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ascii="宋体" w:hAnsi="宋体" w:cs="宋体"/>
          <w:color w:val="auto"/>
          <w:sz w:val="24"/>
          <w:highlight w:val="none"/>
          <w:u w:val="single"/>
        </w:rPr>
        <w:tab/>
      </w:r>
      <w:r>
        <w:rPr>
          <w:rFonts w:ascii="宋体" w:hAnsi="宋体" w:cs="宋体"/>
          <w:color w:val="auto"/>
          <w:sz w:val="24"/>
          <w:highlight w:val="none"/>
          <w:u w:val="single"/>
        </w:rPr>
        <w:tab/>
      </w:r>
      <w:r>
        <w:rPr>
          <w:rFonts w:ascii="宋体" w:hAnsi="宋体" w:cs="宋体"/>
          <w:color w:val="auto"/>
          <w:sz w:val="24"/>
          <w:highlight w:val="none"/>
          <w:u w:val="single"/>
        </w:rPr>
        <w:tab/>
      </w:r>
      <w:r>
        <w:rPr>
          <w:rFonts w:ascii="宋体" w:hAnsi="宋体" w:cs="宋体"/>
          <w:color w:val="auto"/>
          <w:sz w:val="24"/>
          <w:highlight w:val="none"/>
          <w:u w:val="single"/>
        </w:rPr>
        <w:tab/>
      </w:r>
      <w:r>
        <w:rPr>
          <w:rFonts w:ascii="宋体" w:hAnsi="宋体" w:cs="宋体"/>
          <w:color w:val="auto"/>
          <w:sz w:val="24"/>
          <w:highlight w:val="none"/>
          <w:u w:val="single"/>
        </w:rPr>
        <w:t xml:space="preserve"> </w:t>
      </w:r>
    </w:p>
    <w:p w14:paraId="1C41D7DC">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姓名：</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（法定代表人签字）</w:t>
      </w:r>
      <w:r>
        <w:rPr>
          <w:rFonts w:ascii="宋体" w:hAnsi="宋体" w:cs="宋体"/>
          <w:color w:val="auto"/>
          <w:sz w:val="24"/>
          <w:highlight w:val="none"/>
        </w:rPr>
        <w:t xml:space="preserve"> 性别：</w:t>
      </w:r>
      <w:r>
        <w:rPr>
          <w:rFonts w:ascii="宋体" w:hAnsi="宋体" w:cs="宋体"/>
          <w:color w:val="auto"/>
          <w:sz w:val="24"/>
          <w:highlight w:val="none"/>
          <w:u w:val="single"/>
        </w:rPr>
        <w:t xml:space="preserve">      </w:t>
      </w:r>
      <w:r>
        <w:rPr>
          <w:rFonts w:hint="eastAsia" w:ascii="宋体" w:hAnsi="宋体" w:cs="宋体"/>
          <w:color w:val="auto"/>
          <w:sz w:val="24"/>
          <w:highlight w:val="none"/>
        </w:rPr>
        <w:t>年龄：</w:t>
      </w:r>
      <w:r>
        <w:rPr>
          <w:rFonts w:ascii="宋体" w:hAnsi="宋体" w:cs="宋体"/>
          <w:color w:val="auto"/>
          <w:sz w:val="24"/>
          <w:highlight w:val="none"/>
          <w:u w:val="single"/>
        </w:rPr>
        <w:t xml:space="preserve">     </w:t>
      </w:r>
      <w:r>
        <w:rPr>
          <w:rFonts w:hint="eastAsia" w:ascii="宋体" w:hAnsi="宋体" w:cs="宋体"/>
          <w:color w:val="auto"/>
          <w:sz w:val="24"/>
          <w:highlight w:val="none"/>
        </w:rPr>
        <w:t>职务：</w:t>
      </w:r>
      <w:r>
        <w:rPr>
          <w:rFonts w:ascii="宋体" w:hAnsi="宋体" w:cs="宋体"/>
          <w:color w:val="auto"/>
          <w:sz w:val="24"/>
          <w:highlight w:val="none"/>
          <w:u w:val="single"/>
        </w:rPr>
        <w:tab/>
      </w:r>
      <w:r>
        <w:rPr>
          <w:rFonts w:ascii="宋体" w:hAnsi="宋体" w:cs="宋体"/>
          <w:color w:val="auto"/>
          <w:sz w:val="24"/>
          <w:highlight w:val="none"/>
          <w:u w:val="single"/>
        </w:rPr>
        <w:t xml:space="preserve">        </w:t>
      </w:r>
    </w:p>
    <w:p w14:paraId="041D8EB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系</w:t>
      </w:r>
      <w:r>
        <w:rPr>
          <w:rFonts w:ascii="宋体" w:hAnsi="宋体" w:cs="宋体"/>
          <w:color w:val="auto"/>
          <w:sz w:val="24"/>
          <w:highlight w:val="none"/>
          <w:u w:val="single"/>
        </w:rPr>
        <w:t xml:space="preserve">             </w:t>
      </w:r>
      <w:r>
        <w:rPr>
          <w:rFonts w:hint="eastAsia" w:ascii="宋体" w:hAnsi="宋体" w:cs="宋体"/>
          <w:color w:val="auto"/>
          <w:sz w:val="24"/>
          <w:highlight w:val="none"/>
        </w:rPr>
        <w:t>（投标人名称）的法定代表人。</w:t>
      </w:r>
    </w:p>
    <w:p w14:paraId="0B0A90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特此证明。</w:t>
      </w:r>
    </w:p>
    <w:p w14:paraId="542D68FC">
      <w:pPr>
        <w:spacing w:line="360" w:lineRule="auto"/>
        <w:ind w:firstLine="480" w:firstLineChars="200"/>
        <w:rPr>
          <w:rFonts w:ascii="宋体" w:hAnsi="宋体" w:cs="宋体"/>
          <w:color w:val="auto"/>
          <w:sz w:val="24"/>
          <w:highlight w:val="none"/>
        </w:rPr>
      </w:pPr>
    </w:p>
    <w:p w14:paraId="6B79A0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附：法定代表人身份证原件原色扫描件</w:t>
      </w:r>
    </w:p>
    <w:p w14:paraId="067A94D9">
      <w:pPr>
        <w:spacing w:line="360" w:lineRule="auto"/>
        <w:ind w:firstLine="480" w:firstLineChars="200"/>
        <w:rPr>
          <w:rFonts w:ascii="宋体" w:hAnsi="宋体" w:cs="宋体"/>
          <w:color w:val="auto"/>
          <w:sz w:val="24"/>
          <w:highlight w:val="none"/>
        </w:rPr>
      </w:pPr>
    </w:p>
    <w:p w14:paraId="05B42975">
      <w:pPr>
        <w:pStyle w:val="276"/>
        <w:spacing w:line="360" w:lineRule="auto"/>
        <w:rPr>
          <w:rFonts w:ascii="宋体" w:hAnsi="宋体" w:cs="宋体"/>
          <w:color w:val="auto"/>
          <w:sz w:val="24"/>
          <w:highlight w:val="none"/>
        </w:rPr>
      </w:pPr>
    </w:p>
    <w:p w14:paraId="0F17586B">
      <w:pPr>
        <w:spacing w:line="360" w:lineRule="auto"/>
        <w:ind w:left="3150" w:leftChars="1500" w:firstLine="480" w:firstLineChars="200"/>
        <w:rPr>
          <w:rFonts w:ascii="宋体" w:hAnsi="宋体" w:cs="宋体"/>
          <w:color w:val="auto"/>
          <w:sz w:val="24"/>
          <w:highlight w:val="none"/>
        </w:rPr>
      </w:pPr>
      <w:r>
        <w:rPr>
          <w:rFonts w:hint="eastAsia" w:ascii="宋体" w:hAnsi="宋体" w:cs="宋体"/>
          <w:color w:val="auto"/>
          <w:sz w:val="24"/>
          <w:highlight w:val="none"/>
        </w:rPr>
        <w:t>投</w:t>
      </w:r>
      <w:bookmarkStart w:id="737" w:name="_Toc523921862"/>
      <w:r>
        <w:rPr>
          <w:rFonts w:hint="eastAsia" w:ascii="宋体" w:hAnsi="宋体" w:cs="宋体"/>
          <w:color w:val="auto"/>
          <w:sz w:val="24"/>
          <w:highlight w:val="none"/>
        </w:rPr>
        <w:t>标人：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（全称）</w:t>
      </w:r>
      <w:r>
        <w:rPr>
          <w:rFonts w:ascii="宋体" w:hAnsi="宋体" w:cs="宋体"/>
          <w:color w:val="auto"/>
          <w:sz w:val="24"/>
          <w:highlight w:val="none"/>
          <w:u w:val="single"/>
        </w:rPr>
        <w:t xml:space="preserve"> </w:t>
      </w:r>
      <w:bookmarkEnd w:id="737"/>
      <w:r>
        <w:rPr>
          <w:rFonts w:ascii="宋体" w:hAnsi="宋体" w:cs="宋体"/>
          <w:color w:val="auto"/>
          <w:sz w:val="24"/>
          <w:highlight w:val="none"/>
          <w:u w:val="single"/>
        </w:rPr>
        <w:t xml:space="preserve">     </w:t>
      </w:r>
      <w:r>
        <w:rPr>
          <w:rFonts w:hint="eastAsia" w:ascii="宋体" w:hAnsi="宋体" w:cs="宋体"/>
          <w:color w:val="auto"/>
          <w:sz w:val="24"/>
          <w:highlight w:val="none"/>
        </w:rPr>
        <w:t>（盖单位电子印章）</w:t>
      </w:r>
    </w:p>
    <w:p w14:paraId="57CCC1AE">
      <w:pPr>
        <w:spacing w:line="360" w:lineRule="auto"/>
        <w:ind w:left="3150" w:leftChars="1500" w:firstLine="2760" w:firstLineChars="1150"/>
        <w:rPr>
          <w:rFonts w:ascii="宋体" w:hAnsi="宋体" w:cs="宋体"/>
          <w:color w:val="auto"/>
          <w:sz w:val="24"/>
          <w:highlight w:val="none"/>
        </w:rPr>
      </w:pP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14:paraId="2AC86498">
      <w:pPr>
        <w:spacing w:line="360" w:lineRule="auto"/>
        <w:ind w:firstLine="480" w:firstLineChars="200"/>
        <w:rPr>
          <w:rFonts w:ascii="宋体" w:hAnsi="宋体" w:cs="宋体"/>
          <w:color w:val="auto"/>
          <w:sz w:val="24"/>
          <w:highlight w:val="none"/>
        </w:rPr>
      </w:pPr>
    </w:p>
    <w:p w14:paraId="1995688A">
      <w:pPr>
        <w:pStyle w:val="276"/>
        <w:spacing w:line="360" w:lineRule="auto"/>
        <w:rPr>
          <w:rFonts w:ascii="宋体" w:hAnsi="宋体" w:cs="宋体"/>
          <w:color w:val="auto"/>
          <w:sz w:val="24"/>
          <w:highlight w:val="none"/>
        </w:rPr>
      </w:pPr>
    </w:p>
    <w:p w14:paraId="2C197FD0">
      <w:pPr>
        <w:pStyle w:val="276"/>
        <w:spacing w:line="360" w:lineRule="auto"/>
        <w:rPr>
          <w:rFonts w:ascii="宋体" w:hAnsi="宋体" w:cs="宋体"/>
          <w:color w:val="auto"/>
          <w:sz w:val="24"/>
          <w:highlight w:val="none"/>
        </w:rPr>
      </w:pPr>
    </w:p>
    <w:p w14:paraId="239E08F4">
      <w:pPr>
        <w:pStyle w:val="276"/>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p>
    <w:p w14:paraId="036C3921">
      <w:pPr>
        <w:pStyle w:val="276"/>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1.如果投标文件由法定代表人签署，则投标人须提交法定代表人身份证明，法定代表人身份证明须满足下列要求：</w:t>
      </w:r>
    </w:p>
    <w:p w14:paraId="6EAA9AA1">
      <w:pPr>
        <w:pStyle w:val="276"/>
        <w:numPr>
          <w:ilvl w:val="-1"/>
          <w:numId w:val="0"/>
        </w:numPr>
        <w:spacing w:line="360" w:lineRule="auto"/>
        <w:ind w:left="420" w:firstLine="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法定代表人签字指加盖法定代表人个人电子签名章或</w:t>
      </w:r>
      <w:r>
        <w:rPr>
          <w:rFonts w:ascii="宋体" w:hAnsi="宋体" w:cs="宋体"/>
          <w:color w:val="auto"/>
          <w:szCs w:val="21"/>
          <w:highlight w:val="none"/>
        </w:rPr>
        <w:t>个人电子印章</w:t>
      </w:r>
      <w:r>
        <w:rPr>
          <w:rFonts w:hint="eastAsia" w:ascii="宋体" w:hAnsi="宋体" w:cs="宋体"/>
          <w:color w:val="auto"/>
          <w:szCs w:val="21"/>
          <w:highlight w:val="none"/>
        </w:rPr>
        <w:t>。</w:t>
      </w:r>
    </w:p>
    <w:p w14:paraId="08861D47">
      <w:pPr>
        <w:pStyle w:val="276"/>
        <w:numPr>
          <w:ilvl w:val="-1"/>
          <w:numId w:val="0"/>
        </w:numPr>
        <w:spacing w:line="360" w:lineRule="auto"/>
        <w:ind w:left="420" w:firstLine="0"/>
        <w:rPr>
          <w:rFonts w:ascii="宋体" w:hAnsi="宋体" w:cs="宋体"/>
          <w:color w:val="auto"/>
          <w:szCs w:val="21"/>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投标人须在法定代表人身份证明上加盖投标人单位电子印章。</w:t>
      </w:r>
    </w:p>
    <w:p w14:paraId="234E3DA4">
      <w:pPr>
        <w:pStyle w:val="276"/>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2.如果由投标人的法定代表人亲自签署投标文件，则</w:t>
      </w:r>
      <w:r>
        <w:rPr>
          <w:rFonts w:hint="eastAsia" w:ascii="宋体" w:hAnsi="宋体" w:cs="宋体"/>
          <w:color w:val="auto"/>
          <w:szCs w:val="21"/>
          <w:highlight w:val="none"/>
          <w:lang w:val="en-US" w:eastAsia="zh-CN"/>
        </w:rPr>
        <w:t>无须</w:t>
      </w:r>
      <w:r>
        <w:rPr>
          <w:rFonts w:ascii="宋体" w:hAnsi="宋体" w:cs="宋体"/>
          <w:color w:val="auto"/>
          <w:szCs w:val="21"/>
          <w:highlight w:val="none"/>
        </w:rPr>
        <w:t>提交授权委托书。</w:t>
      </w:r>
    </w:p>
    <w:p w14:paraId="1E598C53">
      <w:pPr>
        <w:pStyle w:val="276"/>
        <w:spacing w:line="360" w:lineRule="auto"/>
        <w:ind w:firstLine="420" w:firstLineChars="200"/>
        <w:rPr>
          <w:rFonts w:ascii="宋体" w:hAnsi="宋体" w:cs="宋体"/>
          <w:color w:val="auto"/>
          <w:highlight w:val="none"/>
        </w:rPr>
      </w:pPr>
      <w:r>
        <w:rPr>
          <w:rFonts w:ascii="宋体" w:hAnsi="宋体" w:cs="宋体"/>
          <w:color w:val="auto"/>
          <w:szCs w:val="21"/>
          <w:highlight w:val="none"/>
        </w:rPr>
        <w:t>3.</w:t>
      </w:r>
      <w:r>
        <w:rPr>
          <w:rFonts w:hint="eastAsia" w:ascii="宋体" w:hAnsi="宋体" w:cs="宋体"/>
          <w:szCs w:val="21"/>
        </w:rPr>
        <w:t>允许联合体投标时，</w:t>
      </w:r>
      <w:r>
        <w:rPr>
          <w:rFonts w:hint="eastAsia" w:ascii="宋体" w:hAnsi="宋体" w:cs="宋体"/>
          <w:szCs w:val="21"/>
          <w:lang w:val="en-US" w:eastAsia="zh-CN"/>
        </w:rPr>
        <w:t>若</w:t>
      </w:r>
      <w:r>
        <w:rPr>
          <w:rFonts w:ascii="宋体" w:hAnsi="宋体" w:cs="宋体"/>
          <w:color w:val="auto"/>
          <w:szCs w:val="21"/>
          <w:highlight w:val="none"/>
        </w:rPr>
        <w:t>以联合体形式</w:t>
      </w:r>
      <w:r>
        <w:rPr>
          <w:rFonts w:hint="eastAsia" w:ascii="宋体" w:hAnsi="宋体" w:cs="宋体"/>
          <w:color w:val="auto"/>
          <w:szCs w:val="21"/>
          <w:highlight w:val="none"/>
        </w:rPr>
        <w:t>投标的，法定代表人身份证明由联合体牵头人提供，且由联合体牵头人的法定代表人加盖其个人电子签名章或</w:t>
      </w:r>
      <w:r>
        <w:rPr>
          <w:rFonts w:ascii="宋体" w:hAnsi="宋体" w:cs="宋体"/>
          <w:color w:val="auto"/>
          <w:szCs w:val="21"/>
          <w:highlight w:val="none"/>
        </w:rPr>
        <w:t>个人电子印章</w:t>
      </w:r>
      <w:r>
        <w:rPr>
          <w:rFonts w:hint="eastAsia" w:ascii="宋体" w:hAnsi="宋体" w:cs="宋体"/>
          <w:color w:val="auto"/>
          <w:szCs w:val="21"/>
          <w:highlight w:val="none"/>
        </w:rPr>
        <w:t>并加盖联合体牵头人单位电子印章。</w:t>
      </w:r>
    </w:p>
    <w:p w14:paraId="38DD5228">
      <w:pPr>
        <w:pStyle w:val="276"/>
        <w:rPr>
          <w:rFonts w:ascii="宋体" w:hAnsi="宋体" w:cs="宋体"/>
          <w:color w:val="auto"/>
          <w:highlight w:val="none"/>
        </w:rPr>
      </w:pPr>
    </w:p>
    <w:p w14:paraId="6990B9C1">
      <w:pPr>
        <w:pStyle w:val="276"/>
        <w:rPr>
          <w:rFonts w:ascii="宋体" w:hAnsi="宋体" w:cs="宋体"/>
          <w:color w:val="auto"/>
          <w:highlight w:val="none"/>
        </w:rPr>
      </w:pPr>
      <w:r>
        <w:rPr>
          <w:rFonts w:ascii="宋体" w:hAnsi="宋体" w:cs="宋体"/>
          <w:color w:val="auto"/>
          <w:highlight w:val="none"/>
        </w:rPr>
        <w:br w:type="page"/>
      </w:r>
    </w:p>
    <w:p w14:paraId="0F01006A">
      <w:pPr>
        <w:pStyle w:val="5"/>
        <w:jc w:val="center"/>
        <w:rPr>
          <w:rFonts w:hint="eastAsia"/>
          <w:b w:val="0"/>
          <w:bCs w:val="0"/>
          <w:lang w:eastAsia="zh-CN"/>
        </w:rPr>
      </w:pPr>
      <w:bookmarkStart w:id="738" w:name="_Toc74760933"/>
      <w:r>
        <w:rPr>
          <w:rFonts w:hint="eastAsia"/>
          <w:b w:val="0"/>
          <w:bCs w:val="0"/>
        </w:rPr>
        <w:t>三、联合体协议书</w:t>
      </w:r>
      <w:bookmarkEnd w:id="738"/>
      <w:r>
        <w:rPr>
          <w:rFonts w:hint="eastAsia"/>
          <w:b w:val="0"/>
          <w:bCs w:val="0"/>
          <w:lang w:eastAsia="zh-CN"/>
        </w:rPr>
        <w:t>（</w:t>
      </w:r>
      <w:r>
        <w:rPr>
          <w:rFonts w:hint="eastAsia"/>
          <w:b w:val="0"/>
          <w:bCs w:val="0"/>
          <w:lang w:val="en-US" w:eastAsia="zh-CN"/>
        </w:rPr>
        <w:t>如有</w:t>
      </w:r>
      <w:r>
        <w:rPr>
          <w:rFonts w:hint="eastAsia"/>
          <w:b w:val="0"/>
          <w:bCs w:val="0"/>
          <w:lang w:eastAsia="zh-CN"/>
        </w:rPr>
        <w:t>）</w:t>
      </w:r>
    </w:p>
    <w:p w14:paraId="5A76E47F">
      <w:pPr>
        <w:pStyle w:val="276"/>
        <w:adjustRightInd w:val="0"/>
        <w:snapToGrid w:val="0"/>
        <w:spacing w:line="360" w:lineRule="auto"/>
        <w:rPr>
          <w:rFonts w:ascii="宋体" w:hAnsi="宋体" w:cs="宋体"/>
          <w:color w:val="auto"/>
          <w:highlight w:val="none"/>
        </w:rPr>
      </w:pPr>
      <w:r>
        <w:rPr>
          <w:rFonts w:ascii="宋体" w:hAnsi="宋体" w:cs="宋体"/>
          <w:color w:val="auto"/>
          <w:highlight w:val="none"/>
        </w:rPr>
        <w:t xml:space="preserve"> </w:t>
      </w:r>
    </w:p>
    <w:p w14:paraId="126EBE0D">
      <w:pPr>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（所有成员单位名称）自愿组成联合体，共同参加</w:t>
      </w:r>
      <w:r>
        <w:rPr>
          <w:rFonts w:ascii="宋体" w:hAnsi="宋体" w:cs="宋体"/>
          <w:color w:val="auto"/>
          <w:sz w:val="24"/>
          <w:highlight w:val="none"/>
          <w:u w:val="single"/>
        </w:rPr>
        <w:t xml:space="preserve">       </w:t>
      </w:r>
      <w:r>
        <w:rPr>
          <w:rFonts w:hint="eastAsia" w:ascii="宋体" w:hAnsi="宋体" w:cs="宋体"/>
          <w:color w:val="auto"/>
          <w:sz w:val="24"/>
          <w:highlight w:val="none"/>
        </w:rPr>
        <w:t>（招标项目名称）</w:t>
      </w:r>
      <w:r>
        <w:rPr>
          <w:rFonts w:hint="eastAsia" w:ascii="宋体" w:hAnsi="宋体"/>
          <w:color w:val="auto"/>
          <w:sz w:val="24"/>
          <w:highlight w:val="none"/>
        </w:rPr>
        <w:t>招标</w:t>
      </w:r>
      <w:r>
        <w:rPr>
          <w:rFonts w:hint="eastAsia" w:ascii="宋体" w:hAnsi="宋体" w:cs="宋体"/>
          <w:color w:val="auto"/>
          <w:sz w:val="24"/>
          <w:highlight w:val="none"/>
        </w:rPr>
        <w:t>第</w:t>
      </w:r>
      <w:r>
        <w:rPr>
          <w:rFonts w:ascii="宋体" w:hAnsi="宋体" w:cs="宋体"/>
          <w:color w:val="auto"/>
          <w:sz w:val="24"/>
          <w:highlight w:val="none"/>
          <w:u w:val="single"/>
        </w:rPr>
        <w:t xml:space="preserve">   </w:t>
      </w:r>
      <w:r>
        <w:rPr>
          <w:rFonts w:hint="eastAsia" w:ascii="宋体" w:hAnsi="宋体" w:cs="宋体"/>
          <w:color w:val="auto"/>
          <w:sz w:val="24"/>
          <w:highlight w:val="none"/>
        </w:rPr>
        <w:t>标段投标。现就联合体投标事宜订立如下协议。</w:t>
      </w:r>
    </w:p>
    <w:p w14:paraId="66443209">
      <w:pPr>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（某成员单位名称）为牵头人。</w:t>
      </w:r>
    </w:p>
    <w:p w14:paraId="55A039EB">
      <w:pPr>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2.联合体各成员授权牵</w:t>
      </w:r>
      <w:bookmarkStart w:id="739" w:name="_Toc523921863"/>
      <w:bookmarkStart w:id="740" w:name="_Toc28187741"/>
      <w:r>
        <w:rPr>
          <w:rFonts w:hint="eastAsia" w:ascii="宋体" w:hAnsi="宋体" w:cs="宋体"/>
          <w:color w:val="auto"/>
          <w:sz w:val="24"/>
          <w:highlight w:val="none"/>
        </w:rPr>
        <w:t>头人代表联合体参</w:t>
      </w:r>
      <w:bookmarkEnd w:id="739"/>
      <w:bookmarkEnd w:id="740"/>
      <w:r>
        <w:rPr>
          <w:rFonts w:hint="eastAsia" w:ascii="宋体" w:hAnsi="宋体" w:cs="宋体"/>
          <w:color w:val="auto"/>
          <w:sz w:val="24"/>
          <w:highlight w:val="none"/>
        </w:rPr>
        <w:t>加投标活动，签署文件，提交和接收相关的资料、信息及指示，进行合同谈判活动，负责合同实施阶段的组织和协调工作，以及处理与本招标项目有关的一切事宜。</w:t>
      </w:r>
    </w:p>
    <w:p w14:paraId="0C9A980F">
      <w:pPr>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3.联合体牵头人在本项目中签署的一切文件和处理的一切事宜，联合体各成员均予以承认。联合体各成员将严格按照招标文件、投标文件</w:t>
      </w:r>
      <w:r>
        <w:rPr>
          <w:rFonts w:hint="eastAsia" w:ascii="宋体" w:hAnsi="宋体" w:cs="宋体"/>
          <w:color w:val="auto"/>
          <w:sz w:val="24"/>
          <w:highlight w:val="none"/>
          <w:lang w:val="en-US" w:eastAsia="zh-CN"/>
        </w:rPr>
        <w:t>和</w:t>
      </w:r>
      <w:r>
        <w:rPr>
          <w:rFonts w:ascii="宋体" w:hAnsi="宋体" w:cs="宋体"/>
          <w:color w:val="auto"/>
          <w:sz w:val="24"/>
          <w:highlight w:val="none"/>
        </w:rPr>
        <w:t>合同的要求全面履行义务，并向招标人承担连带责任。</w:t>
      </w:r>
    </w:p>
    <w:p w14:paraId="5DF2CD47">
      <w:pPr>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4.联合体各成员单位内部的职责分工如下：</w:t>
      </w:r>
      <w:r>
        <w:rPr>
          <w:rFonts w:hint="eastAsia" w:ascii="宋体" w:hAnsi="宋体" w:cs="宋体"/>
          <w:color w:val="auto"/>
          <w:sz w:val="24"/>
          <w:highlight w:val="none"/>
          <w:u w:val="single"/>
        </w:rPr>
        <w:t>（牵头人名称）</w:t>
      </w:r>
      <w:r>
        <w:rPr>
          <w:rFonts w:hint="eastAsia" w:ascii="宋体" w:hAnsi="宋体" w:cs="宋体"/>
          <w:color w:val="auto"/>
          <w:sz w:val="24"/>
          <w:highlight w:val="none"/>
        </w:rPr>
        <w:t>承担</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w:t>
      </w:r>
      <w:r>
        <w:rPr>
          <w:rFonts w:ascii="宋体" w:hAnsi="宋体" w:cs="宋体"/>
          <w:color w:val="auto"/>
          <w:sz w:val="24"/>
          <w:highlight w:val="none"/>
        </w:rPr>
        <w:t xml:space="preserve"> </w:t>
      </w:r>
      <w:r>
        <w:rPr>
          <w:rFonts w:hint="eastAsia" w:ascii="宋体" w:hAnsi="宋体" w:cs="宋体"/>
          <w:color w:val="auto"/>
          <w:sz w:val="24"/>
          <w:highlight w:val="none"/>
        </w:rPr>
        <w:t>占总工程量的</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ascii="宋体" w:hAnsi="宋体" w:cs="宋体"/>
          <w:color w:val="auto"/>
          <w:sz w:val="24"/>
          <w:highlight w:val="none"/>
        </w:rPr>
        <w:t>%；</w:t>
      </w:r>
      <w:r>
        <w:rPr>
          <w:rFonts w:hint="eastAsia" w:ascii="宋体" w:hAnsi="宋体" w:cs="宋体"/>
          <w:color w:val="auto"/>
          <w:sz w:val="24"/>
          <w:highlight w:val="none"/>
          <w:u w:val="single"/>
        </w:rPr>
        <w:t>（成员一名称）</w:t>
      </w:r>
      <w:r>
        <w:rPr>
          <w:rFonts w:hint="eastAsia" w:ascii="宋体" w:hAnsi="宋体" w:cs="宋体"/>
          <w:color w:val="auto"/>
          <w:sz w:val="24"/>
          <w:highlight w:val="none"/>
        </w:rPr>
        <w:t>承担</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，占总工程量的</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ascii="宋体" w:hAnsi="宋体" w:cs="宋体"/>
          <w:color w:val="auto"/>
          <w:sz w:val="24"/>
          <w:highlight w:val="none"/>
          <w:u w:val="single"/>
        </w:rPr>
        <w:tab/>
      </w:r>
      <w:r>
        <w:rPr>
          <w:rFonts w:ascii="宋体" w:hAnsi="宋体" w:cs="宋体"/>
          <w:color w:val="auto"/>
          <w:sz w:val="24"/>
          <w:highlight w:val="none"/>
        </w:rPr>
        <w:t>%；……。</w:t>
      </w:r>
    </w:p>
    <w:p w14:paraId="00AC70E8">
      <w:pPr>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5.投标工作和联合体在中标后工程实施过程中的有关费用按各自承担的工作量分摊。</w:t>
      </w:r>
    </w:p>
    <w:p w14:paraId="5D0116F7">
      <w:pPr>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6.本协议书自所有成员单位法定代表人签字并加盖单位章之日起生效，合同履行完毕后自动失效。</w:t>
      </w:r>
    </w:p>
    <w:p w14:paraId="42FACB5B">
      <w:pPr>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7.本协议书一式</w:t>
      </w:r>
      <w:r>
        <w:rPr>
          <w:rFonts w:ascii="宋体" w:hAnsi="宋体" w:cs="宋体"/>
          <w:color w:val="auto"/>
          <w:sz w:val="24"/>
          <w:highlight w:val="none"/>
          <w:u w:val="single"/>
        </w:rPr>
        <w:t xml:space="preserve">    </w:t>
      </w:r>
      <w:r>
        <w:rPr>
          <w:rFonts w:hint="eastAsia" w:ascii="宋体" w:hAnsi="宋体" w:cs="宋体"/>
          <w:color w:val="auto"/>
          <w:sz w:val="24"/>
          <w:highlight w:val="none"/>
        </w:rPr>
        <w:t>份，联合体成员和招标人各执一份。</w:t>
      </w:r>
    </w:p>
    <w:p w14:paraId="249174E5">
      <w:pPr>
        <w:adjustRightInd w:val="0"/>
        <w:snapToGrid w:val="0"/>
        <w:spacing w:line="360" w:lineRule="auto"/>
        <w:ind w:firstLine="480" w:firstLineChars="200"/>
        <w:jc w:val="left"/>
        <w:rPr>
          <w:rFonts w:ascii="宋体" w:hAnsi="宋体" w:cs="宋体"/>
          <w:color w:val="auto"/>
          <w:sz w:val="24"/>
          <w:highlight w:val="none"/>
        </w:rPr>
      </w:pPr>
    </w:p>
    <w:p w14:paraId="725326FF">
      <w:pPr>
        <w:adjustRightInd w:val="0"/>
        <w:snapToGrid w:val="0"/>
        <w:spacing w:line="360" w:lineRule="auto"/>
        <w:ind w:firstLine="1680" w:firstLineChars="700"/>
        <w:jc w:val="left"/>
        <w:rPr>
          <w:rFonts w:ascii="宋体" w:hAnsi="宋体" w:cs="宋体"/>
          <w:color w:val="auto"/>
          <w:sz w:val="24"/>
          <w:highlight w:val="none"/>
        </w:rPr>
      </w:pPr>
      <w:r>
        <w:rPr>
          <w:rFonts w:hint="eastAsia" w:ascii="宋体" w:hAnsi="宋体" w:cs="宋体"/>
          <w:color w:val="auto"/>
          <w:sz w:val="24"/>
          <w:highlight w:val="none"/>
        </w:rPr>
        <w:t>联合体牵头人名称：</w:t>
      </w:r>
      <w:r>
        <w:rPr>
          <w:rFonts w:ascii="宋体" w:hAnsi="宋体" w:cs="宋体"/>
          <w:color w:val="auto"/>
          <w:sz w:val="24"/>
          <w:highlight w:val="none"/>
          <w:u w:val="single"/>
        </w:rPr>
        <w:t xml:space="preserve">  （全称）  </w:t>
      </w:r>
      <w:r>
        <w:rPr>
          <w:rFonts w:hint="eastAsia" w:ascii="宋体" w:hAnsi="宋体" w:cs="宋体"/>
          <w:color w:val="auto"/>
          <w:sz w:val="24"/>
          <w:highlight w:val="none"/>
        </w:rPr>
        <w:t>（盖单位电子印章／盖单位章）</w:t>
      </w:r>
      <w:r>
        <w:rPr>
          <w:rStyle w:val="58"/>
          <w:rFonts w:ascii="宋体" w:hAnsi="宋体" w:cs="宋体"/>
          <w:color w:val="auto"/>
          <w:sz w:val="24"/>
          <w:highlight w:val="none"/>
        </w:rPr>
        <w:footnoteReference w:id="130"/>
      </w:r>
      <w:r>
        <w:rPr>
          <w:rFonts w:ascii="宋体" w:hAnsi="宋体" w:cs="宋体"/>
          <w:color w:val="auto"/>
          <w:sz w:val="24"/>
          <w:highlight w:val="none"/>
        </w:rPr>
        <w:t xml:space="preserve"> </w:t>
      </w:r>
    </w:p>
    <w:p w14:paraId="67D59504">
      <w:pPr>
        <w:adjustRightInd w:val="0"/>
        <w:snapToGrid w:val="0"/>
        <w:spacing w:line="360" w:lineRule="auto"/>
        <w:ind w:firstLine="1680" w:firstLineChars="700"/>
        <w:jc w:val="left"/>
        <w:rPr>
          <w:rFonts w:ascii="宋体" w:hAnsi="宋体" w:cs="宋体"/>
          <w:color w:val="auto"/>
          <w:sz w:val="24"/>
          <w:highlight w:val="none"/>
        </w:rPr>
      </w:pPr>
      <w:r>
        <w:rPr>
          <w:rFonts w:hint="eastAsia" w:ascii="宋体" w:hAnsi="宋体" w:cs="宋体"/>
          <w:color w:val="auto"/>
          <w:sz w:val="24"/>
          <w:highlight w:val="none"/>
        </w:rPr>
        <w:t>法定代表人：</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ascii="宋体" w:hAnsi="宋体" w:cs="宋体"/>
          <w:color w:val="auto"/>
          <w:sz w:val="24"/>
          <w:highlight w:val="none"/>
        </w:rPr>
        <w:t xml:space="preserve"> （个人电子签名章或个人电子印章</w:t>
      </w:r>
      <w:r>
        <w:rPr>
          <w:rFonts w:hint="eastAsia" w:ascii="宋体" w:hAnsi="宋体" w:cs="宋体"/>
          <w:color w:val="auto"/>
          <w:sz w:val="24"/>
          <w:highlight w:val="none"/>
        </w:rPr>
        <w:t>／签字）</w:t>
      </w:r>
      <w:r>
        <w:rPr>
          <w:rStyle w:val="58"/>
          <w:rFonts w:ascii="宋体" w:hAnsi="宋体" w:cs="宋体"/>
          <w:color w:val="auto"/>
          <w:sz w:val="24"/>
          <w:highlight w:val="none"/>
        </w:rPr>
        <w:footnoteReference w:id="131"/>
      </w:r>
    </w:p>
    <w:p w14:paraId="1552143D">
      <w:pPr>
        <w:adjustRightInd w:val="0"/>
        <w:snapToGrid w:val="0"/>
        <w:spacing w:line="360" w:lineRule="auto"/>
        <w:ind w:firstLine="1680" w:firstLineChars="700"/>
        <w:jc w:val="left"/>
        <w:rPr>
          <w:rFonts w:ascii="宋体" w:hAnsi="宋体" w:cs="宋体"/>
          <w:color w:val="auto"/>
          <w:sz w:val="24"/>
          <w:highlight w:val="none"/>
        </w:rPr>
      </w:pPr>
      <w:r>
        <w:rPr>
          <w:rFonts w:hint="eastAsia" w:ascii="宋体" w:hAnsi="宋体" w:cs="宋体"/>
          <w:color w:val="auto"/>
          <w:sz w:val="24"/>
          <w:highlight w:val="none"/>
        </w:rPr>
        <w:t>联合体成员名称：</w:t>
      </w:r>
      <w:r>
        <w:rPr>
          <w:rFonts w:ascii="宋体" w:hAnsi="宋体" w:cs="宋体"/>
          <w:color w:val="auto"/>
          <w:sz w:val="24"/>
          <w:highlight w:val="none"/>
          <w:u w:val="single"/>
        </w:rPr>
        <w:t xml:space="preserve">    （全称）  </w:t>
      </w:r>
      <w:r>
        <w:rPr>
          <w:rFonts w:hint="eastAsia" w:ascii="宋体" w:hAnsi="宋体" w:cs="宋体"/>
          <w:color w:val="auto"/>
          <w:sz w:val="24"/>
          <w:highlight w:val="none"/>
        </w:rPr>
        <w:t>（盖单位电子印章／盖单位章）</w:t>
      </w:r>
      <w:r>
        <w:rPr>
          <w:rStyle w:val="58"/>
          <w:rFonts w:ascii="宋体" w:hAnsi="宋体" w:cs="宋体"/>
          <w:color w:val="auto"/>
          <w:sz w:val="24"/>
          <w:highlight w:val="none"/>
        </w:rPr>
        <w:footnoteReference w:id="132"/>
      </w:r>
    </w:p>
    <w:p w14:paraId="03DF9276">
      <w:pPr>
        <w:adjustRightInd w:val="0"/>
        <w:snapToGrid w:val="0"/>
        <w:spacing w:line="360" w:lineRule="auto"/>
        <w:ind w:firstLine="1680" w:firstLineChars="700"/>
        <w:jc w:val="left"/>
        <w:rPr>
          <w:rFonts w:ascii="宋体" w:hAnsi="宋体" w:cs="宋体"/>
          <w:color w:val="auto"/>
          <w:sz w:val="24"/>
          <w:highlight w:val="none"/>
        </w:rPr>
      </w:pPr>
      <w:r>
        <w:rPr>
          <w:rFonts w:hint="eastAsia" w:ascii="宋体" w:hAnsi="宋体" w:cs="宋体"/>
          <w:color w:val="auto"/>
          <w:sz w:val="24"/>
          <w:highlight w:val="none"/>
        </w:rPr>
        <w:t>法定代表人：</w:t>
      </w:r>
      <w:r>
        <w:rPr>
          <w:rFonts w:ascii="宋体" w:hAnsi="宋体" w:cs="宋体"/>
          <w:color w:val="auto"/>
          <w:sz w:val="24"/>
          <w:highlight w:val="non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（个人电子签名章或</w:t>
      </w:r>
      <w:r>
        <w:rPr>
          <w:rFonts w:ascii="宋体" w:hAnsi="宋体" w:cs="宋体"/>
          <w:color w:val="auto"/>
          <w:sz w:val="24"/>
          <w:highlight w:val="none"/>
        </w:rPr>
        <w:t>个人电子印章</w:t>
      </w:r>
      <w:r>
        <w:rPr>
          <w:rFonts w:hint="eastAsia" w:ascii="宋体" w:hAnsi="宋体" w:cs="宋体"/>
          <w:color w:val="auto"/>
          <w:sz w:val="24"/>
          <w:highlight w:val="none"/>
        </w:rPr>
        <w:t>／签字）</w:t>
      </w:r>
      <w:r>
        <w:rPr>
          <w:rStyle w:val="58"/>
          <w:rFonts w:ascii="宋体" w:hAnsi="宋体" w:cs="宋体"/>
          <w:color w:val="auto"/>
          <w:sz w:val="24"/>
          <w:highlight w:val="none"/>
        </w:rPr>
        <w:footnoteReference w:id="133"/>
      </w:r>
    </w:p>
    <w:p w14:paraId="5DE947DE">
      <w:pPr>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w:t>
      </w:r>
    </w:p>
    <w:p w14:paraId="135A59BF">
      <w:pPr>
        <w:spacing w:line="360" w:lineRule="auto"/>
        <w:ind w:firstLine="5760" w:firstLineChars="2400"/>
        <w:jc w:val="left"/>
        <w:rPr>
          <w:rFonts w:ascii="宋体" w:hAnsi="宋体" w:cs="宋体"/>
          <w:color w:val="auto"/>
          <w:highlight w:val="none"/>
        </w:rPr>
      </w:pP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日</w:t>
      </w:r>
    </w:p>
    <w:p w14:paraId="6648D052">
      <w:pPr>
        <w:pStyle w:val="276"/>
        <w:adjustRightInd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注：</w:t>
      </w:r>
    </w:p>
    <w:p w14:paraId="5325F241">
      <w:pPr>
        <w:pStyle w:val="276"/>
        <w:adjustRightInd w:val="0"/>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1.</w:t>
      </w:r>
      <w:r>
        <w:rPr>
          <w:rFonts w:ascii="宋体" w:hAnsi="宋体" w:cs="宋体"/>
          <w:color w:val="auto"/>
          <w:highlight w:val="none"/>
        </w:rPr>
        <w:t>若联合体协议书采用线下签署方式，投标人应按上述格式填写完成并签字盖章后再</w:t>
      </w:r>
      <w:r>
        <w:rPr>
          <w:rFonts w:hint="eastAsia" w:ascii="宋体" w:hAnsi="宋体" w:cs="宋体"/>
          <w:color w:val="auto"/>
          <w:highlight w:val="none"/>
          <w:lang w:val="en-US" w:eastAsia="zh-CN"/>
        </w:rPr>
        <w:t>附</w:t>
      </w:r>
      <w:r>
        <w:rPr>
          <w:rFonts w:ascii="宋体" w:hAnsi="宋体" w:cs="宋体"/>
          <w:color w:val="auto"/>
          <w:highlight w:val="none"/>
        </w:rPr>
        <w:t>原件原色扫描件。</w:t>
      </w:r>
    </w:p>
    <w:p w14:paraId="457BF941">
      <w:pPr>
        <w:spacing w:line="360" w:lineRule="auto"/>
        <w:ind w:firstLine="420" w:firstLineChars="200"/>
        <w:rPr>
          <w:rFonts w:ascii="宋体" w:hAnsi="宋体" w:cs="宋体"/>
          <w:color w:val="auto"/>
          <w:highlight w:val="none"/>
        </w:rPr>
      </w:pPr>
      <w:r>
        <w:rPr>
          <w:rFonts w:hint="eastAsia" w:ascii="宋体" w:hAnsi="宋体" w:cs="宋体"/>
          <w:color w:val="auto"/>
          <w:highlight w:val="none"/>
          <w:lang w:val="en-US" w:eastAsia="zh-CN"/>
        </w:rPr>
        <w:t>2.</w:t>
      </w:r>
      <w:r>
        <w:rPr>
          <w:rFonts w:ascii="宋体" w:hAnsi="宋体" w:cs="宋体"/>
          <w:color w:val="auto"/>
          <w:highlight w:val="none"/>
        </w:rPr>
        <w:t>若联合体协议书采用线上电子签署方式，投标人应按上述格式填写并完成电子签章。</w:t>
      </w:r>
    </w:p>
    <w:p w14:paraId="2F8905F3">
      <w:pPr>
        <w:rPr>
          <w:rFonts w:ascii="宋体" w:hAnsi="宋体" w:eastAsia="宋体" w:cs="宋体"/>
          <w:color w:val="auto"/>
          <w:highlight w:val="none"/>
        </w:rPr>
      </w:pPr>
      <w:r>
        <w:rPr>
          <w:rFonts w:ascii="宋体" w:hAnsi="宋体" w:eastAsia="宋体" w:cs="宋体"/>
          <w:color w:val="auto"/>
          <w:highlight w:val="none"/>
        </w:rPr>
        <w:br w:type="page"/>
      </w:r>
    </w:p>
    <w:p w14:paraId="7F241513">
      <w:pPr>
        <w:jc w:val="center"/>
        <w:outlineLvl w:val="1"/>
        <w:rPr>
          <w:rStyle w:val="146"/>
          <w:b w:val="0"/>
          <w:bCs w:val="0"/>
        </w:rPr>
      </w:pPr>
      <w:bookmarkStart w:id="741" w:name="_Toc74760934"/>
      <w:r>
        <w:rPr>
          <w:rStyle w:val="146"/>
          <w:b w:val="0"/>
          <w:bCs w:val="0"/>
        </w:rPr>
        <w:t>四、投标保证金</w:t>
      </w:r>
      <w:bookmarkEnd w:id="741"/>
    </w:p>
    <w:p w14:paraId="66B1DB45">
      <w:pPr>
        <w:rPr>
          <w:rFonts w:ascii="宋体" w:hAnsi="宋体" w:eastAsia="宋体" w:cs="宋体"/>
          <w:b w:val="0"/>
          <w:color w:val="auto"/>
          <w:sz w:val="30"/>
          <w:szCs w:val="30"/>
          <w:highlight w:val="none"/>
        </w:rPr>
      </w:pPr>
    </w:p>
    <w:p w14:paraId="17D24874">
      <w:pPr>
        <w:pStyle w:val="21"/>
        <w:spacing w:line="360" w:lineRule="auto"/>
        <w:ind w:right="17" w:firstLine="482" w:firstLineChars="200"/>
        <w:rPr>
          <w:rFonts w:hint="eastAsia" w:cs="宋体"/>
          <w:b/>
          <w:color w:val="auto"/>
          <w:highlight w:val="none"/>
        </w:rPr>
      </w:pPr>
    </w:p>
    <w:p w14:paraId="6EC862E4">
      <w:pPr>
        <w:pStyle w:val="21"/>
        <w:spacing w:line="360" w:lineRule="auto"/>
        <w:ind w:right="17" w:firstLine="241" w:firstLineChars="100"/>
        <w:rPr>
          <w:rFonts w:cs="宋体"/>
          <w:color w:val="auto"/>
          <w:highlight w:val="none"/>
        </w:rPr>
      </w:pPr>
      <w:r>
        <w:rPr>
          <w:rFonts w:hint="eastAsia" w:cs="宋体"/>
          <w:b/>
          <w:color w:val="auto"/>
          <w:highlight w:val="none"/>
        </w:rPr>
        <w:t>□</w:t>
      </w:r>
      <w:r>
        <w:rPr>
          <w:rFonts w:hint="eastAsia" w:cs="宋体"/>
          <w:color w:val="auto"/>
          <w:highlight w:val="none"/>
        </w:rPr>
        <w:t xml:space="preserve">采用现金或支票，投标人应在此附汇款凭证的原件原色扫描件。 </w:t>
      </w:r>
    </w:p>
    <w:p w14:paraId="106C8E99">
      <w:pPr>
        <w:spacing w:line="360" w:lineRule="auto"/>
        <w:ind w:left="480" w:leftChars="114" w:hanging="241" w:hangingChars="100"/>
        <w:jc w:val="left"/>
        <w:rPr>
          <w:rFonts w:hint="eastAsia" w:ascii="宋体" w:hAnsi="宋体" w:cs="宋体" w:eastAsiaTheme="minorEastAsia"/>
          <w:color w:val="auto"/>
          <w:sz w:val="24"/>
          <w:highlight w:val="none"/>
          <w:lang w:val="en-US" w:eastAsia="zh-CN"/>
        </w:rPr>
      </w:pPr>
      <w:r>
        <w:rPr>
          <w:rFonts w:hint="eastAsia" w:ascii="宋体" w:hAnsi="宋体" w:cs="宋体"/>
          <w:b/>
          <w:color w:val="auto"/>
          <w:sz w:val="24"/>
          <w:highlight w:val="none"/>
        </w:rPr>
        <w:t>□</w:t>
      </w:r>
      <w:r>
        <w:rPr>
          <w:rFonts w:hint="eastAsia" w:ascii="宋体" w:hAnsi="宋体" w:cs="宋体"/>
          <w:color w:val="auto"/>
          <w:sz w:val="24"/>
          <w:highlight w:val="none"/>
        </w:rPr>
        <w:t>采用银行保函，</w:t>
      </w:r>
      <w:bookmarkStart w:id="742" w:name="_Hlk52811141"/>
      <w:r>
        <w:rPr>
          <w:rFonts w:hint="eastAsia" w:ascii="宋体" w:hAnsi="宋体" w:cs="宋体"/>
          <w:color w:val="auto"/>
          <w:sz w:val="24"/>
          <w:highlight w:val="none"/>
        </w:rPr>
        <w:t>银行保函按如下格式填写完成后，</w:t>
      </w:r>
      <w:r>
        <w:rPr>
          <w:rFonts w:hint="eastAsia" w:ascii="宋体" w:hAnsi="宋体" w:cs="宋体"/>
          <w:color w:val="auto"/>
          <w:sz w:val="24"/>
          <w:highlight w:val="none"/>
          <w:lang w:val="en-US" w:eastAsia="zh-CN"/>
        </w:rPr>
        <w:t>在此</w:t>
      </w:r>
      <w:r>
        <w:rPr>
          <w:rFonts w:hint="eastAsia" w:ascii="宋体" w:hAnsi="宋体" w:cs="宋体"/>
          <w:color w:val="auto"/>
          <w:sz w:val="24"/>
          <w:highlight w:val="none"/>
        </w:rPr>
        <w:t>附原件原色扫描</w:t>
      </w:r>
      <w:bookmarkEnd w:id="742"/>
      <w:r>
        <w:rPr>
          <w:rFonts w:hint="eastAsia" w:ascii="宋体" w:hAnsi="宋体" w:cs="宋体"/>
          <w:color w:val="auto"/>
          <w:sz w:val="24"/>
          <w:highlight w:val="none"/>
        </w:rPr>
        <w:t>件。</w:t>
      </w:r>
      <w:r>
        <w:rPr>
          <w:rFonts w:hint="eastAsia" w:ascii="宋体" w:hAnsi="宋体" w:cs="宋体"/>
          <w:color w:val="auto"/>
          <w:sz w:val="24"/>
          <w:highlight w:val="none"/>
          <w:lang w:val="en-US" w:eastAsia="zh-CN"/>
        </w:rPr>
        <w:t>原件按照</w:t>
      </w:r>
      <w:r>
        <w:rPr>
          <w:rFonts w:hint="eastAsia" w:cs="宋体" w:asciiTheme="minorEastAsia" w:hAnsiTheme="minorEastAsia" w:eastAsiaTheme="minorEastAsia"/>
          <w:color w:val="auto"/>
          <w:sz w:val="24"/>
          <w:highlight w:val="none"/>
        </w:rPr>
        <w:t>第二章“投标人须知”前附表第3</w:t>
      </w:r>
      <w:r>
        <w:rPr>
          <w:rFonts w:cs="宋体" w:asciiTheme="minorEastAsia" w:hAnsiTheme="minorEastAsia" w:eastAsiaTheme="minorEastAsia"/>
          <w:color w:val="auto"/>
          <w:sz w:val="24"/>
          <w:highlight w:val="none"/>
        </w:rPr>
        <w:t>.4.1</w:t>
      </w:r>
      <w:r>
        <w:rPr>
          <w:rFonts w:hint="eastAsia" w:cs="宋体" w:asciiTheme="minorEastAsia" w:hAnsiTheme="minorEastAsia" w:eastAsiaTheme="minorEastAsia"/>
          <w:color w:val="auto"/>
          <w:sz w:val="24"/>
          <w:highlight w:val="none"/>
        </w:rPr>
        <w:t>项约定</w:t>
      </w:r>
      <w:r>
        <w:rPr>
          <w:rFonts w:hint="eastAsia" w:cs="宋体" w:asciiTheme="minorEastAsia" w:hAnsiTheme="minorEastAsia" w:eastAsiaTheme="minorEastAsia"/>
          <w:color w:val="auto"/>
          <w:sz w:val="24"/>
          <w:highlight w:val="none"/>
          <w:lang w:val="en-US" w:eastAsia="zh-CN"/>
        </w:rPr>
        <w:t>递交。</w:t>
      </w:r>
    </w:p>
    <w:p w14:paraId="2943B903">
      <w:pPr>
        <w:spacing w:line="360" w:lineRule="auto"/>
        <w:ind w:left="0" w:leftChars="0" w:firstLine="241" w:firstLineChars="100"/>
        <w:rPr>
          <w:rFonts w:cs="宋体" w:asciiTheme="minorEastAsia" w:hAnsiTheme="minorEastAsia" w:eastAsiaTheme="minorEastAsia"/>
          <w:color w:val="auto"/>
          <w:sz w:val="24"/>
          <w:highlight w:val="none"/>
        </w:rPr>
      </w:pPr>
      <w:r>
        <w:rPr>
          <w:rFonts w:hint="eastAsia"/>
          <w:b/>
          <w:color w:val="auto"/>
          <w:sz w:val="24"/>
          <w:highlight w:val="none"/>
        </w:rPr>
        <w:t>□</w:t>
      </w:r>
      <w:r>
        <w:rPr>
          <w:rFonts w:hint="eastAsia" w:cs="宋体" w:asciiTheme="minorEastAsia" w:hAnsiTheme="minorEastAsia" w:eastAsiaTheme="minorEastAsia"/>
          <w:color w:val="auto"/>
          <w:sz w:val="24"/>
          <w:highlight w:val="none"/>
        </w:rPr>
        <w:t>采用第二章“投标人须知”前附表第3</w:t>
      </w:r>
      <w:r>
        <w:rPr>
          <w:rFonts w:cs="宋体" w:asciiTheme="minorEastAsia" w:hAnsiTheme="minorEastAsia" w:eastAsiaTheme="minorEastAsia"/>
          <w:color w:val="auto"/>
          <w:sz w:val="24"/>
          <w:highlight w:val="none"/>
        </w:rPr>
        <w:t>.4.1</w:t>
      </w:r>
      <w:r>
        <w:rPr>
          <w:rFonts w:hint="eastAsia" w:cs="宋体" w:asciiTheme="minorEastAsia" w:hAnsiTheme="minorEastAsia" w:eastAsiaTheme="minorEastAsia"/>
          <w:color w:val="auto"/>
          <w:sz w:val="24"/>
          <w:highlight w:val="none"/>
        </w:rPr>
        <w:t>项约定的其他形式的，按照第3</w:t>
      </w:r>
      <w:r>
        <w:rPr>
          <w:rFonts w:cs="宋体" w:asciiTheme="minorEastAsia" w:hAnsiTheme="minorEastAsia" w:eastAsiaTheme="minorEastAsia"/>
          <w:color w:val="auto"/>
          <w:sz w:val="24"/>
          <w:highlight w:val="none"/>
        </w:rPr>
        <w:t>.4.1</w:t>
      </w:r>
    </w:p>
    <w:p w14:paraId="7A1EA1CB">
      <w:pPr>
        <w:spacing w:line="360" w:lineRule="auto"/>
        <w:ind w:left="0" w:leftChars="0" w:firstLine="480" w:firstLineChars="200"/>
        <w:jc w:val="left"/>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项约定处理。</w:t>
      </w:r>
      <w:bookmarkStart w:id="743" w:name="_Toc523921864"/>
    </w:p>
    <w:p w14:paraId="6C66E4A1">
      <w:pPr>
        <w:spacing w:line="360" w:lineRule="auto"/>
        <w:jc w:val="left"/>
        <w:rPr>
          <w:rFonts w:ascii="宋体" w:hAnsi="宋体" w:cs="宋体"/>
          <w:color w:val="auto"/>
          <w:sz w:val="24"/>
          <w:highlight w:val="none"/>
          <w:u w:val="single"/>
        </w:rPr>
      </w:pPr>
    </w:p>
    <w:p w14:paraId="25598A63">
      <w:pPr>
        <w:spacing w:line="360" w:lineRule="auto"/>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（招标人名称）：</w:t>
      </w:r>
    </w:p>
    <w:p w14:paraId="4C619C5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w:t>
      </w:r>
    </w:p>
    <w:p w14:paraId="1D4AADB5">
      <w:pPr>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鉴于</w:t>
      </w:r>
      <w:r>
        <w:rPr>
          <w:rFonts w:ascii="宋体" w:hAnsi="宋体" w:cs="宋体"/>
          <w:color w:val="auto"/>
          <w:sz w:val="24"/>
          <w:highlight w:val="none"/>
          <w:u w:val="single"/>
        </w:rPr>
        <w:t xml:space="preserve">              </w:t>
      </w:r>
      <w:r>
        <w:rPr>
          <w:rFonts w:hint="eastAsia" w:ascii="宋体" w:hAnsi="宋体" w:cs="宋体"/>
          <w:color w:val="auto"/>
          <w:sz w:val="24"/>
          <w:highlight w:val="none"/>
        </w:rPr>
        <w:t>（投标人名称）（以下称“投标人”）于</w:t>
      </w:r>
      <w:r>
        <w:rPr>
          <w:rFonts w:ascii="宋体" w:hAnsi="宋体" w:cs="宋体"/>
          <w:color w:val="auto"/>
          <w:sz w:val="24"/>
          <w:highlight w:val="none"/>
          <w:u w:val="single"/>
        </w:rPr>
        <w:t xml:space="preserve">   </w:t>
      </w:r>
      <w:bookmarkStart w:id="744" w:name="_Toc28187742"/>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bookmarkEnd w:id="743"/>
      <w:bookmarkEnd w:id="744"/>
      <w:r>
        <w:rPr>
          <w:rFonts w:ascii="宋体" w:hAnsi="宋体" w:cs="宋体"/>
          <w:color w:val="auto"/>
          <w:sz w:val="24"/>
          <w:highlight w:val="none"/>
          <w:u w:val="single"/>
        </w:rPr>
        <w:t xml:space="preserve">  </w:t>
      </w:r>
      <w:r>
        <w:rPr>
          <w:rFonts w:hint="eastAsia" w:ascii="宋体" w:hAnsi="宋体" w:cs="宋体"/>
          <w:color w:val="auto"/>
          <w:sz w:val="24"/>
          <w:highlight w:val="none"/>
        </w:rPr>
        <w:t>日参加</w:t>
      </w:r>
      <w:r>
        <w:rPr>
          <w:rFonts w:ascii="宋体" w:hAnsi="宋体" w:cs="宋体"/>
          <w:color w:val="auto"/>
          <w:sz w:val="24"/>
          <w:highlight w:val="none"/>
          <w:u w:val="single"/>
        </w:rPr>
        <w:t xml:space="preserve">         </w:t>
      </w:r>
      <w:r>
        <w:rPr>
          <w:rFonts w:hint="eastAsia" w:ascii="宋体" w:hAnsi="宋体" w:cs="宋体"/>
          <w:color w:val="auto"/>
          <w:sz w:val="24"/>
          <w:highlight w:val="none"/>
        </w:rPr>
        <w:t>（招标项目名称）</w:t>
      </w:r>
      <w:r>
        <w:rPr>
          <w:rFonts w:hint="eastAsia" w:ascii="宋体" w:hAnsi="宋体"/>
          <w:color w:val="auto"/>
          <w:sz w:val="24"/>
          <w:highlight w:val="none"/>
        </w:rPr>
        <w:t>招标</w:t>
      </w:r>
      <w:r>
        <w:rPr>
          <w:rFonts w:hint="eastAsia" w:ascii="宋体" w:hAnsi="宋体" w:cs="宋体"/>
          <w:color w:val="auto"/>
          <w:sz w:val="24"/>
          <w:highlight w:val="none"/>
        </w:rPr>
        <w:t>第</w:t>
      </w:r>
      <w:r>
        <w:rPr>
          <w:rFonts w:ascii="宋体" w:hAnsi="宋体" w:cs="宋体"/>
          <w:color w:val="auto"/>
          <w:sz w:val="24"/>
          <w:highlight w:val="none"/>
          <w:u w:val="single"/>
        </w:rPr>
        <w:t xml:space="preserve">    </w:t>
      </w:r>
      <w:r>
        <w:rPr>
          <w:rFonts w:hint="eastAsia" w:ascii="宋体" w:hAnsi="宋体" w:cs="宋体"/>
          <w:color w:val="auto"/>
          <w:sz w:val="24"/>
          <w:highlight w:val="none"/>
        </w:rPr>
        <w:t>标段的投标，</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担保人名称，以下简称“我方”）无条件地、不可撤销地保证：投标人在规定的投标有效期内撤销投标文件的，中标后无正当理由不与招标人订立合同，在签订合同时向招标人提出附加条件，不按招标文件规定提交履约保证金，或发生第二章“投标人须知”前附表第</w:t>
      </w:r>
      <w:r>
        <w:rPr>
          <w:rFonts w:ascii="宋体" w:hAnsi="宋体" w:cs="宋体"/>
          <w:color w:val="auto"/>
          <w:sz w:val="24"/>
          <w:highlight w:val="none"/>
        </w:rPr>
        <w:t>3.4.4项明确规定不予退还投标保证金的其他情形，我方承担保证责任。收到你方书面通知后，</w:t>
      </w:r>
      <w:r>
        <w:rPr>
          <w:rFonts w:hint="eastAsia" w:ascii="宋体" w:hAnsi="宋体" w:cs="宋体"/>
          <w:color w:val="auto"/>
          <w:sz w:val="24"/>
          <w:highlight w:val="none"/>
          <w:lang w:val="en-US" w:eastAsia="zh-CN"/>
        </w:rPr>
        <w:t>我方</w:t>
      </w:r>
      <w:r>
        <w:rPr>
          <w:rFonts w:ascii="宋体" w:hAnsi="宋体" w:cs="宋体"/>
          <w:color w:val="auto"/>
          <w:sz w:val="24"/>
          <w:highlight w:val="none"/>
        </w:rPr>
        <w:t>在</w:t>
      </w:r>
      <w:r>
        <w:rPr>
          <w:rFonts w:ascii="宋体" w:hAnsi="宋体" w:cs="宋体"/>
          <w:color w:val="auto"/>
          <w:sz w:val="24"/>
          <w:highlight w:val="none"/>
          <w:u w:val="single"/>
        </w:rPr>
        <w:t xml:space="preserve"> 7 </w:t>
      </w:r>
      <w:r>
        <w:rPr>
          <w:rFonts w:hint="eastAsia" w:ascii="宋体" w:hAnsi="宋体" w:cs="宋体"/>
          <w:color w:val="auto"/>
          <w:sz w:val="24"/>
          <w:highlight w:val="none"/>
        </w:rPr>
        <w:t>个工作日内无条件</w:t>
      </w:r>
      <w:r>
        <w:rPr>
          <w:rFonts w:hint="eastAsia" w:ascii="宋体" w:hAnsi="宋体" w:cs="宋体"/>
          <w:color w:val="auto"/>
          <w:sz w:val="24"/>
          <w:highlight w:val="none"/>
          <w:lang w:val="en-US" w:eastAsia="zh-CN"/>
        </w:rPr>
        <w:t>向你方</w:t>
      </w:r>
      <w:r>
        <w:rPr>
          <w:rFonts w:hint="eastAsia" w:ascii="宋体" w:hAnsi="宋体" w:cs="宋体"/>
          <w:color w:val="auto"/>
          <w:sz w:val="24"/>
          <w:highlight w:val="none"/>
        </w:rPr>
        <w:t>支付人民币（大写）</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ascii="宋体" w:hAnsi="宋体" w:cs="宋体"/>
          <w:color w:val="auto"/>
          <w:sz w:val="24"/>
          <w:highlight w:val="none"/>
        </w:rPr>
        <w:t>元。</w:t>
      </w:r>
    </w:p>
    <w:p w14:paraId="1073615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本保函在投标有效期或经延长的投标有效期内保持有效。要求我方承担保证责任的通知应在上述期限内送达我方。你方延长投标有效期的决定，应通知我方。</w:t>
      </w:r>
    </w:p>
    <w:p w14:paraId="1A980959">
      <w:pPr>
        <w:spacing w:line="360" w:lineRule="auto"/>
        <w:ind w:firstLine="1440" w:firstLineChars="600"/>
        <w:jc w:val="left"/>
        <w:rPr>
          <w:rFonts w:hint="eastAsia" w:ascii="宋体" w:hAnsi="宋体" w:cs="宋体"/>
          <w:color w:val="auto"/>
          <w:sz w:val="24"/>
          <w:highlight w:val="none"/>
        </w:rPr>
      </w:pPr>
    </w:p>
    <w:p w14:paraId="607C584C">
      <w:pPr>
        <w:spacing w:line="360" w:lineRule="auto"/>
        <w:ind w:firstLine="1440" w:firstLineChars="600"/>
        <w:jc w:val="left"/>
        <w:rPr>
          <w:rFonts w:ascii="宋体" w:hAnsi="宋体" w:cs="宋体"/>
          <w:color w:val="auto"/>
          <w:sz w:val="24"/>
          <w:highlight w:val="none"/>
          <w:u w:val="single"/>
        </w:rPr>
      </w:pPr>
      <w:r>
        <w:rPr>
          <w:rFonts w:hint="eastAsia" w:ascii="宋体" w:hAnsi="宋体" w:cs="宋体"/>
          <w:color w:val="auto"/>
          <w:sz w:val="24"/>
          <w:highlight w:val="none"/>
        </w:rPr>
        <w:t>担保人名称：</w:t>
      </w:r>
      <w:r>
        <w:rPr>
          <w:rFonts w:ascii="宋体" w:hAnsi="宋体" w:cs="宋体"/>
          <w:color w:val="auto"/>
          <w:sz w:val="24"/>
          <w:highlight w:val="none"/>
          <w:u w:val="single"/>
        </w:rPr>
        <w:t xml:space="preserve">      （全称）     </w:t>
      </w:r>
      <w:r>
        <w:rPr>
          <w:rFonts w:hint="eastAsia" w:ascii="宋体" w:hAnsi="宋体" w:cs="宋体"/>
          <w:color w:val="auto"/>
          <w:sz w:val="24"/>
          <w:highlight w:val="none"/>
        </w:rPr>
        <w:t>（盖单位章或业务专用章）</w:t>
      </w:r>
      <w:r>
        <w:rPr>
          <w:rStyle w:val="58"/>
          <w:rFonts w:ascii="宋体" w:hAnsi="宋体" w:cs="宋体"/>
          <w:color w:val="auto"/>
          <w:sz w:val="24"/>
          <w:highlight w:val="none"/>
        </w:rPr>
        <w:footnoteReference w:id="134"/>
      </w:r>
    </w:p>
    <w:p w14:paraId="6F89FBAF">
      <w:pPr>
        <w:spacing w:line="360" w:lineRule="auto"/>
        <w:ind w:firstLine="1440" w:firstLineChars="600"/>
        <w:jc w:val="left"/>
        <w:rPr>
          <w:rFonts w:hint="eastAsia" w:ascii="宋体" w:hAnsi="宋体" w:cs="宋体"/>
          <w:color w:val="auto"/>
          <w:sz w:val="24"/>
          <w:highlight w:val="none"/>
        </w:rPr>
      </w:pPr>
      <w:r>
        <w:rPr>
          <w:rFonts w:hint="eastAsia" w:ascii="宋体" w:hAnsi="宋体" w:cs="宋体"/>
          <w:color w:val="auto"/>
          <w:sz w:val="24"/>
          <w:highlight w:val="none"/>
        </w:rPr>
        <w:t>法定代表人</w:t>
      </w:r>
    </w:p>
    <w:p w14:paraId="2244403D">
      <w:pPr>
        <w:spacing w:line="360" w:lineRule="auto"/>
        <w:ind w:firstLine="1440" w:firstLineChars="600"/>
        <w:jc w:val="left"/>
        <w:rPr>
          <w:rFonts w:ascii="宋体" w:hAnsi="宋体" w:cs="宋体"/>
          <w:color w:val="auto"/>
          <w:sz w:val="24"/>
          <w:highlight w:val="none"/>
          <w:u w:val="single"/>
        </w:rPr>
      </w:pPr>
      <w:r>
        <w:rPr>
          <w:rFonts w:hint="eastAsia" w:ascii="宋体" w:hAnsi="宋体" w:cs="宋体"/>
          <w:color w:val="auto"/>
          <w:sz w:val="24"/>
          <w:highlight w:val="none"/>
        </w:rPr>
        <w:t>或单位负责人（或其委托代理人）：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ascii="宋体" w:hAnsi="宋体"/>
          <w:color w:val="auto"/>
          <w:sz w:val="24"/>
          <w:highlight w:val="none"/>
        </w:rPr>
        <w:t>签字</w:t>
      </w:r>
      <w:r>
        <w:rPr>
          <w:rFonts w:hint="eastAsia" w:ascii="宋体" w:hAnsi="宋体"/>
          <w:color w:val="auto"/>
          <w:sz w:val="24"/>
          <w:highlight w:val="none"/>
        </w:rPr>
        <w:t>或签名章</w:t>
      </w:r>
      <w:r>
        <w:rPr>
          <w:rFonts w:hint="eastAsia" w:ascii="宋体" w:hAnsi="宋体" w:cs="宋体"/>
          <w:color w:val="auto"/>
          <w:sz w:val="24"/>
          <w:highlight w:val="none"/>
        </w:rPr>
        <w:t>）</w:t>
      </w:r>
      <w:r>
        <w:rPr>
          <w:rStyle w:val="58"/>
          <w:rFonts w:ascii="宋体" w:hAnsi="宋体" w:cs="宋体"/>
          <w:color w:val="auto"/>
          <w:sz w:val="24"/>
          <w:highlight w:val="none"/>
        </w:rPr>
        <w:footnoteReference w:id="135"/>
      </w:r>
    </w:p>
    <w:p w14:paraId="74AC2492">
      <w:pPr>
        <w:spacing w:line="360" w:lineRule="auto"/>
        <w:ind w:left="0" w:leftChars="0" w:firstLine="1440" w:firstLineChars="600"/>
        <w:jc w:val="left"/>
        <w:rPr>
          <w:rFonts w:ascii="宋体" w:hAnsi="宋体" w:cs="宋体"/>
          <w:color w:val="auto"/>
          <w:sz w:val="24"/>
          <w:highlight w:val="none"/>
          <w:u w:val="single"/>
        </w:rPr>
      </w:pPr>
      <w:r>
        <w:rPr>
          <w:rFonts w:hint="eastAsia" w:ascii="宋体" w:hAnsi="宋体" w:cs="宋体"/>
          <w:color w:val="auto"/>
          <w:sz w:val="24"/>
          <w:highlight w:val="none"/>
        </w:rPr>
        <w:t>地</w:t>
      </w:r>
      <w:r>
        <w:rPr>
          <w:rFonts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w:t>
      </w:r>
      <w:r>
        <w:rPr>
          <w:rFonts w:ascii="宋体" w:hAnsi="宋体" w:cs="宋体"/>
          <w:color w:val="auto"/>
          <w:sz w:val="24"/>
          <w:highlight w:val="none"/>
          <w:u w:val="single"/>
        </w:rPr>
        <w:tab/>
      </w:r>
      <w:r>
        <w:rPr>
          <w:rFonts w:ascii="宋体" w:hAnsi="宋体" w:cs="宋体"/>
          <w:color w:val="auto"/>
          <w:sz w:val="24"/>
          <w:highlight w:val="none"/>
          <w:u w:val="single"/>
        </w:rPr>
        <w:tab/>
      </w:r>
      <w:r>
        <w:rPr>
          <w:rFonts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p>
    <w:p w14:paraId="208C638B">
      <w:pPr>
        <w:spacing w:line="360" w:lineRule="auto"/>
        <w:ind w:left="0" w:leftChars="0" w:firstLine="1440" w:firstLineChars="600"/>
        <w:jc w:val="left"/>
        <w:rPr>
          <w:rFonts w:ascii="宋体" w:hAnsi="宋体" w:cs="宋体"/>
          <w:color w:val="auto"/>
          <w:sz w:val="24"/>
          <w:highlight w:val="none"/>
          <w:u w:val="single"/>
        </w:rPr>
      </w:pPr>
      <w:r>
        <w:rPr>
          <w:rFonts w:hint="eastAsia" w:ascii="宋体" w:hAnsi="宋体" w:cs="宋体"/>
          <w:color w:val="auto"/>
          <w:sz w:val="24"/>
          <w:highlight w:val="none"/>
        </w:rPr>
        <w:t>邮政编码：</w:t>
      </w:r>
      <w:r>
        <w:rPr>
          <w:rFonts w:ascii="宋体" w:hAnsi="宋体" w:cs="宋体"/>
          <w:color w:val="auto"/>
          <w:sz w:val="24"/>
          <w:highlight w:val="none"/>
          <w:u w:val="single"/>
        </w:rPr>
        <w:tab/>
      </w:r>
      <w:r>
        <w:rPr>
          <w:rFonts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ab/>
      </w:r>
      <w:r>
        <w:rPr>
          <w:rFonts w:ascii="宋体" w:hAnsi="宋体" w:cs="宋体"/>
          <w:color w:val="auto"/>
          <w:sz w:val="24"/>
          <w:highlight w:val="none"/>
          <w:u w:val="single"/>
        </w:rPr>
        <w:t xml:space="preserve"> </w:t>
      </w:r>
    </w:p>
    <w:p w14:paraId="00BADA6A">
      <w:pPr>
        <w:spacing w:line="360" w:lineRule="auto"/>
        <w:ind w:left="0" w:leftChars="0" w:firstLine="1440" w:firstLineChars="600"/>
        <w:jc w:val="left"/>
        <w:rPr>
          <w:rFonts w:ascii="宋体" w:hAnsi="宋体" w:cs="宋体"/>
          <w:color w:val="auto"/>
          <w:sz w:val="24"/>
          <w:highlight w:val="none"/>
        </w:rPr>
      </w:pPr>
      <w:r>
        <w:rPr>
          <w:rFonts w:hint="eastAsia" w:ascii="宋体" w:hAnsi="宋体" w:cs="宋体"/>
          <w:color w:val="auto"/>
          <w:sz w:val="24"/>
          <w:highlight w:val="none"/>
        </w:rPr>
        <w:t>电</w:t>
      </w:r>
      <w:r>
        <w:rPr>
          <w:rFonts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话：</w:t>
      </w:r>
      <w:r>
        <w:rPr>
          <w:rFonts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ab/>
      </w:r>
      <w:r>
        <w:rPr>
          <w:rFonts w:ascii="宋体" w:hAnsi="宋体" w:cs="宋体"/>
          <w:color w:val="auto"/>
          <w:sz w:val="24"/>
          <w:highlight w:val="none"/>
          <w:u w:val="single"/>
        </w:rPr>
        <w:tab/>
      </w:r>
      <w:r>
        <w:rPr>
          <w:rFonts w:ascii="宋体" w:hAnsi="宋体" w:cs="宋体"/>
          <w:color w:val="auto"/>
          <w:sz w:val="24"/>
          <w:highlight w:val="none"/>
          <w:u w:val="single"/>
        </w:rPr>
        <w:t xml:space="preserve"> </w:t>
      </w:r>
    </w:p>
    <w:p w14:paraId="03052B62">
      <w:pPr>
        <w:spacing w:line="360" w:lineRule="auto"/>
        <w:ind w:left="0" w:leftChars="0" w:firstLine="1440" w:firstLineChars="600"/>
        <w:jc w:val="left"/>
        <w:rPr>
          <w:rFonts w:ascii="宋体" w:hAnsi="宋体" w:cs="宋体"/>
          <w:color w:val="auto"/>
          <w:sz w:val="24"/>
          <w:highlight w:val="none"/>
          <w:u w:val="single"/>
        </w:rPr>
      </w:pPr>
      <w:r>
        <w:rPr>
          <w:rFonts w:hint="eastAsia" w:ascii="宋体" w:hAnsi="宋体" w:cs="宋体"/>
          <w:color w:val="auto"/>
          <w:sz w:val="24"/>
          <w:highlight w:val="none"/>
        </w:rPr>
        <w:t>传</w:t>
      </w:r>
      <w:r>
        <w:rPr>
          <w:rFonts w:ascii="宋体" w:hAnsi="宋体" w:cs="宋体"/>
          <w:color w:val="auto"/>
          <w:sz w:val="24"/>
          <w:highlight w:val="none"/>
        </w:rPr>
        <w:tab/>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真：</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ab/>
      </w:r>
      <w:r>
        <w:rPr>
          <w:rFonts w:ascii="宋体" w:hAnsi="宋体" w:cs="宋体"/>
          <w:color w:val="auto"/>
          <w:sz w:val="24"/>
          <w:highlight w:val="none"/>
          <w:u w:val="single"/>
        </w:rPr>
        <w:tab/>
      </w:r>
    </w:p>
    <w:p w14:paraId="482A79F6">
      <w:pPr>
        <w:spacing w:line="360" w:lineRule="auto"/>
        <w:ind w:left="1470" w:leftChars="700" w:firstLine="3600" w:firstLineChars="1500"/>
        <w:jc w:val="left"/>
        <w:rPr>
          <w:rFonts w:ascii="宋体" w:hAnsi="宋体" w:cs="宋体"/>
          <w:color w:val="auto"/>
          <w:sz w:val="24"/>
          <w:highlight w:val="none"/>
        </w:rPr>
      </w:pP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年</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日</w:t>
      </w:r>
    </w:p>
    <w:p w14:paraId="2326900F">
      <w:pPr>
        <w:spacing w:line="360" w:lineRule="auto"/>
        <w:ind w:firstLine="420" w:firstLineChars="200"/>
        <w:rPr>
          <w:rFonts w:hint="eastAsia" w:ascii="宋体" w:hAnsi="宋体" w:cs="宋体"/>
          <w:color w:val="auto"/>
          <w:szCs w:val="21"/>
          <w:highlight w:val="none"/>
        </w:rPr>
      </w:pPr>
    </w:p>
    <w:p w14:paraId="6B6D2F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w:t>
      </w:r>
    </w:p>
    <w:p w14:paraId="0000627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银行保函应采用招标文件提供的格式，若采用银行自有格式，其提交的银行保函内容不得对担保金额、担保范围、担保期限、担保内容作出降低担保效力的实质性修改。投标保证金有效期应当不低于投标有效期。招标人如果按第二章“投标人</w:t>
      </w:r>
      <w:r>
        <w:rPr>
          <w:rFonts w:ascii="宋体" w:hAnsi="宋体" w:cs="宋体"/>
          <w:color w:val="auto"/>
          <w:szCs w:val="21"/>
          <w:highlight w:val="none"/>
        </w:rPr>
        <w:t>须知</w:t>
      </w:r>
      <w:r>
        <w:rPr>
          <w:rFonts w:hint="eastAsia" w:ascii="宋体" w:hAnsi="宋体" w:cs="宋体"/>
          <w:color w:val="auto"/>
          <w:szCs w:val="21"/>
          <w:highlight w:val="none"/>
        </w:rPr>
        <w:t>”第</w:t>
      </w:r>
      <w:r>
        <w:rPr>
          <w:rFonts w:ascii="宋体" w:hAnsi="宋体" w:cs="宋体"/>
          <w:color w:val="auto"/>
          <w:szCs w:val="21"/>
          <w:highlight w:val="none"/>
        </w:rPr>
        <w:t>3.3.3项的规定延长了投标有效期，则投标保证金的有效期也相应延长。</w:t>
      </w:r>
    </w:p>
    <w:p w14:paraId="40B1312A">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szCs w:val="21"/>
        </w:rPr>
        <w:t>允许联合体投标时，</w:t>
      </w:r>
      <w:r>
        <w:rPr>
          <w:rFonts w:hint="eastAsia" w:ascii="宋体" w:hAnsi="宋体" w:cs="宋体"/>
          <w:szCs w:val="21"/>
          <w:lang w:val="en-US" w:eastAsia="zh-CN"/>
        </w:rPr>
        <w:t>若以</w:t>
      </w:r>
      <w:r>
        <w:rPr>
          <w:rFonts w:ascii="宋体" w:hAnsi="宋体" w:cs="宋体"/>
          <w:color w:val="auto"/>
          <w:szCs w:val="21"/>
          <w:highlight w:val="none"/>
        </w:rPr>
        <w:t>联合体形式投标的，投标保证金应由联合体牵头人提交。</w:t>
      </w:r>
    </w:p>
    <w:p w14:paraId="052802DA">
      <w:pPr>
        <w:spacing w:line="240" w:lineRule="auto"/>
        <w:jc w:val="left"/>
        <w:rPr>
          <w:rFonts w:hint="eastAsia" w:ascii="黑体" w:hAnsi="黑体" w:eastAsia="黑体" w:cs="宋体"/>
          <w:bCs/>
          <w:color w:val="auto"/>
          <w:kern w:val="0"/>
          <w:szCs w:val="30"/>
          <w:highlight w:val="none"/>
        </w:rPr>
      </w:pPr>
      <w:r>
        <w:rPr>
          <w:rFonts w:hint="eastAsia" w:ascii="黑体" w:hAnsi="黑体" w:eastAsia="黑体" w:cs="宋体"/>
          <w:bCs/>
          <w:color w:val="auto"/>
          <w:kern w:val="0"/>
          <w:szCs w:val="30"/>
          <w:highlight w:val="none"/>
        </w:rPr>
        <w:br w:type="page"/>
      </w:r>
    </w:p>
    <w:p w14:paraId="6BA71114">
      <w:pPr>
        <w:pStyle w:val="5"/>
        <w:ind w:firstLine="3300" w:firstLineChars="1100"/>
        <w:outlineLvl w:val="1"/>
        <w:rPr>
          <w:rFonts w:ascii="Calibri" w:hAnsi="Calibri" w:eastAsia="黑体" w:cs="Times New Roman"/>
          <w:b w:val="0"/>
          <w:bCs w:val="0"/>
          <w:kern w:val="0"/>
          <w:sz w:val="30"/>
          <w:szCs w:val="32"/>
        </w:rPr>
      </w:pPr>
      <w:r>
        <w:rPr>
          <w:rFonts w:hint="default" w:ascii="Calibri" w:hAnsi="Calibri" w:eastAsia="黑体" w:cs="Times New Roman"/>
          <w:b w:val="0"/>
          <w:bCs w:val="0"/>
          <w:kern w:val="0"/>
          <w:sz w:val="30"/>
          <w:szCs w:val="32"/>
        </w:rPr>
        <w:t>五、资格审查资料</w:t>
      </w:r>
    </w:p>
    <w:p w14:paraId="02117317">
      <w:pPr>
        <w:pStyle w:val="6"/>
        <w:jc w:val="center"/>
        <w:rPr>
          <w:b w:val="0"/>
          <w:bCs w:val="0"/>
        </w:rPr>
      </w:pPr>
      <w:bookmarkStart w:id="745" w:name="_Toc74760935"/>
      <w:r>
        <w:rPr>
          <w:rFonts w:hint="eastAsia"/>
          <w:b w:val="0"/>
          <w:bCs w:val="0"/>
        </w:rPr>
        <w:t>（一）投标人基本情况表</w:t>
      </w:r>
      <w:bookmarkEnd w:id="745"/>
    </w:p>
    <w:tbl>
      <w:tblPr>
        <w:tblStyle w:val="48"/>
        <w:tblW w:w="88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3"/>
        <w:gridCol w:w="827"/>
        <w:gridCol w:w="1190"/>
        <w:gridCol w:w="1280"/>
        <w:gridCol w:w="1422"/>
        <w:gridCol w:w="1138"/>
        <w:gridCol w:w="683"/>
      </w:tblGrid>
      <w:tr w14:paraId="07019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exact"/>
          <w:jc w:val="center"/>
        </w:trPr>
        <w:tc>
          <w:tcPr>
            <w:tcW w:w="2263" w:type="dxa"/>
            <w:vAlign w:val="center"/>
          </w:tcPr>
          <w:p w14:paraId="1E500D51">
            <w:pPr>
              <w:pStyle w:val="267"/>
              <w:spacing w:line="400" w:lineRule="exact"/>
              <w:jc w:val="center"/>
              <w:rPr>
                <w:color w:val="auto"/>
                <w:szCs w:val="21"/>
                <w:highlight w:val="none"/>
              </w:rPr>
            </w:pPr>
            <w:r>
              <w:rPr>
                <w:rFonts w:hint="eastAsia"/>
                <w:color w:val="auto"/>
                <w:szCs w:val="21"/>
                <w:highlight w:val="none"/>
              </w:rPr>
              <w:t>投标人名称</w:t>
            </w:r>
          </w:p>
        </w:tc>
        <w:tc>
          <w:tcPr>
            <w:tcW w:w="6540" w:type="dxa"/>
            <w:gridSpan w:val="6"/>
            <w:vAlign w:val="center"/>
          </w:tcPr>
          <w:p w14:paraId="35EB2294">
            <w:pPr>
              <w:spacing w:line="400" w:lineRule="exact"/>
              <w:rPr>
                <w:rFonts w:ascii="宋体" w:hAnsi="宋体" w:cs="宋体"/>
                <w:color w:val="auto"/>
                <w:szCs w:val="21"/>
                <w:highlight w:val="none"/>
              </w:rPr>
            </w:pPr>
          </w:p>
        </w:tc>
      </w:tr>
      <w:tr w14:paraId="60045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exact"/>
          <w:jc w:val="center"/>
        </w:trPr>
        <w:tc>
          <w:tcPr>
            <w:tcW w:w="2263" w:type="dxa"/>
            <w:vAlign w:val="center"/>
          </w:tcPr>
          <w:p w14:paraId="6B102807">
            <w:pPr>
              <w:pStyle w:val="267"/>
              <w:spacing w:line="400" w:lineRule="exact"/>
              <w:jc w:val="center"/>
              <w:rPr>
                <w:color w:val="auto"/>
                <w:szCs w:val="21"/>
                <w:highlight w:val="none"/>
              </w:rPr>
            </w:pPr>
            <w:r>
              <w:rPr>
                <w:rFonts w:hint="eastAsia"/>
                <w:color w:val="auto"/>
                <w:szCs w:val="21"/>
                <w:highlight w:val="none"/>
              </w:rPr>
              <w:t>单位统一社会信用代码</w:t>
            </w:r>
          </w:p>
        </w:tc>
        <w:tc>
          <w:tcPr>
            <w:tcW w:w="6540" w:type="dxa"/>
            <w:gridSpan w:val="6"/>
            <w:vAlign w:val="center"/>
          </w:tcPr>
          <w:p w14:paraId="4EDA3272">
            <w:pPr>
              <w:spacing w:line="400" w:lineRule="exact"/>
              <w:rPr>
                <w:rFonts w:ascii="宋体" w:hAnsi="宋体" w:cs="宋体"/>
                <w:color w:val="auto"/>
                <w:szCs w:val="21"/>
                <w:highlight w:val="none"/>
              </w:rPr>
            </w:pPr>
          </w:p>
        </w:tc>
      </w:tr>
      <w:tr w14:paraId="03BC6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exact"/>
          <w:jc w:val="center"/>
        </w:trPr>
        <w:tc>
          <w:tcPr>
            <w:tcW w:w="2263" w:type="dxa"/>
            <w:vAlign w:val="center"/>
          </w:tcPr>
          <w:p w14:paraId="1EC3F1FF">
            <w:pPr>
              <w:pStyle w:val="267"/>
              <w:spacing w:line="400" w:lineRule="exact"/>
              <w:jc w:val="center"/>
              <w:rPr>
                <w:color w:val="auto"/>
                <w:szCs w:val="21"/>
                <w:highlight w:val="none"/>
              </w:rPr>
            </w:pPr>
            <w:r>
              <w:rPr>
                <w:rFonts w:hint="eastAsia"/>
                <w:color w:val="auto"/>
                <w:szCs w:val="21"/>
                <w:highlight w:val="none"/>
              </w:rPr>
              <w:t>法定代表人</w:t>
            </w:r>
          </w:p>
        </w:tc>
        <w:tc>
          <w:tcPr>
            <w:tcW w:w="827" w:type="dxa"/>
            <w:vAlign w:val="center"/>
          </w:tcPr>
          <w:p w14:paraId="27DF0ED6">
            <w:pPr>
              <w:pStyle w:val="267"/>
              <w:spacing w:line="400" w:lineRule="exact"/>
              <w:jc w:val="center"/>
              <w:rPr>
                <w:color w:val="auto"/>
                <w:szCs w:val="21"/>
                <w:highlight w:val="none"/>
              </w:rPr>
            </w:pPr>
            <w:r>
              <w:rPr>
                <w:rFonts w:hint="eastAsia"/>
                <w:color w:val="auto"/>
                <w:szCs w:val="21"/>
                <w:highlight w:val="none"/>
              </w:rPr>
              <w:t>姓名</w:t>
            </w:r>
          </w:p>
        </w:tc>
        <w:tc>
          <w:tcPr>
            <w:tcW w:w="1190" w:type="dxa"/>
            <w:vAlign w:val="center"/>
          </w:tcPr>
          <w:p w14:paraId="572B6A32">
            <w:pPr>
              <w:spacing w:line="400" w:lineRule="exact"/>
              <w:rPr>
                <w:rFonts w:ascii="宋体" w:hAnsi="宋体" w:cs="宋体"/>
                <w:color w:val="auto"/>
                <w:szCs w:val="21"/>
                <w:highlight w:val="none"/>
              </w:rPr>
            </w:pPr>
          </w:p>
        </w:tc>
        <w:tc>
          <w:tcPr>
            <w:tcW w:w="1280" w:type="dxa"/>
            <w:vAlign w:val="center"/>
          </w:tcPr>
          <w:p w14:paraId="6B0FA2CF">
            <w:pPr>
              <w:pStyle w:val="267"/>
              <w:spacing w:line="400" w:lineRule="exact"/>
              <w:ind w:left="115"/>
              <w:jc w:val="center"/>
              <w:rPr>
                <w:color w:val="auto"/>
                <w:szCs w:val="21"/>
                <w:highlight w:val="none"/>
              </w:rPr>
            </w:pPr>
            <w:r>
              <w:rPr>
                <w:rFonts w:hint="eastAsia"/>
                <w:color w:val="auto"/>
                <w:szCs w:val="21"/>
                <w:highlight w:val="none"/>
              </w:rPr>
              <w:t>技术职称</w:t>
            </w:r>
          </w:p>
        </w:tc>
        <w:tc>
          <w:tcPr>
            <w:tcW w:w="1422" w:type="dxa"/>
            <w:vAlign w:val="center"/>
          </w:tcPr>
          <w:p w14:paraId="6C2DA257">
            <w:pPr>
              <w:spacing w:line="400" w:lineRule="exact"/>
              <w:rPr>
                <w:rFonts w:ascii="宋体" w:hAnsi="宋体" w:cs="宋体"/>
                <w:color w:val="auto"/>
                <w:szCs w:val="21"/>
                <w:highlight w:val="none"/>
              </w:rPr>
            </w:pPr>
          </w:p>
        </w:tc>
        <w:tc>
          <w:tcPr>
            <w:tcW w:w="1138" w:type="dxa"/>
            <w:vAlign w:val="center"/>
          </w:tcPr>
          <w:p w14:paraId="4FDB5A2C">
            <w:pPr>
              <w:pStyle w:val="267"/>
              <w:spacing w:line="400" w:lineRule="exact"/>
              <w:jc w:val="center"/>
              <w:rPr>
                <w:color w:val="auto"/>
                <w:szCs w:val="21"/>
                <w:highlight w:val="none"/>
              </w:rPr>
            </w:pPr>
            <w:r>
              <w:rPr>
                <w:rFonts w:hint="eastAsia"/>
                <w:color w:val="auto"/>
                <w:szCs w:val="21"/>
                <w:highlight w:val="none"/>
              </w:rPr>
              <w:t>电话</w:t>
            </w:r>
          </w:p>
        </w:tc>
        <w:tc>
          <w:tcPr>
            <w:tcW w:w="683" w:type="dxa"/>
            <w:vAlign w:val="center"/>
          </w:tcPr>
          <w:p w14:paraId="69DE8B34">
            <w:pPr>
              <w:spacing w:line="400" w:lineRule="exact"/>
              <w:rPr>
                <w:rFonts w:ascii="宋体" w:hAnsi="宋体" w:cs="宋体"/>
                <w:color w:val="auto"/>
                <w:szCs w:val="21"/>
                <w:highlight w:val="none"/>
              </w:rPr>
            </w:pPr>
          </w:p>
        </w:tc>
      </w:tr>
      <w:tr w14:paraId="4D4A5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exact"/>
          <w:jc w:val="center"/>
        </w:trPr>
        <w:tc>
          <w:tcPr>
            <w:tcW w:w="2263" w:type="dxa"/>
            <w:tcBorders>
              <w:right w:val="single" w:color="auto" w:sz="4" w:space="0"/>
            </w:tcBorders>
            <w:vAlign w:val="center"/>
          </w:tcPr>
          <w:p w14:paraId="6FD267EC">
            <w:pPr>
              <w:pStyle w:val="267"/>
              <w:spacing w:line="400" w:lineRule="exact"/>
              <w:jc w:val="center"/>
              <w:rPr>
                <w:color w:val="auto"/>
                <w:szCs w:val="21"/>
                <w:highlight w:val="none"/>
              </w:rPr>
            </w:pPr>
            <w:r>
              <w:rPr>
                <w:rFonts w:hint="eastAsia"/>
                <w:color w:val="auto"/>
                <w:szCs w:val="21"/>
                <w:highlight w:val="none"/>
              </w:rPr>
              <w:t>技术负责人</w:t>
            </w:r>
          </w:p>
        </w:tc>
        <w:tc>
          <w:tcPr>
            <w:tcW w:w="827" w:type="dxa"/>
            <w:tcBorders>
              <w:left w:val="single" w:color="auto" w:sz="4" w:space="0"/>
            </w:tcBorders>
            <w:vAlign w:val="center"/>
          </w:tcPr>
          <w:p w14:paraId="65A3639E">
            <w:pPr>
              <w:pStyle w:val="267"/>
              <w:spacing w:line="400" w:lineRule="exact"/>
              <w:jc w:val="center"/>
              <w:rPr>
                <w:color w:val="auto"/>
                <w:szCs w:val="21"/>
                <w:highlight w:val="none"/>
              </w:rPr>
            </w:pPr>
            <w:r>
              <w:rPr>
                <w:rFonts w:hint="eastAsia"/>
                <w:color w:val="auto"/>
                <w:szCs w:val="21"/>
                <w:highlight w:val="none"/>
              </w:rPr>
              <w:t>姓名</w:t>
            </w:r>
          </w:p>
        </w:tc>
        <w:tc>
          <w:tcPr>
            <w:tcW w:w="1190" w:type="dxa"/>
            <w:vAlign w:val="center"/>
          </w:tcPr>
          <w:p w14:paraId="027FF879">
            <w:pPr>
              <w:spacing w:line="400" w:lineRule="exact"/>
              <w:rPr>
                <w:rFonts w:ascii="宋体" w:hAnsi="宋体" w:cs="宋体"/>
                <w:color w:val="auto"/>
                <w:szCs w:val="21"/>
                <w:highlight w:val="none"/>
              </w:rPr>
            </w:pPr>
          </w:p>
        </w:tc>
        <w:tc>
          <w:tcPr>
            <w:tcW w:w="1280" w:type="dxa"/>
            <w:vAlign w:val="center"/>
          </w:tcPr>
          <w:p w14:paraId="4061C703">
            <w:pPr>
              <w:pStyle w:val="267"/>
              <w:spacing w:line="400" w:lineRule="exact"/>
              <w:ind w:left="115"/>
              <w:jc w:val="center"/>
              <w:rPr>
                <w:color w:val="auto"/>
                <w:szCs w:val="21"/>
                <w:highlight w:val="none"/>
              </w:rPr>
            </w:pPr>
            <w:r>
              <w:rPr>
                <w:rFonts w:hint="eastAsia"/>
                <w:color w:val="auto"/>
                <w:szCs w:val="21"/>
                <w:highlight w:val="none"/>
              </w:rPr>
              <w:t>技术职称</w:t>
            </w:r>
          </w:p>
        </w:tc>
        <w:tc>
          <w:tcPr>
            <w:tcW w:w="1422" w:type="dxa"/>
            <w:vAlign w:val="center"/>
          </w:tcPr>
          <w:p w14:paraId="3C8AEA98">
            <w:pPr>
              <w:spacing w:line="400" w:lineRule="exact"/>
              <w:rPr>
                <w:rFonts w:ascii="宋体" w:hAnsi="宋体" w:cs="宋体"/>
                <w:color w:val="auto"/>
                <w:szCs w:val="21"/>
                <w:highlight w:val="none"/>
              </w:rPr>
            </w:pPr>
          </w:p>
        </w:tc>
        <w:tc>
          <w:tcPr>
            <w:tcW w:w="1138" w:type="dxa"/>
            <w:vAlign w:val="center"/>
          </w:tcPr>
          <w:p w14:paraId="3C843B4E">
            <w:pPr>
              <w:pStyle w:val="267"/>
              <w:spacing w:line="400" w:lineRule="exact"/>
              <w:jc w:val="center"/>
              <w:rPr>
                <w:color w:val="auto"/>
                <w:szCs w:val="21"/>
                <w:highlight w:val="none"/>
              </w:rPr>
            </w:pPr>
            <w:r>
              <w:rPr>
                <w:rFonts w:hint="eastAsia"/>
                <w:color w:val="auto"/>
                <w:szCs w:val="21"/>
                <w:highlight w:val="none"/>
              </w:rPr>
              <w:t>电话</w:t>
            </w:r>
          </w:p>
        </w:tc>
        <w:tc>
          <w:tcPr>
            <w:tcW w:w="683" w:type="dxa"/>
            <w:vAlign w:val="center"/>
          </w:tcPr>
          <w:p w14:paraId="40F4DD3D">
            <w:pPr>
              <w:spacing w:line="400" w:lineRule="exact"/>
              <w:rPr>
                <w:rFonts w:ascii="宋体" w:hAnsi="宋体" w:cs="宋体"/>
                <w:color w:val="auto"/>
                <w:szCs w:val="21"/>
                <w:highlight w:val="none"/>
              </w:rPr>
            </w:pPr>
          </w:p>
        </w:tc>
      </w:tr>
      <w:tr w14:paraId="44357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jc w:val="center"/>
        </w:trPr>
        <w:tc>
          <w:tcPr>
            <w:tcW w:w="2263" w:type="dxa"/>
            <w:tcBorders>
              <w:right w:val="single" w:color="auto" w:sz="4" w:space="0"/>
            </w:tcBorders>
            <w:vAlign w:val="center"/>
          </w:tcPr>
          <w:p w14:paraId="7E179397">
            <w:pPr>
              <w:pStyle w:val="267"/>
              <w:spacing w:line="400" w:lineRule="exact"/>
              <w:jc w:val="center"/>
              <w:rPr>
                <w:color w:val="auto"/>
                <w:szCs w:val="21"/>
                <w:highlight w:val="none"/>
              </w:rPr>
            </w:pPr>
            <w:r>
              <w:rPr>
                <w:rFonts w:hint="eastAsia"/>
                <w:color w:val="auto"/>
                <w:szCs w:val="21"/>
                <w:highlight w:val="none"/>
                <w:lang w:val="en-US" w:eastAsia="zh-CN"/>
              </w:rPr>
              <w:t>经营</w:t>
            </w:r>
            <w:r>
              <w:rPr>
                <w:rFonts w:hint="eastAsia"/>
                <w:color w:val="auto"/>
                <w:szCs w:val="21"/>
                <w:highlight w:val="none"/>
              </w:rPr>
              <w:t>范围或业务范围</w:t>
            </w:r>
          </w:p>
        </w:tc>
        <w:tc>
          <w:tcPr>
            <w:tcW w:w="6540" w:type="dxa"/>
            <w:gridSpan w:val="6"/>
            <w:tcBorders>
              <w:left w:val="single" w:color="auto" w:sz="4" w:space="0"/>
            </w:tcBorders>
            <w:vAlign w:val="center"/>
          </w:tcPr>
          <w:p w14:paraId="057B81C8">
            <w:pPr>
              <w:spacing w:line="400" w:lineRule="exact"/>
              <w:rPr>
                <w:rFonts w:ascii="宋体" w:hAnsi="宋体" w:cs="宋体"/>
                <w:color w:val="auto"/>
                <w:szCs w:val="21"/>
                <w:highlight w:val="none"/>
              </w:rPr>
            </w:pPr>
          </w:p>
        </w:tc>
      </w:tr>
      <w:tr w14:paraId="089A6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exact"/>
          <w:jc w:val="center"/>
        </w:trPr>
        <w:tc>
          <w:tcPr>
            <w:tcW w:w="2263" w:type="dxa"/>
            <w:tcBorders>
              <w:right w:val="single" w:color="auto" w:sz="4" w:space="0"/>
            </w:tcBorders>
            <w:vAlign w:val="center"/>
          </w:tcPr>
          <w:p w14:paraId="5FE3E023">
            <w:pPr>
              <w:pStyle w:val="267"/>
              <w:spacing w:line="400" w:lineRule="exact"/>
              <w:jc w:val="center"/>
              <w:rPr>
                <w:rFonts w:hint="eastAsia"/>
                <w:color w:val="auto"/>
                <w:szCs w:val="21"/>
                <w:highlight w:val="none"/>
              </w:rPr>
            </w:pPr>
            <w:r>
              <w:rPr>
                <w:rFonts w:hint="eastAsia"/>
                <w:color w:val="auto"/>
                <w:szCs w:val="21"/>
                <w:highlight w:val="none"/>
              </w:rPr>
              <w:t>营业执照或</w:t>
            </w:r>
          </w:p>
          <w:p w14:paraId="5BFE06A7">
            <w:pPr>
              <w:pStyle w:val="267"/>
              <w:spacing w:line="400" w:lineRule="exact"/>
              <w:jc w:val="center"/>
              <w:rPr>
                <w:color w:val="auto"/>
                <w:szCs w:val="21"/>
                <w:highlight w:val="none"/>
              </w:rPr>
            </w:pPr>
            <w:r>
              <w:rPr>
                <w:rFonts w:hint="eastAsia"/>
                <w:color w:val="auto"/>
                <w:szCs w:val="21"/>
                <w:highlight w:val="none"/>
              </w:rPr>
              <w:t>事业单位法人证书</w:t>
            </w:r>
          </w:p>
        </w:tc>
        <w:tc>
          <w:tcPr>
            <w:tcW w:w="6540" w:type="dxa"/>
            <w:gridSpan w:val="6"/>
            <w:tcBorders>
              <w:left w:val="single" w:color="auto" w:sz="4" w:space="0"/>
            </w:tcBorders>
            <w:vAlign w:val="center"/>
          </w:tcPr>
          <w:p w14:paraId="1AF61327">
            <w:pPr>
              <w:spacing w:line="400" w:lineRule="exact"/>
              <w:ind w:firstLine="105" w:firstLineChars="50"/>
              <w:jc w:val="left"/>
              <w:rPr>
                <w:rFonts w:ascii="宋体" w:hAnsi="宋体" w:cs="宋体"/>
                <w:color w:val="auto"/>
                <w:szCs w:val="21"/>
                <w:highlight w:val="none"/>
              </w:rPr>
            </w:pPr>
            <w:r>
              <w:rPr>
                <w:rFonts w:ascii="宋体" w:hAnsi="宋体" w:cs="宋体"/>
                <w:color w:val="auto"/>
                <w:szCs w:val="21"/>
                <w:highlight w:val="none"/>
              </w:rPr>
              <w:t xml:space="preserve">  附件1.1</w:t>
            </w:r>
          </w:p>
        </w:tc>
      </w:tr>
      <w:tr w14:paraId="5D5EE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1" w:hRule="exact"/>
          <w:jc w:val="center"/>
        </w:trPr>
        <w:tc>
          <w:tcPr>
            <w:tcW w:w="2263" w:type="dxa"/>
            <w:tcBorders>
              <w:right w:val="single" w:color="auto" w:sz="4" w:space="0"/>
            </w:tcBorders>
            <w:vAlign w:val="center"/>
          </w:tcPr>
          <w:p w14:paraId="1671AEFF">
            <w:pPr>
              <w:pStyle w:val="267"/>
              <w:spacing w:line="400" w:lineRule="exact"/>
              <w:jc w:val="center"/>
              <w:rPr>
                <w:color w:val="auto"/>
                <w:szCs w:val="21"/>
                <w:highlight w:val="none"/>
              </w:rPr>
            </w:pPr>
            <w:r>
              <w:rPr>
                <w:rFonts w:hint="eastAsia"/>
                <w:color w:val="auto"/>
                <w:szCs w:val="21"/>
                <w:highlight w:val="none"/>
              </w:rPr>
              <w:t>开户许可证</w:t>
            </w:r>
            <w:r>
              <w:rPr>
                <w:rFonts w:hint="eastAsia"/>
                <w:color w:val="auto"/>
                <w:szCs w:val="21"/>
                <w:highlight w:val="none"/>
                <w:lang w:eastAsia="zh-CN"/>
              </w:rPr>
              <w:t>（</w:t>
            </w:r>
            <w:r>
              <w:rPr>
                <w:rFonts w:hint="eastAsia"/>
                <w:color w:val="auto"/>
                <w:szCs w:val="21"/>
                <w:highlight w:val="none"/>
              </w:rPr>
              <w:t>基本账户</w:t>
            </w:r>
            <w:r>
              <w:rPr>
                <w:rFonts w:hint="eastAsia"/>
                <w:color w:val="auto"/>
                <w:szCs w:val="21"/>
                <w:highlight w:val="none"/>
                <w:lang w:val="en-US" w:eastAsia="zh-CN"/>
              </w:rPr>
              <w:t>或基本存款账户</w:t>
            </w:r>
            <w:r>
              <w:rPr>
                <w:rFonts w:hint="eastAsia"/>
                <w:color w:val="auto"/>
                <w:szCs w:val="21"/>
                <w:highlight w:val="none"/>
                <w:lang w:eastAsia="zh-CN"/>
              </w:rPr>
              <w:t>）</w:t>
            </w:r>
            <w:r>
              <w:rPr>
                <w:rFonts w:hint="eastAsia"/>
                <w:color w:val="auto"/>
                <w:szCs w:val="21"/>
                <w:highlight w:val="none"/>
              </w:rPr>
              <w:t>或基本存款账户信息表</w:t>
            </w:r>
          </w:p>
        </w:tc>
        <w:tc>
          <w:tcPr>
            <w:tcW w:w="6540" w:type="dxa"/>
            <w:gridSpan w:val="6"/>
            <w:tcBorders>
              <w:left w:val="single" w:color="auto" w:sz="4" w:space="0"/>
            </w:tcBorders>
            <w:vAlign w:val="center"/>
          </w:tcPr>
          <w:p w14:paraId="068C453E">
            <w:pPr>
              <w:spacing w:line="400" w:lineRule="exact"/>
              <w:ind w:firstLine="105" w:firstLineChars="50"/>
              <w:jc w:val="left"/>
              <w:rPr>
                <w:rFonts w:hint="eastAsia" w:ascii="宋体" w:hAnsi="宋体" w:cs="宋体"/>
                <w:color w:val="auto"/>
                <w:szCs w:val="21"/>
                <w:highlight w:val="none"/>
              </w:rPr>
            </w:pPr>
            <w:r>
              <w:rPr>
                <w:rFonts w:hint="eastAsia" w:ascii="宋体" w:hAnsi="宋体" w:cs="宋体"/>
                <w:color w:val="auto"/>
                <w:szCs w:val="21"/>
                <w:highlight w:val="none"/>
              </w:rPr>
              <w:t xml:space="preserve">  附件1.2</w:t>
            </w:r>
          </w:p>
        </w:tc>
      </w:tr>
      <w:tr w14:paraId="2448D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exact"/>
          <w:jc w:val="center"/>
        </w:trPr>
        <w:tc>
          <w:tcPr>
            <w:tcW w:w="2263" w:type="dxa"/>
            <w:tcBorders>
              <w:right w:val="single" w:color="auto" w:sz="4" w:space="0"/>
            </w:tcBorders>
            <w:vAlign w:val="center"/>
          </w:tcPr>
          <w:p w14:paraId="346E307D">
            <w:pPr>
              <w:pStyle w:val="267"/>
              <w:spacing w:line="400" w:lineRule="exact"/>
              <w:jc w:val="center"/>
              <w:rPr>
                <w:color w:val="auto"/>
                <w:szCs w:val="21"/>
                <w:highlight w:val="none"/>
              </w:rPr>
            </w:pPr>
            <w:r>
              <w:rPr>
                <w:rFonts w:hint="eastAsia"/>
                <w:color w:val="auto"/>
                <w:szCs w:val="21"/>
                <w:highlight w:val="none"/>
              </w:rPr>
              <w:t>试验检测</w:t>
            </w:r>
            <w:bookmarkStart w:id="746" w:name="_Toc523921865"/>
            <w:bookmarkStart w:id="747" w:name="_Toc28187743"/>
            <w:r>
              <w:rPr>
                <w:rFonts w:hint="eastAsia"/>
                <w:color w:val="auto"/>
                <w:szCs w:val="21"/>
                <w:highlight w:val="none"/>
              </w:rPr>
              <w:t>机构</w:t>
            </w:r>
          </w:p>
          <w:p w14:paraId="0EB229EC">
            <w:pPr>
              <w:spacing w:line="400" w:lineRule="exact"/>
              <w:jc w:val="center"/>
              <w:rPr>
                <w:rFonts w:ascii="宋体" w:hAnsi="宋体" w:cs="宋体"/>
                <w:color w:val="auto"/>
                <w:szCs w:val="21"/>
                <w:highlight w:val="none"/>
              </w:rPr>
            </w:pPr>
            <w:r>
              <w:rPr>
                <w:rFonts w:hint="eastAsia"/>
                <w:color w:val="auto"/>
                <w:szCs w:val="21"/>
                <w:highlight w:val="none"/>
              </w:rPr>
              <w:t>等级证书</w:t>
            </w:r>
            <w:bookmarkEnd w:id="746"/>
            <w:bookmarkEnd w:id="747"/>
            <w:r>
              <w:rPr>
                <w:rStyle w:val="58"/>
                <w:rFonts w:hint="eastAsia" w:ascii="宋体" w:hAnsi="宋体" w:cs="宋体"/>
                <w:color w:val="auto"/>
                <w:szCs w:val="21"/>
                <w:highlight w:val="none"/>
              </w:rPr>
              <w:footnoteReference w:id="136"/>
            </w:r>
          </w:p>
        </w:tc>
        <w:tc>
          <w:tcPr>
            <w:tcW w:w="6540" w:type="dxa"/>
            <w:gridSpan w:val="6"/>
            <w:tcBorders>
              <w:left w:val="single" w:color="auto" w:sz="4" w:space="0"/>
            </w:tcBorders>
            <w:vAlign w:val="center"/>
          </w:tcPr>
          <w:p w14:paraId="5C336DBD">
            <w:pPr>
              <w:spacing w:line="400" w:lineRule="exact"/>
              <w:ind w:firstLine="105" w:firstLineChars="50"/>
              <w:rPr>
                <w:rFonts w:ascii="宋体" w:hAnsi="宋体" w:cs="宋体"/>
                <w:color w:val="auto"/>
                <w:szCs w:val="21"/>
                <w:highlight w:val="none"/>
              </w:rPr>
            </w:pPr>
            <w:r>
              <w:rPr>
                <w:rFonts w:ascii="宋体" w:hAnsi="宋体" w:cs="宋体"/>
                <w:color w:val="auto"/>
                <w:szCs w:val="21"/>
                <w:highlight w:val="none"/>
              </w:rPr>
              <w:t xml:space="preserve">  附件1.3</w:t>
            </w:r>
          </w:p>
        </w:tc>
      </w:tr>
      <w:tr w14:paraId="22D30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exact"/>
          <w:jc w:val="center"/>
        </w:trPr>
        <w:tc>
          <w:tcPr>
            <w:tcW w:w="2263" w:type="dxa"/>
            <w:vAlign w:val="center"/>
          </w:tcPr>
          <w:p w14:paraId="6B7D4887">
            <w:pPr>
              <w:pStyle w:val="267"/>
              <w:spacing w:line="400" w:lineRule="exact"/>
              <w:jc w:val="center"/>
              <w:rPr>
                <w:color w:val="auto"/>
                <w:szCs w:val="21"/>
                <w:highlight w:val="none"/>
              </w:rPr>
            </w:pPr>
            <w:r>
              <w:rPr>
                <w:rFonts w:hint="eastAsia"/>
                <w:color w:val="auto"/>
                <w:szCs w:val="21"/>
                <w:highlight w:val="none"/>
              </w:rPr>
              <w:t>检验检测机构</w:t>
            </w:r>
          </w:p>
          <w:p w14:paraId="7036AD91">
            <w:pPr>
              <w:pStyle w:val="267"/>
              <w:spacing w:line="400" w:lineRule="exact"/>
              <w:jc w:val="center"/>
              <w:rPr>
                <w:color w:val="auto"/>
                <w:szCs w:val="21"/>
                <w:highlight w:val="none"/>
              </w:rPr>
            </w:pPr>
            <w:r>
              <w:rPr>
                <w:rFonts w:hint="eastAsia"/>
                <w:color w:val="auto"/>
                <w:szCs w:val="21"/>
                <w:highlight w:val="none"/>
              </w:rPr>
              <w:t>资质认定证书</w:t>
            </w:r>
          </w:p>
        </w:tc>
        <w:tc>
          <w:tcPr>
            <w:tcW w:w="6540" w:type="dxa"/>
            <w:gridSpan w:val="6"/>
            <w:tcBorders>
              <w:top w:val="single" w:color="auto" w:sz="4" w:space="0"/>
              <w:bottom w:val="single" w:color="auto" w:sz="4" w:space="0"/>
            </w:tcBorders>
            <w:vAlign w:val="center"/>
          </w:tcPr>
          <w:p w14:paraId="3E5F4D11">
            <w:pPr>
              <w:spacing w:line="400" w:lineRule="exact"/>
              <w:ind w:firstLine="105" w:firstLineChars="50"/>
              <w:jc w:val="left"/>
              <w:rPr>
                <w:rFonts w:ascii="宋体" w:hAnsi="宋体" w:cs="宋体"/>
                <w:color w:val="auto"/>
                <w:szCs w:val="21"/>
                <w:highlight w:val="none"/>
              </w:rPr>
            </w:pPr>
            <w:r>
              <w:rPr>
                <w:rFonts w:ascii="宋体" w:hAnsi="宋体" w:cs="宋体"/>
                <w:color w:val="auto"/>
                <w:szCs w:val="21"/>
                <w:highlight w:val="none"/>
              </w:rPr>
              <w:t xml:space="preserve">  附件1.4</w:t>
            </w:r>
          </w:p>
        </w:tc>
      </w:tr>
      <w:tr w14:paraId="0FF2C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exact"/>
          <w:jc w:val="center"/>
        </w:trPr>
        <w:tc>
          <w:tcPr>
            <w:tcW w:w="2263" w:type="dxa"/>
            <w:vAlign w:val="center"/>
          </w:tcPr>
          <w:p w14:paraId="3D9CC021">
            <w:pPr>
              <w:pStyle w:val="267"/>
              <w:spacing w:line="400" w:lineRule="exact"/>
              <w:ind w:left="109" w:right="89"/>
              <w:jc w:val="center"/>
              <w:rPr>
                <w:color w:val="auto"/>
                <w:szCs w:val="21"/>
                <w:highlight w:val="none"/>
              </w:rPr>
            </w:pPr>
            <w:r>
              <w:rPr>
                <w:rFonts w:hint="eastAsia"/>
                <w:color w:val="auto"/>
                <w:szCs w:val="21"/>
                <w:highlight w:val="none"/>
              </w:rPr>
              <w:t>投标人关联企业情况</w:t>
            </w:r>
          </w:p>
        </w:tc>
        <w:tc>
          <w:tcPr>
            <w:tcW w:w="6540" w:type="dxa"/>
            <w:gridSpan w:val="6"/>
            <w:tcBorders>
              <w:top w:val="single" w:color="auto" w:sz="4" w:space="0"/>
              <w:bottom w:val="single" w:color="auto" w:sz="4" w:space="0"/>
            </w:tcBorders>
            <w:vAlign w:val="center"/>
          </w:tcPr>
          <w:p w14:paraId="7F2A9FEE">
            <w:pPr>
              <w:pStyle w:val="267"/>
              <w:spacing w:line="400" w:lineRule="exact"/>
              <w:rPr>
                <w:color w:val="auto"/>
                <w:szCs w:val="21"/>
                <w:highlight w:val="none"/>
              </w:rPr>
            </w:pPr>
            <w:r>
              <w:rPr>
                <w:color w:val="auto"/>
                <w:szCs w:val="21"/>
                <w:highlight w:val="none"/>
              </w:rPr>
              <w:t xml:space="preserve">   </w:t>
            </w:r>
            <w:r>
              <w:rPr>
                <w:rFonts w:hint="eastAsia"/>
                <w:color w:val="auto"/>
                <w:szCs w:val="21"/>
                <w:highlight w:val="none"/>
              </w:rPr>
              <w:t>附件</w:t>
            </w:r>
            <w:r>
              <w:rPr>
                <w:color w:val="auto"/>
                <w:szCs w:val="21"/>
                <w:highlight w:val="none"/>
              </w:rPr>
              <w:t>1.5</w:t>
            </w:r>
          </w:p>
        </w:tc>
      </w:tr>
      <w:tr w14:paraId="69D9C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exact"/>
          <w:jc w:val="center"/>
        </w:trPr>
        <w:tc>
          <w:tcPr>
            <w:tcW w:w="2263" w:type="dxa"/>
            <w:vAlign w:val="center"/>
          </w:tcPr>
          <w:p w14:paraId="6F7F6A6F">
            <w:pPr>
              <w:pStyle w:val="267"/>
              <w:spacing w:line="400" w:lineRule="exact"/>
              <w:ind w:left="719" w:right="719"/>
              <w:jc w:val="center"/>
              <w:rPr>
                <w:color w:val="auto"/>
                <w:szCs w:val="21"/>
                <w:highlight w:val="none"/>
              </w:rPr>
            </w:pPr>
            <w:r>
              <w:rPr>
                <w:rFonts w:hint="eastAsia"/>
                <w:color w:val="auto"/>
                <w:szCs w:val="21"/>
                <w:highlight w:val="none"/>
              </w:rPr>
              <w:t>备注</w:t>
            </w:r>
          </w:p>
        </w:tc>
        <w:tc>
          <w:tcPr>
            <w:tcW w:w="6540" w:type="dxa"/>
            <w:gridSpan w:val="6"/>
            <w:vAlign w:val="center"/>
          </w:tcPr>
          <w:p w14:paraId="4374C07B">
            <w:pPr>
              <w:spacing w:line="400" w:lineRule="exact"/>
              <w:rPr>
                <w:rFonts w:ascii="宋体" w:hAnsi="宋体" w:cs="宋体"/>
                <w:color w:val="auto"/>
                <w:szCs w:val="21"/>
                <w:highlight w:val="none"/>
              </w:rPr>
            </w:pPr>
          </w:p>
        </w:tc>
      </w:tr>
    </w:tbl>
    <w:p w14:paraId="10DBA13F">
      <w:pPr>
        <w:pStyle w:val="276"/>
        <w:adjustRightInd/>
        <w:snapToGrid/>
        <w:spacing w:line="360" w:lineRule="auto"/>
        <w:ind w:left="630" w:hanging="630" w:hangingChars="300"/>
        <w:jc w:val="left"/>
      </w:pPr>
      <w:r>
        <w:rPr>
          <w:rFonts w:hint="eastAsia"/>
        </w:rPr>
        <w:t>注：</w:t>
      </w:r>
      <w:r>
        <w:rPr>
          <w:rFonts w:hint="eastAsia"/>
          <w:lang w:val="en-US" w:eastAsia="zh-CN"/>
        </w:rPr>
        <w:t xml:space="preserve">1. </w:t>
      </w:r>
      <w:r>
        <w:t>投标人</w:t>
      </w:r>
      <w:r>
        <w:rPr>
          <w:rFonts w:hint="eastAsia"/>
          <w:lang w:val="en-US" w:eastAsia="zh-CN"/>
        </w:rPr>
        <w:t>应</w:t>
      </w:r>
      <w:r>
        <w:t>在</w:t>
      </w:r>
      <w:r>
        <w:rPr>
          <w:rFonts w:hint="eastAsia"/>
          <w:lang w:val="en-US" w:eastAsia="zh-CN"/>
        </w:rPr>
        <w:t>本</w:t>
      </w:r>
      <w:r>
        <w:t>表后按附件顺序</w:t>
      </w:r>
      <w:r>
        <w:rPr>
          <w:rFonts w:hint="eastAsia"/>
          <w:lang w:val="en-US" w:eastAsia="zh-CN"/>
        </w:rPr>
        <w:t>提供</w:t>
      </w:r>
      <w:r>
        <w:t>企业法人营业执照</w:t>
      </w:r>
      <w:r>
        <w:rPr>
          <w:rFonts w:hint="eastAsia"/>
        </w:rPr>
        <w:t>或事业单位法人证书（附件</w:t>
      </w:r>
      <w:r>
        <w:t>1.1）、开户许可证</w:t>
      </w:r>
      <w:r>
        <w:rPr>
          <w:rFonts w:hint="eastAsia"/>
          <w:lang w:eastAsia="zh-CN"/>
        </w:rPr>
        <w:t>（</w:t>
      </w:r>
      <w:r>
        <w:t>基本账户</w:t>
      </w:r>
      <w:r>
        <w:rPr>
          <w:rFonts w:hint="eastAsia"/>
          <w:lang w:val="en-US" w:eastAsia="zh-CN"/>
        </w:rPr>
        <w:t>或基本存款账户</w:t>
      </w:r>
      <w:r>
        <w:rPr>
          <w:rFonts w:hint="eastAsia"/>
          <w:lang w:eastAsia="zh-CN"/>
        </w:rPr>
        <w:t>）</w:t>
      </w:r>
      <w:r>
        <w:t>或基本</w:t>
      </w:r>
      <w:r>
        <w:rPr>
          <w:rFonts w:hint="eastAsia"/>
        </w:rPr>
        <w:t>存款账户信息表（附件</w:t>
      </w:r>
      <w:r>
        <w:t>1.2）、</w:t>
      </w:r>
      <w:r>
        <w:rPr>
          <w:rFonts w:hint="eastAsia"/>
        </w:rPr>
        <w:t>试验检测机构等级证书副本（附件</w:t>
      </w:r>
      <w:r>
        <w:t>1.3）、</w:t>
      </w:r>
      <w:r>
        <w:rPr>
          <w:rFonts w:hint="eastAsia"/>
        </w:rPr>
        <w:t>检验检测机构资质认定证书（附件</w:t>
      </w:r>
      <w:r>
        <w:t>1.4）</w:t>
      </w:r>
      <w:r>
        <w:rPr>
          <w:rFonts w:hint="eastAsia"/>
        </w:rPr>
        <w:t>、投标人在国家企业信用信息公示系统中基础信息（体现股东及出资详细信息</w:t>
      </w:r>
      <w:r>
        <w:t xml:space="preserve"> </w:t>
      </w:r>
      <w:r>
        <w:rPr>
          <w:rFonts w:hint="eastAsia"/>
        </w:rPr>
        <w:t>）的网页截图或</w:t>
      </w:r>
      <w:r>
        <w:rPr>
          <w:rFonts w:hint="eastAsia"/>
          <w:lang w:val="en-US" w:eastAsia="zh-CN"/>
        </w:rPr>
        <w:t>经登记机关备案的公司章程（体现股东及出资详细信息）</w:t>
      </w:r>
      <w:r>
        <w:rPr>
          <w:rFonts w:hint="eastAsia"/>
        </w:rPr>
        <w:t>（</w:t>
      </w:r>
      <w:r>
        <w:rPr>
          <w:rFonts w:hint="eastAsia"/>
          <w:lang w:val="en-US" w:eastAsia="zh-CN"/>
        </w:rPr>
        <w:t>附件</w:t>
      </w:r>
      <w:r>
        <w:t>1.5</w:t>
      </w:r>
      <w:r>
        <w:rPr>
          <w:rFonts w:hint="eastAsia"/>
        </w:rPr>
        <w:t>）</w:t>
      </w:r>
      <w:r>
        <w:rPr>
          <w:rFonts w:hint="eastAsia"/>
          <w:lang w:eastAsia="zh-CN"/>
        </w:rPr>
        <w:t>，</w:t>
      </w:r>
      <w:r>
        <w:rPr>
          <w:rFonts w:hint="eastAsia"/>
          <w:lang w:val="en-US" w:eastAsia="zh-CN"/>
        </w:rPr>
        <w:t>除网页截图外的证明材料附件为</w:t>
      </w:r>
      <w:r>
        <w:rPr>
          <w:rFonts w:hint="eastAsia"/>
        </w:rPr>
        <w:t>原件原色扫描件。</w:t>
      </w:r>
    </w:p>
    <w:p w14:paraId="00936508">
      <w:pPr>
        <w:pStyle w:val="276"/>
        <w:numPr>
          <w:ilvl w:val="0"/>
          <w:numId w:val="0"/>
        </w:numPr>
        <w:spacing w:line="360" w:lineRule="auto"/>
        <w:ind w:left="630" w:leftChars="200" w:hanging="210" w:hangingChars="100"/>
        <w:rPr>
          <w:rFonts w:hint="default" w:ascii="Calibri" w:hAnsi="Calibri" w:eastAsia="宋体" w:cs="Times New Roman"/>
          <w:b w:val="0"/>
          <w:bCs w:val="0"/>
          <w:kern w:val="2"/>
          <w:sz w:val="21"/>
          <w:szCs w:val="24"/>
        </w:rPr>
        <w:sectPr>
          <w:footnotePr>
            <w:numFmt w:val="decimalEnclosedCircleChinese"/>
            <w:numRestart w:val="eachPage"/>
          </w:footnotePr>
          <w:pgSz w:w="11907" w:h="16839"/>
          <w:pgMar w:top="1418" w:right="1418" w:bottom="1701" w:left="1701" w:header="720" w:footer="720" w:gutter="0"/>
          <w:cols w:space="720" w:num="1"/>
          <w:docGrid w:linePitch="286" w:charSpace="0"/>
        </w:sectPr>
      </w:pPr>
      <w:bookmarkStart w:id="748" w:name="_Toc74760936"/>
      <w:r>
        <w:rPr>
          <w:rFonts w:hint="eastAsia" w:cs="Times New Roman"/>
          <w:b w:val="0"/>
          <w:bCs w:val="0"/>
          <w:kern w:val="2"/>
          <w:sz w:val="21"/>
          <w:szCs w:val="24"/>
          <w:lang w:val="en-US" w:eastAsia="zh-CN"/>
        </w:rPr>
        <w:t xml:space="preserve">2. </w:t>
      </w:r>
      <w:r>
        <w:rPr>
          <w:rFonts w:hint="default" w:ascii="Calibri" w:hAnsi="Calibri" w:eastAsia="宋体" w:cs="Times New Roman"/>
          <w:b w:val="0"/>
          <w:bCs w:val="0"/>
          <w:kern w:val="2"/>
          <w:sz w:val="21"/>
          <w:szCs w:val="24"/>
        </w:rPr>
        <w:t>允许联合体投标时，</w:t>
      </w:r>
      <w:r>
        <w:rPr>
          <w:rFonts w:hint="default" w:ascii="Calibri" w:hAnsi="Calibri" w:eastAsia="宋体" w:cs="Times New Roman"/>
          <w:b w:val="0"/>
          <w:bCs w:val="0"/>
          <w:kern w:val="2"/>
          <w:sz w:val="21"/>
          <w:szCs w:val="24"/>
          <w:lang w:val="en-US" w:eastAsia="zh-CN"/>
        </w:rPr>
        <w:t>若以</w:t>
      </w:r>
      <w:r>
        <w:rPr>
          <w:rFonts w:hint="default" w:ascii="Calibri" w:hAnsi="Calibri" w:eastAsia="宋体" w:cs="Times New Roman"/>
          <w:b w:val="0"/>
          <w:bCs w:val="0"/>
          <w:kern w:val="2"/>
          <w:sz w:val="21"/>
          <w:szCs w:val="24"/>
        </w:rPr>
        <w:t>联合体形式投标的，联合体各成员应</w:t>
      </w:r>
      <w:r>
        <w:rPr>
          <w:rFonts w:hint="default" w:ascii="Calibri" w:hAnsi="Calibri" w:eastAsia="宋体" w:cs="Times New Roman"/>
          <w:b w:val="0"/>
          <w:bCs w:val="0"/>
          <w:kern w:val="2"/>
          <w:sz w:val="21"/>
          <w:szCs w:val="24"/>
          <w:lang w:val="en-US" w:eastAsia="zh-CN"/>
        </w:rPr>
        <w:t>分别填写本表</w:t>
      </w:r>
      <w:r>
        <w:rPr>
          <w:rFonts w:hint="default" w:ascii="Calibri" w:hAnsi="Calibri" w:eastAsia="宋体" w:cs="Times New Roman"/>
          <w:b w:val="0"/>
          <w:bCs w:val="0"/>
          <w:kern w:val="2"/>
          <w:sz w:val="21"/>
          <w:szCs w:val="24"/>
        </w:rPr>
        <w:t>，且均应提供资格审查条件要求的上述相应资料。</w:t>
      </w:r>
      <w:bookmarkEnd w:id="748"/>
    </w:p>
    <w:p w14:paraId="5EB4D491">
      <w:pPr>
        <w:pStyle w:val="276"/>
        <w:numPr>
          <w:ilvl w:val="0"/>
          <w:numId w:val="0"/>
        </w:numPr>
        <w:spacing w:line="360" w:lineRule="auto"/>
        <w:ind w:left="0" w:leftChars="0" w:firstLine="0" w:firstLineChars="0"/>
        <w:jc w:val="center"/>
        <w:outlineLvl w:val="2"/>
        <w:rPr>
          <w:rFonts w:hint="eastAsia" w:eastAsia="黑体"/>
          <w:b w:val="0"/>
          <w:bCs w:val="0"/>
          <w:kern w:val="0"/>
          <w:sz w:val="28"/>
          <w:szCs w:val="32"/>
        </w:rPr>
      </w:pPr>
      <w:bookmarkStart w:id="749" w:name="_Toc74760937"/>
      <w:r>
        <w:rPr>
          <w:rFonts w:hint="eastAsia" w:eastAsia="黑体"/>
          <w:b w:val="0"/>
          <w:bCs w:val="0"/>
          <w:kern w:val="0"/>
          <w:sz w:val="28"/>
          <w:szCs w:val="32"/>
        </w:rPr>
        <w:t>（二）近年完成的类似项目情况表</w:t>
      </w:r>
      <w:bookmarkEnd w:id="749"/>
      <w:r>
        <w:rPr>
          <w:rFonts w:hint="eastAsia" w:ascii="Calibri" w:hAnsi="Calibri" w:eastAsia="黑体" w:cs="Times New Roman"/>
          <w:b w:val="0"/>
          <w:bCs w:val="0"/>
          <w:kern w:val="0"/>
          <w:sz w:val="28"/>
          <w:szCs w:val="32"/>
          <w:vertAlign w:val="superscript"/>
        </w:rPr>
        <w:footnoteReference w:id="137"/>
      </w:r>
    </w:p>
    <w:p w14:paraId="2EDF8392">
      <w:pPr>
        <w:pStyle w:val="276"/>
        <w:spacing w:line="360" w:lineRule="auto"/>
        <w:jc w:val="center"/>
        <w:rPr>
          <w:rFonts w:ascii="黑体" w:hAnsi="黑体" w:eastAsia="黑体" w:cs="宋体"/>
          <w:color w:val="auto"/>
          <w:sz w:val="24"/>
          <w:highlight w:val="none"/>
        </w:rPr>
      </w:pPr>
      <w:r>
        <w:rPr>
          <w:rFonts w:ascii="黑体" w:hAnsi="黑体" w:eastAsia="黑体" w:cs="宋体"/>
          <w:color w:val="auto"/>
          <w:sz w:val="24"/>
          <w:highlight w:val="none"/>
        </w:rPr>
        <w:t xml:space="preserve">                           </w:t>
      </w:r>
      <w:r>
        <w:rPr>
          <w:rFonts w:hint="eastAsia" w:ascii="黑体" w:hAnsi="黑体" w:eastAsia="黑体" w:cs="宋体"/>
          <w:b/>
          <w:color w:val="auto"/>
          <w:sz w:val="24"/>
          <w:highlight w:val="none"/>
        </w:rPr>
        <w:t>□</w:t>
      </w:r>
      <w:r>
        <w:rPr>
          <w:rFonts w:ascii="黑体" w:hAnsi="黑体" w:eastAsia="黑体" w:cs="宋体"/>
          <w:color w:val="auto"/>
          <w:sz w:val="24"/>
          <w:highlight w:val="none"/>
        </w:rPr>
        <w:t xml:space="preserve"> 近</w:t>
      </w:r>
      <w:r>
        <w:rPr>
          <w:rFonts w:hint="eastAsia" w:ascii="黑体" w:hAnsi="黑体" w:eastAsia="黑体" w:cs="宋体"/>
          <w:color w:val="auto"/>
          <w:sz w:val="24"/>
          <w:highlight w:val="none"/>
        </w:rPr>
        <w:t>年完成的公路路基土建工程监理试验室情况</w:t>
      </w:r>
      <w:r>
        <w:rPr>
          <w:rFonts w:hint="eastAsia" w:ascii="黑体" w:hAnsi="黑体" w:eastAsia="黑体" w:cs="宋体"/>
          <w:color w:val="auto"/>
          <w:sz w:val="24"/>
          <w:highlight w:val="none"/>
          <w:lang w:val="en-US" w:eastAsia="zh-CN"/>
        </w:rPr>
        <w:t>表</w:t>
      </w:r>
      <w:r>
        <w:rPr>
          <w:rFonts w:ascii="黑体" w:hAnsi="黑体" w:eastAsia="黑体" w:cs="宋体"/>
          <w:color w:val="auto"/>
          <w:sz w:val="24"/>
          <w:highlight w:val="none"/>
        </w:rPr>
        <w:t xml:space="preserve">                        表</w:t>
      </w:r>
      <w:r>
        <w:rPr>
          <w:rFonts w:hint="eastAsia" w:ascii="黑体" w:hAnsi="黑体" w:eastAsia="黑体" w:cs="宋体"/>
          <w:color w:val="auto"/>
          <w:sz w:val="24"/>
          <w:highlight w:val="none"/>
          <w:lang w:val="en-US" w:eastAsia="zh-CN"/>
        </w:rPr>
        <w:t>2.</w:t>
      </w:r>
      <w:r>
        <w:rPr>
          <w:rFonts w:ascii="黑体" w:hAnsi="黑体" w:eastAsia="黑体" w:cs="宋体"/>
          <w:color w:val="auto"/>
          <w:sz w:val="24"/>
          <w:highlight w:val="none"/>
        </w:rPr>
        <w:t>1</w:t>
      </w:r>
    </w:p>
    <w:tbl>
      <w:tblPr>
        <w:tblStyle w:val="48"/>
        <w:tblW w:w="137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7"/>
        <w:gridCol w:w="1011"/>
        <w:gridCol w:w="1594"/>
        <w:gridCol w:w="744"/>
        <w:gridCol w:w="1165"/>
        <w:gridCol w:w="846"/>
        <w:gridCol w:w="578"/>
        <w:gridCol w:w="982"/>
        <w:gridCol w:w="774"/>
        <w:gridCol w:w="903"/>
        <w:gridCol w:w="992"/>
        <w:gridCol w:w="946"/>
        <w:gridCol w:w="905"/>
        <w:gridCol w:w="941"/>
        <w:gridCol w:w="888"/>
      </w:tblGrid>
      <w:tr w14:paraId="6C13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87" w:type="dxa"/>
            <w:vAlign w:val="center"/>
          </w:tcPr>
          <w:p w14:paraId="21223E57">
            <w:pPr>
              <w:pStyle w:val="276"/>
              <w:jc w:val="center"/>
              <w:rPr>
                <w:rFonts w:ascii="宋体" w:hAnsi="宋体" w:cs="宋体"/>
                <w:color w:val="auto"/>
                <w:highlight w:val="none"/>
              </w:rPr>
            </w:pPr>
            <w:r>
              <w:rPr>
                <w:rFonts w:hint="eastAsia" w:ascii="宋体" w:hAnsi="宋体" w:cs="宋体"/>
                <w:color w:val="auto"/>
                <w:highlight w:val="none"/>
              </w:rPr>
              <w:t>序号</w:t>
            </w:r>
          </w:p>
        </w:tc>
        <w:tc>
          <w:tcPr>
            <w:tcW w:w="1011" w:type="dxa"/>
            <w:tcMar>
              <w:top w:w="0" w:type="dxa"/>
              <w:left w:w="108" w:type="dxa"/>
              <w:bottom w:w="0" w:type="dxa"/>
              <w:right w:w="108" w:type="dxa"/>
            </w:tcMar>
            <w:vAlign w:val="center"/>
          </w:tcPr>
          <w:p w14:paraId="38D05A6F">
            <w:pPr>
              <w:pStyle w:val="276"/>
              <w:jc w:val="center"/>
              <w:rPr>
                <w:rFonts w:ascii="宋体" w:hAnsi="宋体" w:cs="宋体"/>
                <w:color w:val="auto"/>
                <w:highlight w:val="none"/>
              </w:rPr>
            </w:pPr>
            <w:r>
              <w:rPr>
                <w:rFonts w:hint="eastAsia" w:ascii="宋体" w:hAnsi="宋体" w:cs="宋体"/>
                <w:color w:val="auto"/>
                <w:highlight w:val="none"/>
              </w:rPr>
              <w:t>项目</w:t>
            </w:r>
          </w:p>
          <w:p w14:paraId="5A934764">
            <w:pPr>
              <w:pStyle w:val="276"/>
              <w:jc w:val="center"/>
              <w:rPr>
                <w:rFonts w:ascii="宋体" w:hAnsi="宋体" w:cs="宋体"/>
                <w:color w:val="auto"/>
                <w:highlight w:val="none"/>
              </w:rPr>
            </w:pPr>
            <w:r>
              <w:rPr>
                <w:rFonts w:hint="eastAsia" w:ascii="宋体" w:hAnsi="宋体" w:cs="宋体"/>
                <w:color w:val="auto"/>
                <w:highlight w:val="none"/>
              </w:rPr>
              <w:t>业主</w:t>
            </w:r>
          </w:p>
        </w:tc>
        <w:tc>
          <w:tcPr>
            <w:tcW w:w="1594" w:type="dxa"/>
            <w:tcMar>
              <w:top w:w="0" w:type="dxa"/>
              <w:left w:w="108" w:type="dxa"/>
              <w:bottom w:w="0" w:type="dxa"/>
              <w:right w:w="108" w:type="dxa"/>
            </w:tcMar>
            <w:vAlign w:val="center"/>
          </w:tcPr>
          <w:p w14:paraId="199EC175">
            <w:pPr>
              <w:pStyle w:val="276"/>
              <w:jc w:val="center"/>
              <w:rPr>
                <w:rFonts w:ascii="宋体" w:hAnsi="宋体" w:cs="宋体"/>
                <w:color w:val="auto"/>
                <w:highlight w:val="none"/>
              </w:rPr>
            </w:pPr>
            <w:r>
              <w:rPr>
                <w:rFonts w:hint="eastAsia" w:ascii="宋体" w:hAnsi="宋体" w:cs="宋体"/>
                <w:color w:val="auto"/>
                <w:highlight w:val="none"/>
              </w:rPr>
              <w:t>项目名称</w:t>
            </w:r>
          </w:p>
        </w:tc>
        <w:tc>
          <w:tcPr>
            <w:tcW w:w="744" w:type="dxa"/>
            <w:vAlign w:val="center"/>
          </w:tcPr>
          <w:p w14:paraId="21EE6CF3">
            <w:pPr>
              <w:pStyle w:val="276"/>
              <w:jc w:val="center"/>
              <w:rPr>
                <w:rFonts w:ascii="宋体" w:hAnsi="宋体" w:cs="宋体"/>
                <w:color w:val="auto"/>
                <w:highlight w:val="none"/>
              </w:rPr>
            </w:pPr>
            <w:r>
              <w:rPr>
                <w:rFonts w:hint="eastAsia" w:ascii="宋体" w:hAnsi="宋体" w:cs="宋体"/>
                <w:color w:val="auto"/>
                <w:highlight w:val="none"/>
              </w:rPr>
              <w:t>公路</w:t>
            </w:r>
          </w:p>
          <w:p w14:paraId="4264AE67">
            <w:pPr>
              <w:pStyle w:val="276"/>
              <w:jc w:val="center"/>
              <w:rPr>
                <w:rFonts w:ascii="宋体" w:hAnsi="宋体" w:cs="宋体"/>
                <w:color w:val="auto"/>
                <w:highlight w:val="none"/>
              </w:rPr>
            </w:pPr>
            <w:r>
              <w:rPr>
                <w:rFonts w:hint="eastAsia" w:ascii="宋体" w:hAnsi="宋体" w:cs="宋体"/>
                <w:color w:val="auto"/>
                <w:highlight w:val="none"/>
              </w:rPr>
              <w:t>等级</w:t>
            </w:r>
          </w:p>
        </w:tc>
        <w:tc>
          <w:tcPr>
            <w:tcW w:w="1165" w:type="dxa"/>
            <w:tcMar>
              <w:top w:w="0" w:type="dxa"/>
              <w:left w:w="108" w:type="dxa"/>
              <w:bottom w:w="0" w:type="dxa"/>
              <w:right w:w="108" w:type="dxa"/>
            </w:tcMar>
            <w:vAlign w:val="center"/>
          </w:tcPr>
          <w:p w14:paraId="41C2B76F">
            <w:pPr>
              <w:pStyle w:val="276"/>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项目建设形式</w:t>
            </w:r>
          </w:p>
        </w:tc>
        <w:tc>
          <w:tcPr>
            <w:tcW w:w="846" w:type="dxa"/>
            <w:tcMar>
              <w:top w:w="0" w:type="dxa"/>
              <w:left w:w="108" w:type="dxa"/>
              <w:bottom w:w="0" w:type="dxa"/>
              <w:right w:w="108" w:type="dxa"/>
            </w:tcMar>
            <w:vAlign w:val="center"/>
          </w:tcPr>
          <w:p w14:paraId="4EFED091">
            <w:pPr>
              <w:pStyle w:val="276"/>
              <w:jc w:val="center"/>
              <w:rPr>
                <w:rFonts w:ascii="宋体" w:hAnsi="宋体" w:cs="宋体"/>
                <w:color w:val="auto"/>
                <w:highlight w:val="none"/>
              </w:rPr>
            </w:pPr>
            <w:r>
              <w:rPr>
                <w:rFonts w:hint="eastAsia" w:ascii="宋体" w:hAnsi="宋体" w:cs="宋体"/>
                <w:color w:val="auto"/>
                <w:highlight w:val="none"/>
              </w:rPr>
              <w:t>标段号</w:t>
            </w:r>
          </w:p>
        </w:tc>
        <w:tc>
          <w:tcPr>
            <w:tcW w:w="578" w:type="dxa"/>
            <w:vAlign w:val="center"/>
          </w:tcPr>
          <w:p w14:paraId="5B2303E6">
            <w:pPr>
              <w:pStyle w:val="276"/>
              <w:jc w:val="center"/>
              <w:rPr>
                <w:rFonts w:ascii="宋体" w:hAnsi="宋体" w:cs="宋体"/>
                <w:color w:val="auto"/>
                <w:highlight w:val="none"/>
              </w:rPr>
            </w:pPr>
            <w:r>
              <w:rPr>
                <w:rFonts w:hint="eastAsia" w:ascii="宋体" w:hAnsi="宋体" w:cs="宋体"/>
                <w:color w:val="auto"/>
                <w:highlight w:val="none"/>
              </w:rPr>
              <w:t>开工日期</w:t>
            </w:r>
          </w:p>
        </w:tc>
        <w:tc>
          <w:tcPr>
            <w:tcW w:w="982" w:type="dxa"/>
            <w:tcMar>
              <w:top w:w="0" w:type="dxa"/>
              <w:left w:w="108" w:type="dxa"/>
              <w:bottom w:w="0" w:type="dxa"/>
              <w:right w:w="108" w:type="dxa"/>
            </w:tcMar>
            <w:vAlign w:val="center"/>
          </w:tcPr>
          <w:p w14:paraId="0BCB5C56">
            <w:pPr>
              <w:pStyle w:val="276"/>
              <w:jc w:val="center"/>
              <w:rPr>
                <w:rFonts w:ascii="宋体" w:hAnsi="宋体" w:cs="宋体"/>
                <w:color w:val="auto"/>
                <w:highlight w:val="none"/>
              </w:rPr>
            </w:pPr>
            <w:r>
              <w:rPr>
                <w:rFonts w:hint="eastAsia" w:ascii="宋体" w:hAnsi="宋体" w:cs="宋体"/>
                <w:color w:val="auto"/>
                <w:highlight w:val="none"/>
              </w:rPr>
              <w:t>完成（交工）日期</w:t>
            </w:r>
          </w:p>
        </w:tc>
        <w:tc>
          <w:tcPr>
            <w:tcW w:w="774" w:type="dxa"/>
            <w:vAlign w:val="center"/>
          </w:tcPr>
          <w:p w14:paraId="3F1D990A">
            <w:pPr>
              <w:pStyle w:val="276"/>
              <w:jc w:val="center"/>
              <w:rPr>
                <w:rFonts w:ascii="宋体" w:hAnsi="宋体" w:cs="宋体"/>
                <w:color w:val="auto"/>
                <w:highlight w:val="none"/>
              </w:rPr>
            </w:pPr>
            <w:r>
              <w:rPr>
                <w:rFonts w:hint="eastAsia" w:ascii="宋体" w:hAnsi="宋体" w:cs="宋体"/>
                <w:color w:val="auto"/>
                <w:highlight w:val="none"/>
              </w:rPr>
              <w:t>服务期限</w:t>
            </w:r>
          </w:p>
        </w:tc>
        <w:tc>
          <w:tcPr>
            <w:tcW w:w="903" w:type="dxa"/>
            <w:tcMar>
              <w:top w:w="0" w:type="dxa"/>
              <w:left w:w="108" w:type="dxa"/>
              <w:bottom w:w="0" w:type="dxa"/>
              <w:right w:w="108" w:type="dxa"/>
            </w:tcMar>
            <w:vAlign w:val="center"/>
          </w:tcPr>
          <w:p w14:paraId="5D5A8027">
            <w:pPr>
              <w:pStyle w:val="276"/>
              <w:jc w:val="center"/>
              <w:rPr>
                <w:rFonts w:ascii="宋体" w:hAnsi="宋体" w:cs="宋体"/>
                <w:color w:val="auto"/>
                <w:highlight w:val="none"/>
              </w:rPr>
            </w:pPr>
            <w:r>
              <w:rPr>
                <w:rFonts w:hint="eastAsia" w:ascii="宋体" w:hAnsi="宋体" w:cs="宋体"/>
                <w:color w:val="auto"/>
                <w:highlight w:val="none"/>
              </w:rPr>
              <w:t>服务</w:t>
            </w:r>
          </w:p>
          <w:p w14:paraId="3E0D0C19">
            <w:pPr>
              <w:pStyle w:val="276"/>
              <w:jc w:val="center"/>
              <w:rPr>
                <w:rFonts w:ascii="宋体" w:hAnsi="宋体" w:cs="宋体"/>
                <w:color w:val="auto"/>
                <w:highlight w:val="none"/>
              </w:rPr>
            </w:pPr>
            <w:r>
              <w:rPr>
                <w:rFonts w:hint="eastAsia" w:ascii="宋体" w:hAnsi="宋体" w:cs="宋体"/>
                <w:color w:val="auto"/>
                <w:highlight w:val="none"/>
              </w:rPr>
              <w:t>内容</w:t>
            </w:r>
          </w:p>
        </w:tc>
        <w:tc>
          <w:tcPr>
            <w:tcW w:w="992" w:type="dxa"/>
            <w:vAlign w:val="center"/>
          </w:tcPr>
          <w:p w14:paraId="24B9683A">
            <w:pPr>
              <w:pStyle w:val="276"/>
              <w:jc w:val="center"/>
              <w:rPr>
                <w:rFonts w:ascii="宋体" w:hAnsi="宋体" w:cs="宋体"/>
                <w:color w:val="auto"/>
                <w:highlight w:val="none"/>
              </w:rPr>
            </w:pPr>
            <w:r>
              <w:rPr>
                <w:rFonts w:hint="eastAsia" w:ascii="宋体" w:hAnsi="宋体" w:cs="宋体"/>
                <w:color w:val="auto"/>
                <w:highlight w:val="none"/>
              </w:rPr>
              <w:t>项目总投资（万元）</w:t>
            </w:r>
          </w:p>
        </w:tc>
        <w:tc>
          <w:tcPr>
            <w:tcW w:w="946" w:type="dxa"/>
            <w:tcMar>
              <w:top w:w="0" w:type="dxa"/>
              <w:left w:w="108" w:type="dxa"/>
              <w:bottom w:w="0" w:type="dxa"/>
              <w:right w:w="108" w:type="dxa"/>
            </w:tcMar>
            <w:vAlign w:val="center"/>
          </w:tcPr>
          <w:p w14:paraId="5480A4E2">
            <w:pPr>
              <w:pStyle w:val="276"/>
              <w:jc w:val="center"/>
              <w:rPr>
                <w:rFonts w:ascii="宋体" w:hAnsi="宋体" w:cs="宋体"/>
                <w:color w:val="auto"/>
                <w:highlight w:val="none"/>
              </w:rPr>
            </w:pPr>
            <w:r>
              <w:rPr>
                <w:rFonts w:hint="eastAsia" w:ascii="宋体" w:hAnsi="宋体" w:cs="宋体"/>
                <w:color w:val="auto"/>
                <w:highlight w:val="none"/>
              </w:rPr>
              <w:t>合同价格（元）</w:t>
            </w:r>
          </w:p>
        </w:tc>
        <w:tc>
          <w:tcPr>
            <w:tcW w:w="905" w:type="dxa"/>
            <w:vAlign w:val="center"/>
          </w:tcPr>
          <w:p w14:paraId="602EC8F9">
            <w:pPr>
              <w:pStyle w:val="276"/>
              <w:jc w:val="center"/>
              <w:rPr>
                <w:rFonts w:ascii="宋体" w:hAnsi="宋体" w:cs="宋体"/>
                <w:color w:val="auto"/>
                <w:highlight w:val="none"/>
              </w:rPr>
            </w:pPr>
            <w:r>
              <w:rPr>
                <w:rFonts w:hint="eastAsia" w:ascii="宋体" w:hAnsi="宋体" w:cs="宋体"/>
                <w:color w:val="auto"/>
                <w:highlight w:val="none"/>
              </w:rPr>
              <w:t>标段长度（</w:t>
            </w:r>
            <w:r>
              <w:rPr>
                <w:rFonts w:ascii="宋体" w:hAnsi="宋体" w:cs="宋体"/>
                <w:color w:val="auto"/>
                <w:highlight w:val="none"/>
              </w:rPr>
              <w:t>k</w:t>
            </w:r>
            <w:bookmarkStart w:id="750" w:name="_Toc523921867"/>
            <w:bookmarkStart w:id="751" w:name="_Toc28187745"/>
            <w:r>
              <w:rPr>
                <w:rFonts w:ascii="宋体" w:hAnsi="宋体" w:cs="宋体"/>
                <w:color w:val="auto"/>
                <w:highlight w:val="none"/>
              </w:rPr>
              <w:t>m）</w:t>
            </w:r>
          </w:p>
          <w:bookmarkEnd w:id="750"/>
          <w:bookmarkEnd w:id="751"/>
        </w:tc>
        <w:tc>
          <w:tcPr>
            <w:tcW w:w="941" w:type="dxa"/>
            <w:tcMar>
              <w:top w:w="0" w:type="dxa"/>
              <w:left w:w="108" w:type="dxa"/>
              <w:bottom w:w="0" w:type="dxa"/>
              <w:right w:w="108" w:type="dxa"/>
            </w:tcMar>
            <w:vAlign w:val="center"/>
          </w:tcPr>
          <w:p w14:paraId="2ECB4219">
            <w:pPr>
              <w:pStyle w:val="276"/>
              <w:jc w:val="center"/>
              <w:rPr>
                <w:rFonts w:ascii="宋体" w:hAnsi="宋体" w:cs="宋体"/>
                <w:color w:val="auto"/>
                <w:highlight w:val="none"/>
              </w:rPr>
            </w:pPr>
            <w:r>
              <w:rPr>
                <w:rFonts w:hint="eastAsia" w:ascii="宋体" w:hAnsi="宋体" w:cs="宋体"/>
                <w:color w:val="auto"/>
                <w:highlight w:val="none"/>
              </w:rPr>
              <w:t>试验室</w:t>
            </w:r>
          </w:p>
          <w:p w14:paraId="40CA4313">
            <w:pPr>
              <w:pStyle w:val="276"/>
              <w:jc w:val="center"/>
              <w:rPr>
                <w:rFonts w:ascii="宋体" w:hAnsi="宋体" w:cs="宋体"/>
                <w:color w:val="auto"/>
                <w:highlight w:val="none"/>
              </w:rPr>
            </w:pPr>
            <w:r>
              <w:rPr>
                <w:rFonts w:hint="eastAsia" w:ascii="宋体" w:hAnsi="宋体" w:cs="宋体"/>
                <w:color w:val="auto"/>
                <w:highlight w:val="none"/>
              </w:rPr>
              <w:t>主任</w:t>
            </w:r>
          </w:p>
        </w:tc>
        <w:tc>
          <w:tcPr>
            <w:tcW w:w="888" w:type="dxa"/>
            <w:vAlign w:val="center"/>
          </w:tcPr>
          <w:p w14:paraId="5F76ED30">
            <w:pPr>
              <w:pStyle w:val="276"/>
              <w:jc w:val="center"/>
              <w:rPr>
                <w:rFonts w:ascii="宋体" w:hAnsi="宋体" w:cs="宋体"/>
                <w:color w:val="auto"/>
                <w:highlight w:val="none"/>
              </w:rPr>
            </w:pPr>
            <w:r>
              <w:rPr>
                <w:rFonts w:hint="eastAsia" w:ascii="宋体" w:hAnsi="宋体" w:cs="宋体"/>
                <w:color w:val="auto"/>
                <w:highlight w:val="none"/>
              </w:rPr>
              <w:t>业绩证明材料附件</w:t>
            </w:r>
          </w:p>
        </w:tc>
      </w:tr>
      <w:tr w14:paraId="6B01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87" w:type="dxa"/>
            <w:vAlign w:val="center"/>
          </w:tcPr>
          <w:p w14:paraId="3D4D5A67">
            <w:pPr>
              <w:pStyle w:val="276"/>
              <w:jc w:val="center"/>
              <w:rPr>
                <w:rFonts w:ascii="宋体" w:hAnsi="宋体" w:cs="宋体"/>
                <w:color w:val="auto"/>
                <w:highlight w:val="none"/>
              </w:rPr>
            </w:pPr>
          </w:p>
        </w:tc>
        <w:tc>
          <w:tcPr>
            <w:tcW w:w="1011" w:type="dxa"/>
            <w:tcMar>
              <w:top w:w="0" w:type="dxa"/>
              <w:left w:w="108" w:type="dxa"/>
              <w:bottom w:w="0" w:type="dxa"/>
              <w:right w:w="108" w:type="dxa"/>
            </w:tcMar>
            <w:vAlign w:val="center"/>
          </w:tcPr>
          <w:p w14:paraId="3FF568D2">
            <w:pPr>
              <w:pStyle w:val="276"/>
              <w:jc w:val="center"/>
              <w:rPr>
                <w:rFonts w:ascii="宋体" w:hAnsi="宋体" w:cs="宋体"/>
                <w:color w:val="auto"/>
                <w:highlight w:val="none"/>
              </w:rPr>
            </w:pPr>
          </w:p>
        </w:tc>
        <w:tc>
          <w:tcPr>
            <w:tcW w:w="1594" w:type="dxa"/>
            <w:tcMar>
              <w:top w:w="0" w:type="dxa"/>
              <w:left w:w="108" w:type="dxa"/>
              <w:bottom w:w="0" w:type="dxa"/>
              <w:right w:w="108" w:type="dxa"/>
            </w:tcMar>
            <w:vAlign w:val="center"/>
          </w:tcPr>
          <w:p w14:paraId="10F38500">
            <w:pPr>
              <w:pStyle w:val="276"/>
              <w:jc w:val="center"/>
              <w:rPr>
                <w:rFonts w:ascii="宋体" w:hAnsi="宋体" w:cs="宋体"/>
                <w:color w:val="auto"/>
                <w:highlight w:val="none"/>
              </w:rPr>
            </w:pPr>
          </w:p>
        </w:tc>
        <w:tc>
          <w:tcPr>
            <w:tcW w:w="744" w:type="dxa"/>
          </w:tcPr>
          <w:p w14:paraId="767F9774">
            <w:pPr>
              <w:pStyle w:val="276"/>
              <w:jc w:val="center"/>
              <w:rPr>
                <w:rFonts w:ascii="宋体" w:hAnsi="宋体" w:cs="宋体"/>
                <w:color w:val="auto"/>
                <w:highlight w:val="none"/>
              </w:rPr>
            </w:pPr>
          </w:p>
        </w:tc>
        <w:tc>
          <w:tcPr>
            <w:tcW w:w="1165" w:type="dxa"/>
            <w:tcMar>
              <w:top w:w="0" w:type="dxa"/>
              <w:left w:w="108" w:type="dxa"/>
              <w:bottom w:w="0" w:type="dxa"/>
              <w:right w:w="108" w:type="dxa"/>
            </w:tcMar>
            <w:vAlign w:val="center"/>
          </w:tcPr>
          <w:p w14:paraId="5022A243">
            <w:pPr>
              <w:widowControl/>
              <w:spacing w:line="240" w:lineRule="auto"/>
              <w:jc w:val="left"/>
              <w:rPr>
                <w:rFonts w:ascii="宋体" w:hAnsi="宋体"/>
                <w:szCs w:val="21"/>
              </w:rPr>
            </w:pPr>
            <w:r>
              <w:rPr>
                <w:rFonts w:hint="eastAsia" w:ascii="宋体" w:hAnsi="宋体"/>
                <w:szCs w:val="21"/>
              </w:rPr>
              <w:t>□新建</w:t>
            </w:r>
          </w:p>
          <w:p w14:paraId="61673267">
            <w:pPr>
              <w:jc w:val="left"/>
              <w:rPr>
                <w:rFonts w:eastAsia="宋体" w:cs="宋体" w:asciiTheme="minorEastAsia" w:hAnsiTheme="minorEastAsia"/>
                <w:kern w:val="2"/>
                <w:sz w:val="21"/>
                <w:szCs w:val="21"/>
                <w:lang w:val="en-US" w:eastAsia="zh-CN" w:bidi="ar-SA"/>
              </w:rPr>
            </w:pPr>
            <w:r>
              <w:rPr>
                <w:rFonts w:hint="eastAsia" w:ascii="宋体" w:hAnsi="宋体"/>
                <w:szCs w:val="21"/>
              </w:rPr>
              <w:t>□改扩建</w:t>
            </w:r>
          </w:p>
        </w:tc>
        <w:tc>
          <w:tcPr>
            <w:tcW w:w="846" w:type="dxa"/>
            <w:tcMar>
              <w:top w:w="0" w:type="dxa"/>
              <w:left w:w="108" w:type="dxa"/>
              <w:bottom w:w="0" w:type="dxa"/>
              <w:right w:w="108" w:type="dxa"/>
            </w:tcMar>
            <w:vAlign w:val="center"/>
          </w:tcPr>
          <w:p w14:paraId="14B4B726">
            <w:pPr>
              <w:pStyle w:val="276"/>
              <w:jc w:val="center"/>
              <w:rPr>
                <w:rFonts w:ascii="宋体" w:hAnsi="宋体" w:cs="宋体"/>
                <w:color w:val="auto"/>
                <w:highlight w:val="none"/>
              </w:rPr>
            </w:pPr>
          </w:p>
        </w:tc>
        <w:tc>
          <w:tcPr>
            <w:tcW w:w="578" w:type="dxa"/>
          </w:tcPr>
          <w:p w14:paraId="31BA9239">
            <w:pPr>
              <w:pStyle w:val="276"/>
              <w:jc w:val="center"/>
              <w:rPr>
                <w:rFonts w:ascii="宋体" w:hAnsi="宋体" w:cs="宋体"/>
                <w:color w:val="auto"/>
                <w:highlight w:val="none"/>
              </w:rPr>
            </w:pPr>
          </w:p>
        </w:tc>
        <w:tc>
          <w:tcPr>
            <w:tcW w:w="982" w:type="dxa"/>
            <w:tcMar>
              <w:top w:w="0" w:type="dxa"/>
              <w:left w:w="108" w:type="dxa"/>
              <w:bottom w:w="0" w:type="dxa"/>
              <w:right w:w="108" w:type="dxa"/>
            </w:tcMar>
            <w:vAlign w:val="center"/>
          </w:tcPr>
          <w:p w14:paraId="0B0312BF">
            <w:pPr>
              <w:pStyle w:val="276"/>
              <w:jc w:val="center"/>
              <w:rPr>
                <w:rFonts w:ascii="宋体" w:hAnsi="宋体" w:cs="宋体"/>
                <w:color w:val="auto"/>
                <w:highlight w:val="none"/>
              </w:rPr>
            </w:pPr>
          </w:p>
        </w:tc>
        <w:tc>
          <w:tcPr>
            <w:tcW w:w="774" w:type="dxa"/>
            <w:vAlign w:val="center"/>
          </w:tcPr>
          <w:p w14:paraId="7C9F270F">
            <w:pPr>
              <w:pStyle w:val="276"/>
              <w:jc w:val="center"/>
              <w:rPr>
                <w:rFonts w:ascii="宋体" w:hAnsi="宋体" w:cs="宋体"/>
                <w:color w:val="auto"/>
                <w:highlight w:val="none"/>
              </w:rPr>
            </w:pPr>
          </w:p>
        </w:tc>
        <w:tc>
          <w:tcPr>
            <w:tcW w:w="903" w:type="dxa"/>
            <w:tcMar>
              <w:top w:w="0" w:type="dxa"/>
              <w:left w:w="108" w:type="dxa"/>
              <w:bottom w:w="0" w:type="dxa"/>
              <w:right w:w="108" w:type="dxa"/>
            </w:tcMar>
            <w:vAlign w:val="center"/>
          </w:tcPr>
          <w:p w14:paraId="63DD2E58">
            <w:pPr>
              <w:pStyle w:val="276"/>
              <w:jc w:val="center"/>
              <w:rPr>
                <w:rFonts w:ascii="宋体" w:hAnsi="宋体" w:cs="宋体"/>
                <w:color w:val="auto"/>
                <w:highlight w:val="none"/>
              </w:rPr>
            </w:pPr>
          </w:p>
        </w:tc>
        <w:tc>
          <w:tcPr>
            <w:tcW w:w="992" w:type="dxa"/>
            <w:vAlign w:val="center"/>
          </w:tcPr>
          <w:p w14:paraId="31F7D70B">
            <w:pPr>
              <w:pStyle w:val="276"/>
              <w:jc w:val="center"/>
              <w:rPr>
                <w:rFonts w:ascii="宋体" w:hAnsi="宋体" w:cs="宋体"/>
                <w:color w:val="auto"/>
                <w:highlight w:val="none"/>
              </w:rPr>
            </w:pPr>
          </w:p>
        </w:tc>
        <w:tc>
          <w:tcPr>
            <w:tcW w:w="946" w:type="dxa"/>
            <w:tcMar>
              <w:top w:w="0" w:type="dxa"/>
              <w:left w:w="108" w:type="dxa"/>
              <w:bottom w:w="0" w:type="dxa"/>
              <w:right w:w="108" w:type="dxa"/>
            </w:tcMar>
            <w:vAlign w:val="center"/>
          </w:tcPr>
          <w:p w14:paraId="593550DE">
            <w:pPr>
              <w:pStyle w:val="276"/>
              <w:jc w:val="center"/>
              <w:rPr>
                <w:rFonts w:ascii="宋体" w:hAnsi="宋体" w:cs="宋体"/>
                <w:color w:val="auto"/>
                <w:highlight w:val="none"/>
              </w:rPr>
            </w:pPr>
          </w:p>
        </w:tc>
        <w:tc>
          <w:tcPr>
            <w:tcW w:w="905" w:type="dxa"/>
          </w:tcPr>
          <w:p w14:paraId="3FCBBE8A">
            <w:pPr>
              <w:pStyle w:val="276"/>
              <w:jc w:val="center"/>
              <w:rPr>
                <w:rFonts w:ascii="宋体" w:hAnsi="宋体" w:cs="宋体"/>
                <w:color w:val="auto"/>
                <w:highlight w:val="none"/>
              </w:rPr>
            </w:pPr>
          </w:p>
        </w:tc>
        <w:tc>
          <w:tcPr>
            <w:tcW w:w="941" w:type="dxa"/>
            <w:tcMar>
              <w:top w:w="0" w:type="dxa"/>
              <w:left w:w="108" w:type="dxa"/>
              <w:bottom w:w="0" w:type="dxa"/>
              <w:right w:w="108" w:type="dxa"/>
            </w:tcMar>
            <w:vAlign w:val="center"/>
          </w:tcPr>
          <w:p w14:paraId="037A01B9">
            <w:pPr>
              <w:pStyle w:val="276"/>
              <w:jc w:val="center"/>
              <w:rPr>
                <w:rFonts w:ascii="宋体" w:hAnsi="宋体" w:cs="宋体"/>
                <w:color w:val="auto"/>
                <w:highlight w:val="none"/>
              </w:rPr>
            </w:pPr>
          </w:p>
        </w:tc>
        <w:tc>
          <w:tcPr>
            <w:tcW w:w="888" w:type="dxa"/>
            <w:vAlign w:val="center"/>
          </w:tcPr>
          <w:p w14:paraId="6FAAC766">
            <w:pPr>
              <w:pStyle w:val="276"/>
              <w:jc w:val="center"/>
              <w:rPr>
                <w:rFonts w:ascii="宋体" w:hAnsi="宋体" w:cs="宋体"/>
                <w:color w:val="auto"/>
                <w:highlight w:val="none"/>
              </w:rPr>
            </w:pPr>
            <w:r>
              <w:rPr>
                <w:rFonts w:hint="eastAsia" w:ascii="宋体" w:hAnsi="宋体" w:cs="宋体"/>
                <w:color w:val="auto"/>
                <w:highlight w:val="none"/>
              </w:rPr>
              <w:t>附件</w:t>
            </w:r>
            <w:r>
              <w:rPr>
                <w:rFonts w:ascii="宋体" w:hAnsi="宋体" w:cs="宋体"/>
                <w:color w:val="auto"/>
                <w:highlight w:val="none"/>
              </w:rPr>
              <w:t>C1.1</w:t>
            </w:r>
          </w:p>
        </w:tc>
      </w:tr>
      <w:tr w14:paraId="0F5A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87" w:type="dxa"/>
            <w:vAlign w:val="center"/>
          </w:tcPr>
          <w:p w14:paraId="71EB031C">
            <w:pPr>
              <w:pStyle w:val="276"/>
              <w:jc w:val="center"/>
              <w:rPr>
                <w:rFonts w:ascii="宋体" w:hAnsi="宋体" w:cs="宋体"/>
                <w:color w:val="auto"/>
                <w:highlight w:val="none"/>
              </w:rPr>
            </w:pPr>
          </w:p>
        </w:tc>
        <w:tc>
          <w:tcPr>
            <w:tcW w:w="1011" w:type="dxa"/>
            <w:tcMar>
              <w:top w:w="0" w:type="dxa"/>
              <w:left w:w="108" w:type="dxa"/>
              <w:bottom w:w="0" w:type="dxa"/>
              <w:right w:w="108" w:type="dxa"/>
            </w:tcMar>
            <w:vAlign w:val="center"/>
          </w:tcPr>
          <w:p w14:paraId="18EB35BC">
            <w:pPr>
              <w:pStyle w:val="276"/>
              <w:jc w:val="center"/>
              <w:rPr>
                <w:rFonts w:ascii="宋体" w:hAnsi="宋体" w:cs="宋体"/>
                <w:color w:val="auto"/>
                <w:highlight w:val="none"/>
              </w:rPr>
            </w:pPr>
          </w:p>
        </w:tc>
        <w:tc>
          <w:tcPr>
            <w:tcW w:w="1594" w:type="dxa"/>
            <w:tcMar>
              <w:top w:w="0" w:type="dxa"/>
              <w:left w:w="108" w:type="dxa"/>
              <w:bottom w:w="0" w:type="dxa"/>
              <w:right w:w="108" w:type="dxa"/>
            </w:tcMar>
            <w:vAlign w:val="center"/>
          </w:tcPr>
          <w:p w14:paraId="6A712DD4">
            <w:pPr>
              <w:pStyle w:val="276"/>
              <w:jc w:val="center"/>
              <w:rPr>
                <w:rFonts w:ascii="宋体" w:hAnsi="宋体" w:cs="宋体"/>
                <w:color w:val="auto"/>
                <w:highlight w:val="none"/>
              </w:rPr>
            </w:pPr>
          </w:p>
        </w:tc>
        <w:tc>
          <w:tcPr>
            <w:tcW w:w="744" w:type="dxa"/>
          </w:tcPr>
          <w:p w14:paraId="17C6FBD6">
            <w:pPr>
              <w:pStyle w:val="276"/>
              <w:jc w:val="center"/>
              <w:rPr>
                <w:rFonts w:ascii="宋体" w:hAnsi="宋体" w:cs="宋体"/>
                <w:color w:val="auto"/>
                <w:highlight w:val="none"/>
              </w:rPr>
            </w:pPr>
          </w:p>
        </w:tc>
        <w:tc>
          <w:tcPr>
            <w:tcW w:w="1165" w:type="dxa"/>
            <w:tcMar>
              <w:top w:w="0" w:type="dxa"/>
              <w:left w:w="108" w:type="dxa"/>
              <w:bottom w:w="0" w:type="dxa"/>
              <w:right w:w="108" w:type="dxa"/>
            </w:tcMar>
            <w:vAlign w:val="center"/>
          </w:tcPr>
          <w:p w14:paraId="3A32D911">
            <w:pPr>
              <w:widowControl/>
              <w:spacing w:line="240" w:lineRule="auto"/>
              <w:jc w:val="left"/>
              <w:rPr>
                <w:rFonts w:ascii="宋体" w:hAnsi="宋体"/>
                <w:szCs w:val="21"/>
              </w:rPr>
            </w:pPr>
            <w:r>
              <w:rPr>
                <w:rFonts w:hint="eastAsia" w:ascii="宋体" w:hAnsi="宋体"/>
                <w:szCs w:val="21"/>
              </w:rPr>
              <w:t>□新建</w:t>
            </w:r>
          </w:p>
          <w:p w14:paraId="295844B9">
            <w:pPr>
              <w:jc w:val="left"/>
              <w:rPr>
                <w:rFonts w:cs="宋体" w:asciiTheme="minorEastAsia" w:hAnsiTheme="minorEastAsia" w:eastAsiaTheme="minorEastAsia"/>
                <w:kern w:val="2"/>
                <w:sz w:val="21"/>
                <w:szCs w:val="21"/>
                <w:lang w:val="en-US" w:eastAsia="zh-CN" w:bidi="ar-SA"/>
              </w:rPr>
            </w:pPr>
            <w:r>
              <w:rPr>
                <w:rFonts w:hint="eastAsia" w:ascii="宋体" w:hAnsi="宋体"/>
                <w:szCs w:val="21"/>
              </w:rPr>
              <w:t>□改扩建</w:t>
            </w:r>
          </w:p>
        </w:tc>
        <w:tc>
          <w:tcPr>
            <w:tcW w:w="846" w:type="dxa"/>
            <w:tcMar>
              <w:top w:w="0" w:type="dxa"/>
              <w:left w:w="108" w:type="dxa"/>
              <w:bottom w:w="0" w:type="dxa"/>
              <w:right w:w="108" w:type="dxa"/>
            </w:tcMar>
            <w:vAlign w:val="center"/>
          </w:tcPr>
          <w:p w14:paraId="40B4609A">
            <w:pPr>
              <w:pStyle w:val="276"/>
              <w:jc w:val="center"/>
              <w:rPr>
                <w:rFonts w:ascii="宋体" w:hAnsi="宋体" w:cs="宋体"/>
                <w:color w:val="auto"/>
                <w:highlight w:val="none"/>
              </w:rPr>
            </w:pPr>
          </w:p>
        </w:tc>
        <w:tc>
          <w:tcPr>
            <w:tcW w:w="578" w:type="dxa"/>
          </w:tcPr>
          <w:p w14:paraId="6E63588F">
            <w:pPr>
              <w:pStyle w:val="276"/>
              <w:jc w:val="center"/>
              <w:rPr>
                <w:rFonts w:ascii="宋体" w:hAnsi="宋体" w:cs="宋体"/>
                <w:color w:val="auto"/>
                <w:highlight w:val="none"/>
              </w:rPr>
            </w:pPr>
          </w:p>
        </w:tc>
        <w:tc>
          <w:tcPr>
            <w:tcW w:w="982" w:type="dxa"/>
            <w:tcMar>
              <w:top w:w="0" w:type="dxa"/>
              <w:left w:w="108" w:type="dxa"/>
              <w:bottom w:w="0" w:type="dxa"/>
              <w:right w:w="108" w:type="dxa"/>
            </w:tcMar>
            <w:vAlign w:val="center"/>
          </w:tcPr>
          <w:p w14:paraId="22A55677">
            <w:pPr>
              <w:pStyle w:val="276"/>
              <w:jc w:val="center"/>
              <w:rPr>
                <w:rFonts w:ascii="宋体" w:hAnsi="宋体" w:cs="宋体"/>
                <w:color w:val="auto"/>
                <w:highlight w:val="none"/>
              </w:rPr>
            </w:pPr>
          </w:p>
        </w:tc>
        <w:tc>
          <w:tcPr>
            <w:tcW w:w="774" w:type="dxa"/>
            <w:vAlign w:val="center"/>
          </w:tcPr>
          <w:p w14:paraId="26D595EF">
            <w:pPr>
              <w:pStyle w:val="276"/>
              <w:jc w:val="center"/>
              <w:rPr>
                <w:rFonts w:ascii="宋体" w:hAnsi="宋体" w:cs="宋体"/>
                <w:color w:val="auto"/>
                <w:highlight w:val="none"/>
              </w:rPr>
            </w:pPr>
          </w:p>
        </w:tc>
        <w:tc>
          <w:tcPr>
            <w:tcW w:w="903" w:type="dxa"/>
            <w:tcMar>
              <w:top w:w="0" w:type="dxa"/>
              <w:left w:w="108" w:type="dxa"/>
              <w:bottom w:w="0" w:type="dxa"/>
              <w:right w:w="108" w:type="dxa"/>
            </w:tcMar>
            <w:vAlign w:val="center"/>
          </w:tcPr>
          <w:p w14:paraId="55CDB8C7">
            <w:pPr>
              <w:pStyle w:val="276"/>
              <w:jc w:val="center"/>
              <w:rPr>
                <w:rFonts w:ascii="宋体" w:hAnsi="宋体" w:cs="宋体"/>
                <w:color w:val="auto"/>
                <w:highlight w:val="none"/>
              </w:rPr>
            </w:pPr>
          </w:p>
        </w:tc>
        <w:tc>
          <w:tcPr>
            <w:tcW w:w="992" w:type="dxa"/>
            <w:vAlign w:val="center"/>
          </w:tcPr>
          <w:p w14:paraId="18D26F4A">
            <w:pPr>
              <w:pStyle w:val="276"/>
              <w:jc w:val="center"/>
              <w:rPr>
                <w:rFonts w:ascii="宋体" w:hAnsi="宋体" w:cs="宋体"/>
                <w:color w:val="auto"/>
                <w:highlight w:val="none"/>
              </w:rPr>
            </w:pPr>
          </w:p>
        </w:tc>
        <w:tc>
          <w:tcPr>
            <w:tcW w:w="946" w:type="dxa"/>
            <w:tcMar>
              <w:top w:w="0" w:type="dxa"/>
              <w:left w:w="108" w:type="dxa"/>
              <w:bottom w:w="0" w:type="dxa"/>
              <w:right w:w="108" w:type="dxa"/>
            </w:tcMar>
            <w:vAlign w:val="center"/>
          </w:tcPr>
          <w:p w14:paraId="2C092F04">
            <w:pPr>
              <w:pStyle w:val="276"/>
              <w:jc w:val="center"/>
              <w:rPr>
                <w:rFonts w:ascii="宋体" w:hAnsi="宋体" w:cs="宋体"/>
                <w:color w:val="auto"/>
                <w:highlight w:val="none"/>
              </w:rPr>
            </w:pPr>
          </w:p>
        </w:tc>
        <w:tc>
          <w:tcPr>
            <w:tcW w:w="905" w:type="dxa"/>
          </w:tcPr>
          <w:p w14:paraId="6F663308">
            <w:pPr>
              <w:pStyle w:val="276"/>
              <w:jc w:val="center"/>
              <w:rPr>
                <w:rFonts w:ascii="宋体" w:hAnsi="宋体" w:cs="宋体"/>
                <w:color w:val="auto"/>
                <w:highlight w:val="none"/>
              </w:rPr>
            </w:pPr>
          </w:p>
        </w:tc>
        <w:tc>
          <w:tcPr>
            <w:tcW w:w="941" w:type="dxa"/>
            <w:tcMar>
              <w:top w:w="0" w:type="dxa"/>
              <w:left w:w="108" w:type="dxa"/>
              <w:bottom w:w="0" w:type="dxa"/>
              <w:right w:w="108" w:type="dxa"/>
            </w:tcMar>
            <w:vAlign w:val="center"/>
          </w:tcPr>
          <w:p w14:paraId="233F241E">
            <w:pPr>
              <w:pStyle w:val="276"/>
              <w:jc w:val="center"/>
              <w:rPr>
                <w:rFonts w:ascii="宋体" w:hAnsi="宋体" w:cs="宋体"/>
                <w:color w:val="auto"/>
                <w:highlight w:val="none"/>
              </w:rPr>
            </w:pPr>
          </w:p>
        </w:tc>
        <w:tc>
          <w:tcPr>
            <w:tcW w:w="888" w:type="dxa"/>
            <w:vAlign w:val="center"/>
          </w:tcPr>
          <w:p w14:paraId="7D4EF18D">
            <w:pPr>
              <w:pStyle w:val="276"/>
              <w:jc w:val="center"/>
              <w:rPr>
                <w:rFonts w:ascii="宋体" w:hAnsi="宋体" w:cs="宋体"/>
                <w:color w:val="auto"/>
                <w:highlight w:val="none"/>
              </w:rPr>
            </w:pPr>
            <w:r>
              <w:rPr>
                <w:rFonts w:hint="eastAsia" w:ascii="宋体" w:hAnsi="宋体" w:cs="宋体"/>
                <w:color w:val="auto"/>
                <w:highlight w:val="none"/>
              </w:rPr>
              <w:t>附件</w:t>
            </w:r>
            <w:r>
              <w:rPr>
                <w:rFonts w:ascii="宋体" w:hAnsi="宋体" w:cs="宋体"/>
                <w:color w:val="auto"/>
                <w:highlight w:val="none"/>
              </w:rPr>
              <w:t>C1.2</w:t>
            </w:r>
          </w:p>
        </w:tc>
      </w:tr>
      <w:tr w14:paraId="0616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487" w:type="dxa"/>
            <w:vAlign w:val="center"/>
          </w:tcPr>
          <w:p w14:paraId="13F0C982">
            <w:pPr>
              <w:pStyle w:val="276"/>
              <w:jc w:val="center"/>
              <w:rPr>
                <w:rFonts w:ascii="宋体" w:hAnsi="宋体" w:cs="宋体"/>
                <w:color w:val="auto"/>
                <w:highlight w:val="none"/>
              </w:rPr>
            </w:pPr>
          </w:p>
        </w:tc>
        <w:tc>
          <w:tcPr>
            <w:tcW w:w="1011" w:type="dxa"/>
            <w:tcMar>
              <w:top w:w="0" w:type="dxa"/>
              <w:left w:w="108" w:type="dxa"/>
              <w:bottom w:w="0" w:type="dxa"/>
              <w:right w:w="108" w:type="dxa"/>
            </w:tcMar>
            <w:vAlign w:val="center"/>
          </w:tcPr>
          <w:p w14:paraId="76EA79BF">
            <w:pPr>
              <w:pStyle w:val="276"/>
              <w:jc w:val="center"/>
              <w:rPr>
                <w:rFonts w:ascii="宋体" w:hAnsi="宋体" w:cs="宋体"/>
                <w:color w:val="auto"/>
                <w:highlight w:val="none"/>
              </w:rPr>
            </w:pPr>
          </w:p>
        </w:tc>
        <w:tc>
          <w:tcPr>
            <w:tcW w:w="1594" w:type="dxa"/>
            <w:tcMar>
              <w:top w:w="0" w:type="dxa"/>
              <w:left w:w="108" w:type="dxa"/>
              <w:bottom w:w="0" w:type="dxa"/>
              <w:right w:w="108" w:type="dxa"/>
            </w:tcMar>
            <w:vAlign w:val="center"/>
          </w:tcPr>
          <w:p w14:paraId="775FD733">
            <w:pPr>
              <w:pStyle w:val="276"/>
              <w:jc w:val="center"/>
              <w:rPr>
                <w:rFonts w:ascii="宋体" w:hAnsi="宋体" w:cs="宋体"/>
                <w:color w:val="auto"/>
                <w:highlight w:val="none"/>
              </w:rPr>
            </w:pPr>
          </w:p>
        </w:tc>
        <w:tc>
          <w:tcPr>
            <w:tcW w:w="744" w:type="dxa"/>
          </w:tcPr>
          <w:p w14:paraId="75A80E52">
            <w:pPr>
              <w:pStyle w:val="276"/>
              <w:jc w:val="center"/>
              <w:rPr>
                <w:rFonts w:ascii="宋体" w:hAnsi="宋体" w:cs="宋体"/>
                <w:color w:val="auto"/>
                <w:highlight w:val="none"/>
              </w:rPr>
            </w:pPr>
          </w:p>
        </w:tc>
        <w:tc>
          <w:tcPr>
            <w:tcW w:w="1165" w:type="dxa"/>
            <w:tcMar>
              <w:top w:w="0" w:type="dxa"/>
              <w:left w:w="108" w:type="dxa"/>
              <w:bottom w:w="0" w:type="dxa"/>
              <w:right w:w="108" w:type="dxa"/>
            </w:tcMar>
            <w:vAlign w:val="center"/>
          </w:tcPr>
          <w:p w14:paraId="5674FAED">
            <w:pPr>
              <w:widowControl/>
              <w:spacing w:line="240" w:lineRule="auto"/>
              <w:jc w:val="left"/>
              <w:rPr>
                <w:rFonts w:ascii="宋体" w:hAnsi="宋体"/>
                <w:szCs w:val="21"/>
              </w:rPr>
            </w:pPr>
            <w:r>
              <w:rPr>
                <w:rFonts w:hint="eastAsia" w:ascii="宋体" w:hAnsi="宋体"/>
                <w:szCs w:val="21"/>
              </w:rPr>
              <w:t>□新建</w:t>
            </w:r>
          </w:p>
          <w:p w14:paraId="1A34D5BF">
            <w:pPr>
              <w:jc w:val="left"/>
              <w:rPr>
                <w:rFonts w:cs="宋体" w:asciiTheme="minorEastAsia" w:hAnsiTheme="minorEastAsia" w:eastAsiaTheme="minorEastAsia"/>
                <w:kern w:val="2"/>
                <w:sz w:val="21"/>
                <w:szCs w:val="21"/>
                <w:lang w:val="en-US" w:eastAsia="zh-CN" w:bidi="ar-SA"/>
              </w:rPr>
            </w:pPr>
            <w:r>
              <w:rPr>
                <w:rFonts w:hint="eastAsia" w:ascii="宋体" w:hAnsi="宋体"/>
                <w:szCs w:val="21"/>
              </w:rPr>
              <w:t>□改扩建</w:t>
            </w:r>
          </w:p>
        </w:tc>
        <w:tc>
          <w:tcPr>
            <w:tcW w:w="846" w:type="dxa"/>
            <w:tcMar>
              <w:top w:w="0" w:type="dxa"/>
              <w:left w:w="108" w:type="dxa"/>
              <w:bottom w:w="0" w:type="dxa"/>
              <w:right w:w="108" w:type="dxa"/>
            </w:tcMar>
            <w:vAlign w:val="center"/>
          </w:tcPr>
          <w:p w14:paraId="6B7021D9">
            <w:pPr>
              <w:pStyle w:val="276"/>
              <w:jc w:val="center"/>
              <w:rPr>
                <w:rFonts w:ascii="宋体" w:hAnsi="宋体" w:cs="宋体"/>
                <w:color w:val="auto"/>
                <w:highlight w:val="none"/>
              </w:rPr>
            </w:pPr>
          </w:p>
        </w:tc>
        <w:tc>
          <w:tcPr>
            <w:tcW w:w="578" w:type="dxa"/>
          </w:tcPr>
          <w:p w14:paraId="24FDD89E">
            <w:pPr>
              <w:pStyle w:val="276"/>
              <w:jc w:val="center"/>
              <w:rPr>
                <w:rFonts w:ascii="宋体" w:hAnsi="宋体" w:cs="宋体"/>
                <w:color w:val="auto"/>
                <w:highlight w:val="none"/>
              </w:rPr>
            </w:pPr>
          </w:p>
        </w:tc>
        <w:tc>
          <w:tcPr>
            <w:tcW w:w="982" w:type="dxa"/>
            <w:tcMar>
              <w:top w:w="0" w:type="dxa"/>
              <w:left w:w="108" w:type="dxa"/>
              <w:bottom w:w="0" w:type="dxa"/>
              <w:right w:w="108" w:type="dxa"/>
            </w:tcMar>
            <w:vAlign w:val="center"/>
          </w:tcPr>
          <w:p w14:paraId="2ECB82F3">
            <w:pPr>
              <w:pStyle w:val="276"/>
              <w:jc w:val="center"/>
              <w:rPr>
                <w:rFonts w:ascii="宋体" w:hAnsi="宋体" w:cs="宋体"/>
                <w:color w:val="auto"/>
                <w:highlight w:val="none"/>
              </w:rPr>
            </w:pPr>
          </w:p>
        </w:tc>
        <w:tc>
          <w:tcPr>
            <w:tcW w:w="774" w:type="dxa"/>
            <w:vAlign w:val="center"/>
          </w:tcPr>
          <w:p w14:paraId="68C0258B">
            <w:pPr>
              <w:pStyle w:val="276"/>
              <w:jc w:val="center"/>
              <w:rPr>
                <w:rFonts w:ascii="宋体" w:hAnsi="宋体" w:cs="宋体"/>
                <w:color w:val="auto"/>
                <w:highlight w:val="none"/>
              </w:rPr>
            </w:pPr>
          </w:p>
        </w:tc>
        <w:tc>
          <w:tcPr>
            <w:tcW w:w="903" w:type="dxa"/>
            <w:tcMar>
              <w:top w:w="0" w:type="dxa"/>
              <w:left w:w="108" w:type="dxa"/>
              <w:bottom w:w="0" w:type="dxa"/>
              <w:right w:w="108" w:type="dxa"/>
            </w:tcMar>
            <w:vAlign w:val="center"/>
          </w:tcPr>
          <w:p w14:paraId="779A7BAC">
            <w:pPr>
              <w:pStyle w:val="276"/>
              <w:jc w:val="center"/>
              <w:rPr>
                <w:rFonts w:ascii="宋体" w:hAnsi="宋体" w:cs="宋体"/>
                <w:color w:val="auto"/>
                <w:highlight w:val="none"/>
              </w:rPr>
            </w:pPr>
          </w:p>
        </w:tc>
        <w:tc>
          <w:tcPr>
            <w:tcW w:w="992" w:type="dxa"/>
            <w:vAlign w:val="center"/>
          </w:tcPr>
          <w:p w14:paraId="253F8099">
            <w:pPr>
              <w:pStyle w:val="276"/>
              <w:jc w:val="center"/>
              <w:rPr>
                <w:rFonts w:ascii="宋体" w:hAnsi="宋体" w:cs="宋体"/>
                <w:color w:val="auto"/>
                <w:highlight w:val="none"/>
              </w:rPr>
            </w:pPr>
          </w:p>
        </w:tc>
        <w:tc>
          <w:tcPr>
            <w:tcW w:w="946" w:type="dxa"/>
            <w:tcMar>
              <w:top w:w="0" w:type="dxa"/>
              <w:left w:w="108" w:type="dxa"/>
              <w:bottom w:w="0" w:type="dxa"/>
              <w:right w:w="108" w:type="dxa"/>
            </w:tcMar>
            <w:vAlign w:val="center"/>
          </w:tcPr>
          <w:p w14:paraId="42C22ED3">
            <w:pPr>
              <w:pStyle w:val="276"/>
              <w:jc w:val="center"/>
              <w:rPr>
                <w:rFonts w:ascii="宋体" w:hAnsi="宋体" w:cs="宋体"/>
                <w:color w:val="auto"/>
                <w:highlight w:val="none"/>
              </w:rPr>
            </w:pPr>
          </w:p>
        </w:tc>
        <w:tc>
          <w:tcPr>
            <w:tcW w:w="905" w:type="dxa"/>
          </w:tcPr>
          <w:p w14:paraId="40AF1175">
            <w:pPr>
              <w:pStyle w:val="276"/>
              <w:jc w:val="center"/>
              <w:rPr>
                <w:rFonts w:ascii="宋体" w:hAnsi="宋体" w:cs="宋体"/>
                <w:color w:val="auto"/>
                <w:highlight w:val="none"/>
              </w:rPr>
            </w:pPr>
          </w:p>
        </w:tc>
        <w:tc>
          <w:tcPr>
            <w:tcW w:w="941" w:type="dxa"/>
            <w:tcMar>
              <w:top w:w="0" w:type="dxa"/>
              <w:left w:w="108" w:type="dxa"/>
              <w:bottom w:w="0" w:type="dxa"/>
              <w:right w:w="108" w:type="dxa"/>
            </w:tcMar>
            <w:vAlign w:val="center"/>
          </w:tcPr>
          <w:p w14:paraId="130B3C75">
            <w:pPr>
              <w:pStyle w:val="276"/>
              <w:jc w:val="center"/>
              <w:rPr>
                <w:rFonts w:ascii="宋体" w:hAnsi="宋体" w:cs="宋体"/>
                <w:color w:val="auto"/>
                <w:highlight w:val="none"/>
              </w:rPr>
            </w:pPr>
          </w:p>
        </w:tc>
        <w:tc>
          <w:tcPr>
            <w:tcW w:w="888" w:type="dxa"/>
            <w:vAlign w:val="center"/>
          </w:tcPr>
          <w:p w14:paraId="6E3D4562">
            <w:pPr>
              <w:pStyle w:val="276"/>
              <w:jc w:val="center"/>
              <w:rPr>
                <w:rFonts w:ascii="宋体" w:hAnsi="宋体" w:cs="宋体"/>
                <w:color w:val="auto"/>
                <w:highlight w:val="none"/>
              </w:rPr>
            </w:pPr>
            <w:r>
              <w:rPr>
                <w:rFonts w:hint="eastAsia" w:ascii="宋体" w:hAnsi="宋体" w:cs="宋体"/>
                <w:color w:val="auto"/>
                <w:highlight w:val="none"/>
              </w:rPr>
              <w:t>附件</w:t>
            </w:r>
            <w:r>
              <w:rPr>
                <w:rFonts w:ascii="宋体" w:hAnsi="宋体" w:cs="宋体"/>
                <w:color w:val="auto"/>
                <w:highlight w:val="none"/>
              </w:rPr>
              <w:t>C1.3</w:t>
            </w:r>
          </w:p>
        </w:tc>
      </w:tr>
      <w:tr w14:paraId="39FC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487" w:type="dxa"/>
            <w:vAlign w:val="center"/>
          </w:tcPr>
          <w:p w14:paraId="4749FC17">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1011" w:type="dxa"/>
            <w:tcMar>
              <w:top w:w="0" w:type="dxa"/>
              <w:left w:w="108" w:type="dxa"/>
              <w:bottom w:w="0" w:type="dxa"/>
              <w:right w:w="108" w:type="dxa"/>
            </w:tcMar>
            <w:vAlign w:val="center"/>
          </w:tcPr>
          <w:p w14:paraId="44A9F11B">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1594" w:type="dxa"/>
            <w:tcMar>
              <w:top w:w="0" w:type="dxa"/>
              <w:left w:w="108" w:type="dxa"/>
              <w:bottom w:w="0" w:type="dxa"/>
              <w:right w:w="108" w:type="dxa"/>
            </w:tcMar>
            <w:vAlign w:val="center"/>
          </w:tcPr>
          <w:p w14:paraId="3307C172">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744" w:type="dxa"/>
            <w:vAlign w:val="center"/>
          </w:tcPr>
          <w:p w14:paraId="142CB664">
            <w:pPr>
              <w:pStyle w:val="276"/>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165" w:type="dxa"/>
            <w:tcMar>
              <w:top w:w="0" w:type="dxa"/>
              <w:left w:w="108" w:type="dxa"/>
              <w:bottom w:w="0" w:type="dxa"/>
              <w:right w:w="108" w:type="dxa"/>
            </w:tcMar>
            <w:vAlign w:val="center"/>
          </w:tcPr>
          <w:p w14:paraId="43A606A7">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rPr>
              <w:t>…</w:t>
            </w:r>
          </w:p>
        </w:tc>
        <w:tc>
          <w:tcPr>
            <w:tcW w:w="846" w:type="dxa"/>
            <w:tcMar>
              <w:top w:w="0" w:type="dxa"/>
              <w:left w:w="108" w:type="dxa"/>
              <w:bottom w:w="0" w:type="dxa"/>
              <w:right w:w="108" w:type="dxa"/>
            </w:tcMar>
            <w:vAlign w:val="center"/>
          </w:tcPr>
          <w:p w14:paraId="6BB8FCAE">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578" w:type="dxa"/>
            <w:vAlign w:val="center"/>
          </w:tcPr>
          <w:p w14:paraId="76C3C2E0">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982" w:type="dxa"/>
            <w:tcMar>
              <w:top w:w="0" w:type="dxa"/>
              <w:left w:w="108" w:type="dxa"/>
              <w:bottom w:w="0" w:type="dxa"/>
              <w:right w:w="108" w:type="dxa"/>
            </w:tcMar>
            <w:vAlign w:val="center"/>
          </w:tcPr>
          <w:p w14:paraId="50EA2B40">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774" w:type="dxa"/>
            <w:vAlign w:val="center"/>
          </w:tcPr>
          <w:p w14:paraId="16C83A95">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903" w:type="dxa"/>
            <w:tcMar>
              <w:top w:w="0" w:type="dxa"/>
              <w:left w:w="108" w:type="dxa"/>
              <w:bottom w:w="0" w:type="dxa"/>
              <w:right w:w="108" w:type="dxa"/>
            </w:tcMar>
            <w:vAlign w:val="center"/>
          </w:tcPr>
          <w:p w14:paraId="78EC641C">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992" w:type="dxa"/>
            <w:vAlign w:val="center"/>
          </w:tcPr>
          <w:p w14:paraId="021B0C76">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946" w:type="dxa"/>
            <w:tcMar>
              <w:top w:w="0" w:type="dxa"/>
              <w:left w:w="108" w:type="dxa"/>
              <w:bottom w:w="0" w:type="dxa"/>
              <w:right w:w="108" w:type="dxa"/>
            </w:tcMar>
            <w:vAlign w:val="center"/>
          </w:tcPr>
          <w:p w14:paraId="0D3AD89A">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905" w:type="dxa"/>
            <w:vAlign w:val="center"/>
          </w:tcPr>
          <w:p w14:paraId="0E92918E">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941" w:type="dxa"/>
            <w:tcMar>
              <w:top w:w="0" w:type="dxa"/>
              <w:left w:w="108" w:type="dxa"/>
              <w:bottom w:w="0" w:type="dxa"/>
              <w:right w:w="108" w:type="dxa"/>
            </w:tcMar>
            <w:vAlign w:val="center"/>
          </w:tcPr>
          <w:p w14:paraId="7B6E6100">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888" w:type="dxa"/>
            <w:vAlign w:val="center"/>
          </w:tcPr>
          <w:p w14:paraId="271C3386">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r>
    </w:tbl>
    <w:p w14:paraId="1650C266">
      <w:pPr>
        <w:pStyle w:val="276"/>
        <w:spacing w:line="340" w:lineRule="exact"/>
        <w:jc w:val="left"/>
        <w:rPr>
          <w:rFonts w:ascii="宋体" w:hAnsi="宋体" w:cs="宋体"/>
          <w:color w:val="auto"/>
          <w:highlight w:val="none"/>
        </w:rPr>
      </w:pPr>
      <w:r>
        <w:rPr>
          <w:rFonts w:hint="eastAsia" w:ascii="宋体" w:hAnsi="宋体" w:cs="宋体"/>
          <w:color w:val="auto"/>
          <w:highlight w:val="none"/>
        </w:rPr>
        <w:t>注：</w:t>
      </w:r>
      <w:bookmarkStart w:id="752" w:name="_Hlk76582020"/>
      <w:r>
        <w:rPr>
          <w:rFonts w:ascii="宋体" w:hAnsi="宋体" w:cs="宋体"/>
          <w:color w:val="auto"/>
          <w:highlight w:val="none"/>
        </w:rPr>
        <w:t>1.</w:t>
      </w:r>
      <w:r>
        <w:rPr>
          <w:rFonts w:hint="eastAsia" w:ascii="宋体" w:hAnsi="宋体" w:cs="宋体"/>
          <w:color w:val="auto"/>
          <w:spacing w:val="-3"/>
          <w:szCs w:val="21"/>
          <w:highlight w:val="none"/>
        </w:rPr>
        <w:t>投标人</w:t>
      </w:r>
      <w:r>
        <w:rPr>
          <w:rFonts w:hint="eastAsia" w:ascii="宋体" w:hAnsi="宋体" w:cs="宋体"/>
          <w:color w:val="auto"/>
          <w:spacing w:val="-3"/>
          <w:szCs w:val="21"/>
          <w:highlight w:val="none"/>
          <w:lang w:val="en-US" w:eastAsia="zh-CN"/>
        </w:rPr>
        <w:t>应在本表后</w:t>
      </w:r>
      <w:r>
        <w:rPr>
          <w:rFonts w:hint="eastAsia" w:ascii="宋体" w:hAnsi="宋体" w:cs="宋体"/>
          <w:color w:val="auto"/>
          <w:spacing w:val="-3"/>
          <w:szCs w:val="21"/>
          <w:highlight w:val="none"/>
        </w:rPr>
        <w:t>提供相关业绩证明材料</w:t>
      </w:r>
      <w:r>
        <w:rPr>
          <w:rFonts w:hint="eastAsia" w:ascii="宋体" w:hAnsi="宋体" w:cs="宋体"/>
          <w:color w:val="auto"/>
          <w:spacing w:val="-3"/>
          <w:highlight w:val="none"/>
        </w:rPr>
        <w:t>附件</w:t>
      </w:r>
      <w:r>
        <w:rPr>
          <w:rFonts w:ascii="宋体" w:hAnsi="宋体" w:cs="宋体"/>
          <w:color w:val="auto"/>
          <w:highlight w:val="none"/>
        </w:rPr>
        <w:t>C1</w:t>
      </w:r>
      <w:r>
        <w:rPr>
          <w:rFonts w:hint="eastAsia" w:ascii="宋体" w:hAnsi="宋体" w:cs="宋体"/>
          <w:color w:val="auto"/>
          <w:highlight w:val="none"/>
        </w:rPr>
        <w:t>系列（路基土建工程施工监理试验室项目业绩）：</w:t>
      </w:r>
    </w:p>
    <w:p w14:paraId="13550803">
      <w:pPr>
        <w:pStyle w:val="276"/>
        <w:spacing w:line="340" w:lineRule="exact"/>
        <w:ind w:left="1020" w:leftChars="285" w:hanging="422" w:hangingChars="200"/>
        <w:jc w:val="left"/>
        <w:rPr>
          <w:rFonts w:ascii="宋体" w:hAnsi="宋体" w:cs="宋体"/>
          <w:color w:val="auto"/>
          <w:highlight w:val="none"/>
        </w:rPr>
      </w:pPr>
      <w:r>
        <w:rPr>
          <w:rFonts w:hint="eastAsia" w:ascii="宋体" w:hAnsi="宋体" w:cs="宋体"/>
          <w:b/>
          <w:bCs/>
          <w:color w:val="auto"/>
          <w:highlight w:val="none"/>
        </w:rPr>
        <w:t>□</w:t>
      </w:r>
      <w:r>
        <w:rPr>
          <w:rFonts w:hint="eastAsia" w:ascii="宋体" w:hAnsi="宋体" w:cs="宋体"/>
          <w:b/>
          <w:bCs/>
          <w:color w:val="auto"/>
          <w:highlight w:val="none"/>
          <w:lang w:val="en-US" w:eastAsia="zh-CN"/>
        </w:rPr>
        <w:t xml:space="preserve"> </w:t>
      </w:r>
      <w:r>
        <w:rPr>
          <w:rFonts w:hint="eastAsia" w:ascii="宋体" w:hAnsi="宋体" w:cs="宋体"/>
          <w:color w:val="auto"/>
          <w:highlight w:val="none"/>
        </w:rPr>
        <w:t>在交通运输部“</w:t>
      </w:r>
      <w:r>
        <w:rPr>
          <w:rFonts w:hint="eastAsia" w:ascii="宋体" w:hAnsi="宋体" w:cs="宋体"/>
          <w:color w:val="auto"/>
          <w:szCs w:val="21"/>
          <w:highlight w:val="none"/>
        </w:rPr>
        <w:t>全国公路建设市场监督管理系统</w:t>
      </w:r>
      <w:r>
        <w:rPr>
          <w:rFonts w:hint="eastAsia" w:ascii="宋体" w:hAnsi="宋体" w:cs="宋体"/>
          <w:color w:val="auto"/>
          <w:highlight w:val="none"/>
        </w:rPr>
        <w:t>”中查询到的企业“业绩信息”相关项目网页截图</w:t>
      </w:r>
      <w:r>
        <w:rPr>
          <w:rStyle w:val="58"/>
          <w:rFonts w:ascii="宋体" w:hAnsi="宋体" w:cs="宋体"/>
          <w:color w:val="auto"/>
          <w:szCs w:val="21"/>
          <w:highlight w:val="none"/>
        </w:rPr>
        <w:footnoteReference w:id="138"/>
      </w:r>
      <w:r>
        <w:rPr>
          <w:rFonts w:hint="eastAsia" w:ascii="宋体" w:hAnsi="宋体" w:cs="宋体"/>
          <w:color w:val="auto"/>
          <w:highlight w:val="none"/>
        </w:rPr>
        <w:t>。</w:t>
      </w:r>
      <w:bookmarkStart w:id="753" w:name="_Hlk99435441"/>
      <w:bookmarkStart w:id="754" w:name="_Hlk99435481"/>
      <w:r>
        <w:rPr>
          <w:rFonts w:hint="eastAsia" w:ascii="宋体" w:hAnsi="宋体" w:cs="宋体"/>
          <w:color w:val="auto"/>
          <w:highlight w:val="none"/>
        </w:rPr>
        <w:t>□和</w:t>
      </w:r>
      <w:bookmarkEnd w:id="753"/>
      <w:r>
        <w:rPr>
          <w:rFonts w:hint="eastAsia" w:ascii="宋体" w:hAnsi="宋体" w:cs="宋体"/>
          <w:color w:val="auto"/>
          <w:highlight w:val="none"/>
        </w:rPr>
        <w:t xml:space="preserve"> </w:t>
      </w:r>
      <w:r>
        <w:rPr>
          <w:rFonts w:ascii="宋体" w:hAnsi="宋体" w:cs="宋体"/>
          <w:color w:val="auto"/>
          <w:highlight w:val="none"/>
        </w:rPr>
        <w:t xml:space="preserve"> </w:t>
      </w:r>
      <w:r>
        <w:rPr>
          <w:rFonts w:hint="eastAsia" w:ascii="宋体" w:hAnsi="宋体" w:cs="宋体"/>
          <w:color w:val="auto"/>
          <w:highlight w:val="none"/>
        </w:rPr>
        <w:t>□或</w:t>
      </w:r>
      <w:bookmarkEnd w:id="754"/>
    </w:p>
    <w:p w14:paraId="6BE2621D">
      <w:pPr>
        <w:pStyle w:val="276"/>
        <w:spacing w:line="340" w:lineRule="exact"/>
        <w:ind w:firstLine="632" w:firstLineChars="300"/>
        <w:jc w:val="left"/>
        <w:rPr>
          <w:rFonts w:ascii="宋体" w:hAnsi="宋体" w:cs="宋体"/>
          <w:color w:val="auto"/>
          <w:highlight w:val="none"/>
        </w:rPr>
      </w:pPr>
      <w:r>
        <w:rPr>
          <w:rFonts w:hint="eastAsia" w:ascii="宋体" w:hAnsi="宋体" w:cs="宋体"/>
          <w:b/>
          <w:bCs/>
          <w:color w:val="auto"/>
          <w:highlight w:val="none"/>
        </w:rPr>
        <w:t>□</w:t>
      </w:r>
      <w:r>
        <w:rPr>
          <w:rFonts w:hint="eastAsia" w:ascii="宋体" w:hAnsi="宋体" w:cs="宋体"/>
          <w:b/>
          <w:bCs/>
          <w:color w:val="auto"/>
          <w:highlight w:val="none"/>
          <w:lang w:val="en-US" w:eastAsia="zh-CN"/>
        </w:rPr>
        <w:t xml:space="preserve"> </w:t>
      </w:r>
      <w:r>
        <w:rPr>
          <w:rFonts w:hint="eastAsia" w:ascii="宋体" w:hAnsi="宋体" w:cs="宋体"/>
          <w:color w:val="auto"/>
          <w:highlight w:val="none"/>
        </w:rPr>
        <w:t>证明材料：</w:t>
      </w:r>
      <w:r>
        <w:rPr>
          <w:rFonts w:ascii="宋体" w:hAnsi="宋体" w:cs="宋体"/>
          <w:color w:val="auto"/>
          <w:highlight w:val="none"/>
          <w:u w:val="single"/>
        </w:rPr>
        <w:t xml:space="preserve">          </w:t>
      </w:r>
      <w:r>
        <w:rPr>
          <w:rFonts w:hint="eastAsia" w:ascii="宋体" w:hAnsi="宋体" w:cs="宋体"/>
          <w:color w:val="auto"/>
          <w:highlight w:val="none"/>
        </w:rPr>
        <w:t>。</w:t>
      </w:r>
    </w:p>
    <w:p w14:paraId="41432B45">
      <w:pPr>
        <w:pStyle w:val="276"/>
        <w:spacing w:line="340" w:lineRule="exact"/>
        <w:ind w:firstLine="408" w:firstLineChars="200"/>
        <w:jc w:val="left"/>
        <w:rPr>
          <w:rFonts w:ascii="宋体" w:hAnsi="宋体" w:cs="宋体"/>
          <w:color w:val="auto"/>
          <w:spacing w:val="-3"/>
          <w:highlight w:val="none"/>
        </w:rPr>
      </w:pPr>
      <w:r>
        <w:rPr>
          <w:rFonts w:ascii="宋体" w:hAnsi="宋体" w:cs="宋体"/>
          <w:color w:val="auto"/>
          <w:spacing w:val="-3"/>
          <w:highlight w:val="none"/>
        </w:rPr>
        <w:t>2.</w:t>
      </w:r>
      <w:r>
        <w:rPr>
          <w:rFonts w:hint="eastAsia" w:ascii="宋体" w:hAnsi="宋体" w:cs="宋体"/>
          <w:color w:val="auto"/>
          <w:spacing w:val="-3"/>
          <w:highlight w:val="none"/>
        </w:rPr>
        <w:t>因投标人自身原因未提供业绩证明材料附件或提供的附件不能与所证明的内容相匹配，造成业绩或其他内容不予认可时，投标人自行承担相关责任。</w:t>
      </w:r>
    </w:p>
    <w:p w14:paraId="1F18642A">
      <w:pPr>
        <w:pStyle w:val="276"/>
        <w:spacing w:line="340" w:lineRule="exact"/>
        <w:ind w:left="603" w:leftChars="190" w:hanging="204" w:hangingChars="100"/>
        <w:rPr>
          <w:rFonts w:hint="eastAsia" w:ascii="宋体" w:hAnsi="宋体" w:cs="宋体"/>
          <w:color w:val="auto"/>
          <w:highlight w:val="none"/>
        </w:rPr>
      </w:pPr>
      <w:r>
        <w:rPr>
          <w:rFonts w:hint="eastAsia" w:ascii="宋体" w:hAnsi="宋体" w:cs="宋体"/>
          <w:color w:val="auto"/>
          <w:spacing w:val="-3"/>
          <w:highlight w:val="none"/>
          <w:lang w:val="en-US" w:eastAsia="zh-CN"/>
        </w:rPr>
        <w:t>3</w:t>
      </w:r>
      <w:r>
        <w:rPr>
          <w:rFonts w:ascii="宋体" w:hAnsi="宋体" w:cs="宋体"/>
          <w:color w:val="auto"/>
          <w:spacing w:val="-3"/>
          <w:highlight w:val="none"/>
        </w:rPr>
        <w:t>.</w:t>
      </w:r>
      <w:r>
        <w:rPr>
          <w:rFonts w:hint="eastAsia" w:ascii="宋体" w:hAnsi="宋体" w:eastAsia="宋体" w:cs="宋体"/>
          <w:color w:val="auto"/>
          <w:kern w:val="2"/>
          <w:sz w:val="21"/>
          <w:szCs w:val="24"/>
          <w:highlight w:val="none"/>
          <w:lang w:val="en-US" w:eastAsia="zh-CN" w:bidi="ar"/>
        </w:rPr>
        <w:t>路基土建工程指须至少包含“路基</w:t>
      </w:r>
      <w:r>
        <w:rPr>
          <w:rFonts w:hint="eastAsia" w:ascii="宋体" w:hAnsi="宋体" w:cs="宋体"/>
          <w:color w:val="auto"/>
          <w:kern w:val="2"/>
          <w:sz w:val="21"/>
          <w:szCs w:val="24"/>
          <w:highlight w:val="none"/>
          <w:lang w:val="en-US" w:eastAsia="zh-CN" w:bidi="ar"/>
        </w:rPr>
        <w:t>工程</w:t>
      </w:r>
      <w:r>
        <w:rPr>
          <w:rFonts w:hint="eastAsia" w:ascii="宋体" w:hAnsi="宋体" w:eastAsia="宋体" w:cs="宋体"/>
          <w:color w:val="auto"/>
          <w:kern w:val="2"/>
          <w:sz w:val="21"/>
          <w:szCs w:val="24"/>
          <w:highlight w:val="none"/>
          <w:lang w:val="en-US" w:eastAsia="zh-CN" w:bidi="ar"/>
        </w:rPr>
        <w:t>”的项目</w:t>
      </w:r>
      <w:r>
        <w:rPr>
          <w:rFonts w:hint="eastAsia" w:ascii="宋体" w:hAnsi="宋体" w:cs="宋体"/>
          <w:color w:val="auto"/>
          <w:kern w:val="2"/>
          <w:sz w:val="21"/>
          <w:szCs w:val="24"/>
          <w:highlight w:val="none"/>
          <w:lang w:val="en-US" w:eastAsia="zh-CN" w:bidi="ar"/>
        </w:rPr>
        <w:t>。</w:t>
      </w:r>
    </w:p>
    <w:p w14:paraId="0E1C493B">
      <w:pPr>
        <w:pStyle w:val="276"/>
        <w:spacing w:line="340" w:lineRule="exact"/>
        <w:ind w:firstLine="420" w:firstLineChars="200"/>
        <w:jc w:val="left"/>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本表所列合同价格一般为项目结算价格，无结算价格的以签约合同价格为准。</w:t>
      </w:r>
    </w:p>
    <w:p w14:paraId="5801A0F6">
      <w:pPr>
        <w:pStyle w:val="276"/>
        <w:spacing w:line="340" w:lineRule="exact"/>
        <w:ind w:left="609" w:leftChars="190" w:hanging="210" w:hangingChars="100"/>
        <w:rPr>
          <w:rFonts w:ascii="宋体" w:hAnsi="宋体" w:cs="宋体"/>
          <w:color w:val="auto"/>
          <w:highlight w:val="none"/>
        </w:rPr>
      </w:pPr>
      <w:r>
        <w:rPr>
          <w:rFonts w:hint="eastAsia" w:ascii="宋体" w:hAnsi="宋体" w:cs="宋体"/>
          <w:color w:val="auto"/>
          <w:highlight w:val="none"/>
          <w:lang w:val="en-US" w:eastAsia="zh-CN"/>
        </w:rPr>
        <w:t>5</w:t>
      </w:r>
      <w:r>
        <w:rPr>
          <w:rFonts w:ascii="宋体" w:hAnsi="宋体" w:cs="宋体"/>
          <w:color w:val="auto"/>
          <w:highlight w:val="none"/>
        </w:rPr>
        <w:t>.如近年来，投标人法人机构发生合法变更或重组或法人名称变更时，应提供相关部门的合法批件或其他相关证明材料来证明其所附业绩的继承性。</w:t>
      </w:r>
    </w:p>
    <w:p w14:paraId="07972F79">
      <w:pPr>
        <w:pStyle w:val="276"/>
        <w:spacing w:line="34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6</w:t>
      </w:r>
      <w:r>
        <w:rPr>
          <w:rFonts w:ascii="宋体" w:hAnsi="宋体" w:cs="宋体"/>
          <w:color w:val="auto"/>
          <w:highlight w:val="none"/>
        </w:rPr>
        <w:t>.</w:t>
      </w:r>
      <w:r>
        <w:rPr>
          <w:rFonts w:hint="eastAsia"/>
          <w:color w:val="auto"/>
          <w:highlight w:val="none"/>
        </w:rPr>
        <w:t>表中的</w:t>
      </w:r>
      <w:r>
        <w:rPr>
          <w:color w:val="auto"/>
          <w:highlight w:val="none"/>
        </w:rPr>
        <w:t>“</w:t>
      </w:r>
      <w:r>
        <w:rPr>
          <w:rFonts w:hint="eastAsia"/>
          <w:color w:val="auto"/>
          <w:highlight w:val="none"/>
        </w:rPr>
        <w:t>日期</w:t>
      </w:r>
      <w:r>
        <w:rPr>
          <w:color w:val="auto"/>
          <w:highlight w:val="none"/>
        </w:rPr>
        <w:t>”</w:t>
      </w:r>
      <w:r>
        <w:rPr>
          <w:rFonts w:hint="eastAsia"/>
          <w:color w:val="auto"/>
          <w:highlight w:val="none"/>
        </w:rPr>
        <w:t>填写的格式统一以阿拉伯数字表示。如：</w:t>
      </w:r>
      <w:r>
        <w:rPr>
          <w:color w:val="auto"/>
          <w:highlight w:val="none"/>
        </w:rPr>
        <w:t>20</w:t>
      </w:r>
      <w:r>
        <w:rPr>
          <w:rFonts w:hint="eastAsia"/>
          <w:color w:val="auto"/>
          <w:highlight w:val="none"/>
          <w:lang w:val="en-US" w:eastAsia="zh-CN"/>
        </w:rPr>
        <w:t>21</w:t>
      </w:r>
      <w:r>
        <w:rPr>
          <w:rFonts w:hint="eastAsia"/>
          <w:color w:val="auto"/>
          <w:highlight w:val="none"/>
        </w:rPr>
        <w:t>年</w:t>
      </w:r>
      <w:r>
        <w:rPr>
          <w:color w:val="auto"/>
          <w:highlight w:val="none"/>
        </w:rPr>
        <w:t>5</w:t>
      </w:r>
      <w:r>
        <w:rPr>
          <w:rFonts w:hint="eastAsia"/>
          <w:color w:val="auto"/>
          <w:highlight w:val="none"/>
        </w:rPr>
        <w:t>月</w:t>
      </w:r>
      <w:r>
        <w:rPr>
          <w:color w:val="auto"/>
          <w:highlight w:val="none"/>
        </w:rPr>
        <w:t>1</w:t>
      </w:r>
      <w:r>
        <w:rPr>
          <w:rFonts w:hint="eastAsia"/>
          <w:color w:val="auto"/>
          <w:highlight w:val="none"/>
        </w:rPr>
        <w:t>日，填写为</w:t>
      </w:r>
      <w:r>
        <w:rPr>
          <w:color w:val="auto"/>
          <w:highlight w:val="none"/>
        </w:rPr>
        <w:t>20</w:t>
      </w:r>
      <w:r>
        <w:rPr>
          <w:rFonts w:hint="eastAsia"/>
          <w:color w:val="auto"/>
          <w:highlight w:val="none"/>
          <w:lang w:val="en-US" w:eastAsia="zh-CN"/>
        </w:rPr>
        <w:t>21</w:t>
      </w:r>
      <w:r>
        <w:rPr>
          <w:color w:val="auto"/>
          <w:highlight w:val="none"/>
        </w:rPr>
        <w:t>0501</w:t>
      </w:r>
      <w:r>
        <w:rPr>
          <w:rFonts w:hint="eastAsia"/>
          <w:color w:val="auto"/>
          <w:highlight w:val="none"/>
        </w:rPr>
        <w:t>；</w:t>
      </w:r>
      <w:r>
        <w:rPr>
          <w:color w:val="auto"/>
          <w:highlight w:val="none"/>
        </w:rPr>
        <w:t>20</w:t>
      </w:r>
      <w:r>
        <w:rPr>
          <w:rFonts w:hint="eastAsia"/>
          <w:color w:val="auto"/>
          <w:highlight w:val="none"/>
          <w:lang w:val="en-US" w:eastAsia="zh-CN"/>
        </w:rPr>
        <w:t>21</w:t>
      </w:r>
      <w:r>
        <w:rPr>
          <w:rFonts w:hint="eastAsia"/>
          <w:color w:val="auto"/>
          <w:highlight w:val="none"/>
        </w:rPr>
        <w:t>年</w:t>
      </w:r>
      <w:r>
        <w:rPr>
          <w:color w:val="auto"/>
          <w:highlight w:val="none"/>
        </w:rPr>
        <w:t>5</w:t>
      </w:r>
      <w:r>
        <w:rPr>
          <w:rFonts w:hint="eastAsia"/>
          <w:color w:val="auto"/>
          <w:highlight w:val="none"/>
        </w:rPr>
        <w:t>月，填写为</w:t>
      </w:r>
      <w:r>
        <w:rPr>
          <w:color w:val="auto"/>
          <w:highlight w:val="none"/>
        </w:rPr>
        <w:t>20</w:t>
      </w:r>
      <w:r>
        <w:rPr>
          <w:rFonts w:hint="eastAsia"/>
          <w:color w:val="auto"/>
          <w:highlight w:val="none"/>
          <w:lang w:val="en-US" w:eastAsia="zh-CN"/>
        </w:rPr>
        <w:t>21</w:t>
      </w:r>
      <w:r>
        <w:rPr>
          <w:color w:val="auto"/>
          <w:highlight w:val="none"/>
        </w:rPr>
        <w:t>05</w:t>
      </w:r>
      <w:r>
        <w:rPr>
          <w:rFonts w:hint="eastAsia"/>
          <w:color w:val="auto"/>
          <w:highlight w:val="none"/>
        </w:rPr>
        <w:t>。</w:t>
      </w:r>
    </w:p>
    <w:p w14:paraId="402B7B5B">
      <w:pPr>
        <w:pStyle w:val="276"/>
        <w:spacing w:line="340" w:lineRule="exact"/>
        <w:ind w:left="609" w:leftChars="190" w:hanging="210" w:hangingChars="100"/>
        <w:rPr>
          <w:rFonts w:ascii="宋体" w:hAnsi="宋体" w:cs="宋体"/>
          <w:color w:val="auto"/>
          <w:highlight w:val="none"/>
        </w:rPr>
        <w:sectPr>
          <w:footnotePr>
            <w:numFmt w:val="decimalEnclosedCircleChinese"/>
            <w:numRestart w:val="eachPage"/>
          </w:footnotePr>
          <w:pgSz w:w="16839" w:h="11907" w:orient="landscape"/>
          <w:pgMar w:top="1701" w:right="1418" w:bottom="1418" w:left="1701" w:header="720" w:footer="720" w:gutter="0"/>
          <w:cols w:space="720" w:num="1"/>
          <w:docGrid w:linePitch="286" w:charSpace="0"/>
        </w:sectPr>
      </w:pPr>
      <w:r>
        <w:rPr>
          <w:rFonts w:hint="eastAsia" w:ascii="宋体" w:hAnsi="宋体" w:cs="宋体"/>
          <w:color w:val="auto"/>
          <w:highlight w:val="none"/>
          <w:lang w:val="en-US" w:eastAsia="zh-CN"/>
        </w:rPr>
        <w:t>7</w:t>
      </w:r>
      <w:r>
        <w:rPr>
          <w:rFonts w:ascii="宋体" w:hAnsi="宋体" w:cs="宋体"/>
          <w:color w:val="auto"/>
          <w:highlight w:val="none"/>
        </w:rPr>
        <w:t>.</w:t>
      </w:r>
      <w:r>
        <w:rPr>
          <w:rFonts w:hint="eastAsia" w:ascii="宋体" w:hAnsi="宋体" w:cs="宋体"/>
          <w:szCs w:val="21"/>
        </w:rPr>
        <w:t>允许联合体投标时，</w:t>
      </w:r>
      <w:r>
        <w:rPr>
          <w:rFonts w:hint="eastAsia" w:ascii="宋体" w:hAnsi="宋体" w:cs="宋体"/>
          <w:szCs w:val="21"/>
          <w:lang w:val="en-US" w:eastAsia="zh-CN"/>
        </w:rPr>
        <w:t>若</w:t>
      </w:r>
      <w:r>
        <w:rPr>
          <w:rFonts w:ascii="宋体" w:hAnsi="宋体" w:cs="宋体"/>
          <w:color w:val="auto"/>
          <w:highlight w:val="none"/>
        </w:rPr>
        <w:t>以联合体形式</w:t>
      </w:r>
      <w:r>
        <w:rPr>
          <w:rFonts w:hint="eastAsia" w:ascii="宋体" w:hAnsi="宋体" w:cs="宋体"/>
          <w:color w:val="auto"/>
          <w:highlight w:val="none"/>
        </w:rPr>
        <w:t>投标的，联合体各成员应按照第二章“投标人须知”前附表附录</w:t>
      </w:r>
      <w:r>
        <w:rPr>
          <w:rFonts w:ascii="宋体" w:hAnsi="宋体" w:cs="宋体"/>
          <w:color w:val="auto"/>
          <w:highlight w:val="none"/>
        </w:rPr>
        <w:t>2资格审查条件要求的对应业绩</w:t>
      </w:r>
      <w:r>
        <w:rPr>
          <w:rFonts w:hint="eastAsia" w:ascii="宋体" w:hAnsi="宋体" w:cs="宋体"/>
          <w:color w:val="auto"/>
          <w:highlight w:val="none"/>
        </w:rPr>
        <w:t>及</w:t>
      </w:r>
      <w:r>
        <w:rPr>
          <w:rFonts w:hint="eastAsia" w:ascii="宋体" w:hAnsi="宋体" w:cs="宋体"/>
          <w:color w:val="auto"/>
          <w:highlight w:val="none"/>
          <w:lang w:val="en-US" w:eastAsia="zh-CN"/>
        </w:rPr>
        <w:t>第三章“评标办法”</w:t>
      </w:r>
      <w:r>
        <w:rPr>
          <w:rFonts w:hint="eastAsia" w:ascii="宋体" w:hAnsi="宋体" w:cs="宋体"/>
          <w:color w:val="auto"/>
          <w:highlight w:val="none"/>
        </w:rPr>
        <w:t>详细评审打分条件（如有）</w:t>
      </w:r>
      <w:r>
        <w:rPr>
          <w:rFonts w:ascii="宋体" w:hAnsi="宋体" w:cs="宋体"/>
          <w:color w:val="auto"/>
          <w:highlight w:val="none"/>
        </w:rPr>
        <w:t>填写</w:t>
      </w:r>
      <w:r>
        <w:rPr>
          <w:rFonts w:hint="eastAsia" w:ascii="宋体" w:hAnsi="宋体" w:cs="宋体"/>
          <w:color w:val="auto"/>
          <w:highlight w:val="none"/>
          <w:lang w:val="en-US" w:eastAsia="zh-CN"/>
        </w:rPr>
        <w:t>本表</w:t>
      </w:r>
      <w:r>
        <w:rPr>
          <w:rFonts w:hint="eastAsia" w:ascii="宋体" w:hAnsi="宋体" w:cs="宋体"/>
          <w:color w:val="auto"/>
          <w:highlight w:val="none"/>
        </w:rPr>
        <w:t>。</w:t>
      </w:r>
      <w:bookmarkEnd w:id="752"/>
      <w:r>
        <w:rPr>
          <w:rFonts w:ascii="宋体" w:hAnsi="宋体" w:cs="宋体"/>
          <w:color w:val="auto"/>
          <w:highlight w:val="none"/>
        </w:rPr>
        <w:br w:type="page"/>
      </w:r>
    </w:p>
    <w:p w14:paraId="5903889E">
      <w:pPr>
        <w:pStyle w:val="276"/>
        <w:spacing w:line="360" w:lineRule="auto"/>
        <w:ind w:left="2628" w:firstLine="2168" w:firstLineChars="900"/>
        <w:rPr>
          <w:rFonts w:ascii="黑体" w:hAnsi="黑体" w:eastAsia="黑体" w:cs="宋体"/>
          <w:color w:val="auto"/>
          <w:sz w:val="24"/>
          <w:highlight w:val="none"/>
        </w:rPr>
      </w:pPr>
      <w:r>
        <w:rPr>
          <w:rFonts w:hint="eastAsia" w:ascii="黑体" w:hAnsi="黑体" w:eastAsia="黑体" w:cs="宋体"/>
          <w:b/>
          <w:color w:val="auto"/>
          <w:sz w:val="24"/>
          <w:highlight w:val="none"/>
        </w:rPr>
        <w:t>□</w:t>
      </w:r>
      <w:r>
        <w:rPr>
          <w:rFonts w:ascii="黑体" w:hAnsi="黑体" w:eastAsia="黑体" w:cs="宋体"/>
          <w:color w:val="auto"/>
          <w:sz w:val="24"/>
          <w:highlight w:val="none"/>
        </w:rPr>
        <w:t xml:space="preserve"> </w:t>
      </w:r>
      <w:r>
        <w:rPr>
          <w:rFonts w:hint="eastAsia" w:ascii="黑体" w:hAnsi="黑体" w:eastAsia="黑体" w:cs="宋体"/>
          <w:color w:val="auto"/>
          <w:sz w:val="24"/>
          <w:highlight w:val="none"/>
        </w:rPr>
        <w:t>近年完成的公路路面工程监理试验室情况</w:t>
      </w:r>
      <w:r>
        <w:rPr>
          <w:rFonts w:hint="eastAsia" w:ascii="黑体" w:hAnsi="黑体" w:eastAsia="黑体" w:cs="宋体"/>
          <w:color w:val="auto"/>
          <w:sz w:val="24"/>
          <w:highlight w:val="none"/>
          <w:lang w:val="en-US" w:eastAsia="zh-CN"/>
        </w:rPr>
        <w:t>表</w:t>
      </w:r>
      <w:r>
        <w:rPr>
          <w:rFonts w:ascii="黑体" w:hAnsi="黑体" w:eastAsia="黑体" w:cs="宋体"/>
          <w:color w:val="auto"/>
          <w:sz w:val="24"/>
          <w:highlight w:val="none"/>
        </w:rPr>
        <w:t xml:space="preserve">                          表</w:t>
      </w:r>
      <w:r>
        <w:rPr>
          <w:rFonts w:hint="eastAsia" w:ascii="黑体" w:hAnsi="黑体" w:eastAsia="黑体" w:cs="宋体"/>
          <w:color w:val="auto"/>
          <w:sz w:val="24"/>
          <w:highlight w:val="none"/>
          <w:lang w:val="en-US" w:eastAsia="zh-CN"/>
        </w:rPr>
        <w:t>2.</w:t>
      </w:r>
      <w:r>
        <w:rPr>
          <w:rFonts w:ascii="黑体" w:hAnsi="黑体" w:eastAsia="黑体" w:cs="宋体"/>
          <w:color w:val="auto"/>
          <w:sz w:val="24"/>
          <w:highlight w:val="none"/>
        </w:rPr>
        <w:t>2</w:t>
      </w:r>
    </w:p>
    <w:tbl>
      <w:tblPr>
        <w:tblStyle w:val="48"/>
        <w:tblW w:w="137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8"/>
        <w:gridCol w:w="933"/>
        <w:gridCol w:w="1490"/>
        <w:gridCol w:w="609"/>
        <w:gridCol w:w="1070"/>
        <w:gridCol w:w="768"/>
        <w:gridCol w:w="577"/>
        <w:gridCol w:w="1095"/>
        <w:gridCol w:w="600"/>
        <w:gridCol w:w="764"/>
        <w:gridCol w:w="896"/>
        <w:gridCol w:w="964"/>
        <w:gridCol w:w="836"/>
        <w:gridCol w:w="836"/>
        <w:gridCol w:w="980"/>
        <w:gridCol w:w="907"/>
      </w:tblGrid>
      <w:tr w14:paraId="6EEC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1" w:hRule="atLeast"/>
        </w:trPr>
        <w:tc>
          <w:tcPr>
            <w:tcW w:w="448" w:type="dxa"/>
            <w:vAlign w:val="center"/>
          </w:tcPr>
          <w:p w14:paraId="75C3B9C9">
            <w:pPr>
              <w:pStyle w:val="276"/>
              <w:jc w:val="center"/>
              <w:rPr>
                <w:rFonts w:ascii="宋体" w:hAnsi="宋体" w:cs="宋体"/>
                <w:color w:val="auto"/>
                <w:highlight w:val="none"/>
              </w:rPr>
            </w:pPr>
            <w:r>
              <w:rPr>
                <w:rFonts w:hint="eastAsia" w:ascii="宋体" w:hAnsi="宋体" w:cs="宋体"/>
                <w:color w:val="auto"/>
                <w:highlight w:val="none"/>
              </w:rPr>
              <w:t>序号</w:t>
            </w:r>
          </w:p>
        </w:tc>
        <w:tc>
          <w:tcPr>
            <w:tcW w:w="933" w:type="dxa"/>
            <w:tcMar>
              <w:top w:w="0" w:type="dxa"/>
              <w:left w:w="108" w:type="dxa"/>
              <w:bottom w:w="0" w:type="dxa"/>
              <w:right w:w="108" w:type="dxa"/>
            </w:tcMar>
            <w:vAlign w:val="center"/>
          </w:tcPr>
          <w:p w14:paraId="397D04DE">
            <w:pPr>
              <w:pStyle w:val="276"/>
              <w:jc w:val="center"/>
              <w:rPr>
                <w:rFonts w:ascii="宋体" w:hAnsi="宋体" w:cs="宋体"/>
                <w:color w:val="auto"/>
                <w:highlight w:val="none"/>
              </w:rPr>
            </w:pPr>
            <w:r>
              <w:rPr>
                <w:rFonts w:hint="eastAsia" w:ascii="宋体" w:hAnsi="宋体" w:cs="宋体"/>
                <w:color w:val="auto"/>
                <w:highlight w:val="none"/>
              </w:rPr>
              <w:t>项目</w:t>
            </w:r>
          </w:p>
          <w:p w14:paraId="67119F93">
            <w:pPr>
              <w:pStyle w:val="276"/>
              <w:jc w:val="center"/>
              <w:rPr>
                <w:rFonts w:ascii="宋体" w:hAnsi="宋体" w:cs="宋体"/>
                <w:color w:val="auto"/>
                <w:highlight w:val="none"/>
              </w:rPr>
            </w:pPr>
            <w:r>
              <w:rPr>
                <w:rFonts w:hint="eastAsia" w:ascii="宋体" w:hAnsi="宋体" w:cs="宋体"/>
                <w:color w:val="auto"/>
                <w:highlight w:val="none"/>
              </w:rPr>
              <w:t>业主</w:t>
            </w:r>
          </w:p>
        </w:tc>
        <w:tc>
          <w:tcPr>
            <w:tcW w:w="1490" w:type="dxa"/>
            <w:tcMar>
              <w:top w:w="0" w:type="dxa"/>
              <w:left w:w="108" w:type="dxa"/>
              <w:bottom w:w="0" w:type="dxa"/>
              <w:right w:w="108" w:type="dxa"/>
            </w:tcMar>
            <w:vAlign w:val="center"/>
          </w:tcPr>
          <w:p w14:paraId="59AA04FB">
            <w:pPr>
              <w:pStyle w:val="276"/>
              <w:jc w:val="center"/>
              <w:rPr>
                <w:rFonts w:ascii="宋体" w:hAnsi="宋体" w:cs="宋体"/>
                <w:color w:val="auto"/>
                <w:highlight w:val="none"/>
              </w:rPr>
            </w:pPr>
            <w:r>
              <w:rPr>
                <w:rFonts w:hint="eastAsia" w:ascii="宋体" w:hAnsi="宋体" w:cs="宋体"/>
                <w:color w:val="auto"/>
                <w:highlight w:val="none"/>
              </w:rPr>
              <w:t>项目名称</w:t>
            </w:r>
          </w:p>
        </w:tc>
        <w:tc>
          <w:tcPr>
            <w:tcW w:w="609" w:type="dxa"/>
            <w:vAlign w:val="center"/>
          </w:tcPr>
          <w:p w14:paraId="4440552B">
            <w:pPr>
              <w:pStyle w:val="276"/>
              <w:jc w:val="center"/>
              <w:rPr>
                <w:rFonts w:ascii="宋体" w:hAnsi="宋体" w:cs="宋体"/>
                <w:color w:val="auto"/>
                <w:highlight w:val="none"/>
              </w:rPr>
            </w:pPr>
            <w:r>
              <w:rPr>
                <w:rFonts w:hint="eastAsia" w:ascii="宋体" w:hAnsi="宋体" w:cs="宋体"/>
                <w:color w:val="auto"/>
                <w:highlight w:val="none"/>
              </w:rPr>
              <w:t>公路</w:t>
            </w:r>
          </w:p>
          <w:p w14:paraId="2FA64AB0">
            <w:pPr>
              <w:pStyle w:val="276"/>
              <w:jc w:val="center"/>
              <w:rPr>
                <w:rFonts w:ascii="宋体" w:hAnsi="宋体" w:cs="宋体"/>
                <w:color w:val="auto"/>
                <w:highlight w:val="none"/>
              </w:rPr>
            </w:pPr>
            <w:r>
              <w:rPr>
                <w:rFonts w:hint="eastAsia" w:ascii="宋体" w:hAnsi="宋体" w:cs="宋体"/>
                <w:color w:val="auto"/>
                <w:highlight w:val="none"/>
              </w:rPr>
              <w:t>等级</w:t>
            </w:r>
          </w:p>
        </w:tc>
        <w:tc>
          <w:tcPr>
            <w:tcW w:w="1070" w:type="dxa"/>
            <w:tcMar>
              <w:top w:w="0" w:type="dxa"/>
              <w:left w:w="108" w:type="dxa"/>
              <w:bottom w:w="0" w:type="dxa"/>
              <w:right w:w="108" w:type="dxa"/>
            </w:tcMar>
            <w:vAlign w:val="center"/>
          </w:tcPr>
          <w:p w14:paraId="31609AA8">
            <w:pPr>
              <w:pStyle w:val="276"/>
              <w:adjustRightInd w:val="0"/>
              <w:snapToGrid w:val="0"/>
              <w:jc w:val="center"/>
              <w:rPr>
                <w:rFonts w:hint="eastAsia" w:ascii="宋体" w:hAnsi="宋体" w:cs="宋体"/>
                <w:color w:val="auto"/>
                <w:highlight w:val="none"/>
              </w:rPr>
            </w:pPr>
            <w:r>
              <w:rPr>
                <w:rFonts w:hint="eastAsia" w:ascii="宋体" w:hAnsi="宋体" w:cs="宋体"/>
                <w:color w:val="auto"/>
                <w:szCs w:val="21"/>
                <w:highlight w:val="none"/>
                <w:lang w:val="en-US" w:eastAsia="zh-CN"/>
              </w:rPr>
              <w:t>项目建设形式</w:t>
            </w:r>
          </w:p>
        </w:tc>
        <w:tc>
          <w:tcPr>
            <w:tcW w:w="768" w:type="dxa"/>
            <w:tcMar>
              <w:top w:w="0" w:type="dxa"/>
              <w:left w:w="108" w:type="dxa"/>
              <w:bottom w:w="0" w:type="dxa"/>
              <w:right w:w="108" w:type="dxa"/>
            </w:tcMar>
            <w:vAlign w:val="center"/>
          </w:tcPr>
          <w:p w14:paraId="3762556C">
            <w:pPr>
              <w:pStyle w:val="276"/>
              <w:jc w:val="center"/>
              <w:rPr>
                <w:rFonts w:ascii="宋体" w:hAnsi="宋体" w:cs="宋体"/>
                <w:color w:val="auto"/>
                <w:highlight w:val="none"/>
              </w:rPr>
            </w:pPr>
            <w:r>
              <w:rPr>
                <w:rFonts w:hint="eastAsia" w:ascii="宋体" w:hAnsi="宋体" w:cs="宋体"/>
                <w:color w:val="auto"/>
                <w:highlight w:val="none"/>
              </w:rPr>
              <w:t>标段号</w:t>
            </w:r>
          </w:p>
        </w:tc>
        <w:tc>
          <w:tcPr>
            <w:tcW w:w="577" w:type="dxa"/>
            <w:vAlign w:val="center"/>
          </w:tcPr>
          <w:p w14:paraId="156AFEEF">
            <w:pPr>
              <w:pStyle w:val="276"/>
              <w:jc w:val="center"/>
              <w:rPr>
                <w:rFonts w:ascii="宋体" w:hAnsi="宋体" w:cs="宋体"/>
                <w:color w:val="auto"/>
                <w:highlight w:val="none"/>
              </w:rPr>
            </w:pPr>
            <w:r>
              <w:rPr>
                <w:rFonts w:hint="eastAsia" w:ascii="宋体" w:hAnsi="宋体" w:cs="宋体"/>
                <w:color w:val="auto"/>
                <w:highlight w:val="none"/>
              </w:rPr>
              <w:t>开工</w:t>
            </w:r>
          </w:p>
          <w:p w14:paraId="782C1B24">
            <w:pPr>
              <w:pStyle w:val="276"/>
              <w:jc w:val="center"/>
              <w:rPr>
                <w:rFonts w:ascii="宋体" w:hAnsi="宋体" w:cs="宋体"/>
                <w:color w:val="auto"/>
                <w:highlight w:val="none"/>
              </w:rPr>
            </w:pPr>
            <w:r>
              <w:rPr>
                <w:rFonts w:hint="eastAsia" w:ascii="宋体" w:hAnsi="宋体" w:cs="宋体"/>
                <w:color w:val="auto"/>
                <w:highlight w:val="none"/>
              </w:rPr>
              <w:t>日期</w:t>
            </w:r>
          </w:p>
        </w:tc>
        <w:tc>
          <w:tcPr>
            <w:tcW w:w="1095" w:type="dxa"/>
            <w:tcMar>
              <w:top w:w="0" w:type="dxa"/>
              <w:left w:w="108" w:type="dxa"/>
              <w:bottom w:w="0" w:type="dxa"/>
              <w:right w:w="108" w:type="dxa"/>
            </w:tcMar>
            <w:vAlign w:val="center"/>
          </w:tcPr>
          <w:p w14:paraId="75EE288F">
            <w:pPr>
              <w:pStyle w:val="276"/>
              <w:jc w:val="center"/>
              <w:rPr>
                <w:rFonts w:ascii="宋体" w:hAnsi="宋体" w:cs="宋体"/>
                <w:color w:val="auto"/>
                <w:highlight w:val="none"/>
              </w:rPr>
            </w:pPr>
            <w:r>
              <w:rPr>
                <w:rFonts w:hint="eastAsia" w:ascii="宋体" w:hAnsi="宋体" w:cs="宋体"/>
                <w:color w:val="auto"/>
                <w:highlight w:val="none"/>
              </w:rPr>
              <w:t>完成（交工）日期</w:t>
            </w:r>
          </w:p>
        </w:tc>
        <w:tc>
          <w:tcPr>
            <w:tcW w:w="600" w:type="dxa"/>
            <w:vAlign w:val="center"/>
          </w:tcPr>
          <w:p w14:paraId="45BF7C7F">
            <w:pPr>
              <w:pStyle w:val="276"/>
              <w:jc w:val="center"/>
              <w:rPr>
                <w:rFonts w:ascii="宋体" w:hAnsi="宋体" w:cs="宋体"/>
                <w:color w:val="auto"/>
                <w:highlight w:val="none"/>
              </w:rPr>
            </w:pPr>
            <w:r>
              <w:rPr>
                <w:rFonts w:hint="eastAsia" w:ascii="宋体" w:hAnsi="宋体" w:cs="宋体"/>
                <w:color w:val="auto"/>
                <w:highlight w:val="none"/>
              </w:rPr>
              <w:t>服务</w:t>
            </w:r>
          </w:p>
          <w:p w14:paraId="5659E499">
            <w:pPr>
              <w:pStyle w:val="276"/>
              <w:jc w:val="center"/>
              <w:rPr>
                <w:rFonts w:ascii="宋体" w:hAnsi="宋体" w:cs="宋体"/>
                <w:color w:val="auto"/>
                <w:highlight w:val="none"/>
              </w:rPr>
            </w:pPr>
            <w:r>
              <w:rPr>
                <w:rFonts w:hint="eastAsia" w:ascii="宋体" w:hAnsi="宋体" w:cs="宋体"/>
                <w:color w:val="auto"/>
                <w:highlight w:val="none"/>
              </w:rPr>
              <w:t>期限</w:t>
            </w:r>
          </w:p>
        </w:tc>
        <w:tc>
          <w:tcPr>
            <w:tcW w:w="764" w:type="dxa"/>
            <w:tcMar>
              <w:top w:w="0" w:type="dxa"/>
              <w:left w:w="108" w:type="dxa"/>
              <w:bottom w:w="0" w:type="dxa"/>
              <w:right w:w="108" w:type="dxa"/>
            </w:tcMar>
            <w:vAlign w:val="center"/>
          </w:tcPr>
          <w:p w14:paraId="32266A84">
            <w:pPr>
              <w:pStyle w:val="276"/>
              <w:jc w:val="center"/>
              <w:rPr>
                <w:rFonts w:ascii="宋体" w:hAnsi="宋体" w:cs="宋体"/>
                <w:color w:val="auto"/>
                <w:highlight w:val="none"/>
              </w:rPr>
            </w:pPr>
            <w:r>
              <w:rPr>
                <w:rFonts w:hint="eastAsia" w:ascii="宋体" w:hAnsi="宋体" w:cs="宋体"/>
                <w:color w:val="auto"/>
                <w:highlight w:val="none"/>
              </w:rPr>
              <w:t>服务</w:t>
            </w:r>
          </w:p>
          <w:p w14:paraId="44EB2644">
            <w:pPr>
              <w:pStyle w:val="276"/>
              <w:jc w:val="center"/>
              <w:rPr>
                <w:rFonts w:ascii="宋体" w:hAnsi="宋体" w:cs="宋体"/>
                <w:color w:val="auto"/>
                <w:highlight w:val="none"/>
              </w:rPr>
            </w:pPr>
            <w:r>
              <w:rPr>
                <w:rFonts w:hint="eastAsia" w:ascii="宋体" w:hAnsi="宋体" w:cs="宋体"/>
                <w:color w:val="auto"/>
                <w:highlight w:val="none"/>
              </w:rPr>
              <w:t>内容</w:t>
            </w:r>
          </w:p>
        </w:tc>
        <w:tc>
          <w:tcPr>
            <w:tcW w:w="896" w:type="dxa"/>
            <w:vAlign w:val="center"/>
          </w:tcPr>
          <w:p w14:paraId="726F8CDF">
            <w:pPr>
              <w:pStyle w:val="276"/>
              <w:jc w:val="center"/>
              <w:rPr>
                <w:rFonts w:ascii="宋体" w:hAnsi="宋体" w:cs="宋体"/>
                <w:color w:val="auto"/>
                <w:highlight w:val="none"/>
              </w:rPr>
            </w:pPr>
            <w:r>
              <w:rPr>
                <w:rFonts w:hint="eastAsia" w:ascii="宋体" w:hAnsi="宋体" w:cs="宋体"/>
                <w:color w:val="auto"/>
                <w:highlight w:val="none"/>
              </w:rPr>
              <w:t>项目总投资（万元）</w:t>
            </w:r>
          </w:p>
        </w:tc>
        <w:tc>
          <w:tcPr>
            <w:tcW w:w="964" w:type="dxa"/>
            <w:tcMar>
              <w:top w:w="0" w:type="dxa"/>
              <w:left w:w="108" w:type="dxa"/>
              <w:bottom w:w="0" w:type="dxa"/>
              <w:right w:w="108" w:type="dxa"/>
            </w:tcMar>
            <w:vAlign w:val="center"/>
          </w:tcPr>
          <w:p w14:paraId="69E900F0">
            <w:pPr>
              <w:pStyle w:val="276"/>
              <w:jc w:val="center"/>
              <w:rPr>
                <w:rFonts w:ascii="宋体" w:hAnsi="宋体" w:cs="宋体"/>
                <w:color w:val="auto"/>
                <w:highlight w:val="none"/>
              </w:rPr>
            </w:pPr>
            <w:r>
              <w:rPr>
                <w:rFonts w:hint="eastAsia" w:ascii="宋体" w:hAnsi="宋体" w:cs="宋体"/>
                <w:color w:val="auto"/>
                <w:highlight w:val="none"/>
              </w:rPr>
              <w:t>合同价格（元）</w:t>
            </w:r>
          </w:p>
        </w:tc>
        <w:tc>
          <w:tcPr>
            <w:tcW w:w="836" w:type="dxa"/>
            <w:vAlign w:val="center"/>
          </w:tcPr>
          <w:p w14:paraId="1C73FCE7">
            <w:pPr>
              <w:pStyle w:val="276"/>
              <w:jc w:val="center"/>
              <w:rPr>
                <w:rFonts w:ascii="宋体" w:hAnsi="宋体" w:cs="宋体"/>
                <w:color w:val="auto"/>
                <w:highlight w:val="none"/>
              </w:rPr>
            </w:pPr>
            <w:r>
              <w:rPr>
                <w:rFonts w:hint="eastAsia" w:ascii="宋体" w:hAnsi="宋体" w:cs="宋体"/>
                <w:color w:val="auto"/>
                <w:highlight w:val="none"/>
              </w:rPr>
              <w:t>路面结构类型</w:t>
            </w:r>
          </w:p>
        </w:tc>
        <w:tc>
          <w:tcPr>
            <w:tcW w:w="836" w:type="dxa"/>
            <w:vAlign w:val="center"/>
          </w:tcPr>
          <w:p w14:paraId="273FEEF9">
            <w:pPr>
              <w:pStyle w:val="276"/>
              <w:jc w:val="center"/>
              <w:rPr>
                <w:rFonts w:ascii="宋体" w:hAnsi="宋体" w:cs="宋体"/>
                <w:color w:val="auto"/>
                <w:highlight w:val="none"/>
              </w:rPr>
            </w:pPr>
            <w:r>
              <w:rPr>
                <w:rFonts w:hint="eastAsia" w:ascii="宋体" w:hAnsi="宋体" w:cs="宋体"/>
                <w:color w:val="auto"/>
                <w:highlight w:val="none"/>
              </w:rPr>
              <w:t>标段长度（</w:t>
            </w:r>
            <w:r>
              <w:rPr>
                <w:rFonts w:ascii="宋体" w:hAnsi="宋体" w:cs="宋体"/>
                <w:color w:val="auto"/>
                <w:highlight w:val="none"/>
              </w:rPr>
              <w:t>m）</w:t>
            </w:r>
          </w:p>
        </w:tc>
        <w:tc>
          <w:tcPr>
            <w:tcW w:w="980" w:type="dxa"/>
            <w:tcMar>
              <w:top w:w="0" w:type="dxa"/>
              <w:left w:w="108" w:type="dxa"/>
              <w:bottom w:w="0" w:type="dxa"/>
              <w:right w:w="108" w:type="dxa"/>
            </w:tcMar>
            <w:vAlign w:val="center"/>
          </w:tcPr>
          <w:p w14:paraId="7F4BADFD">
            <w:pPr>
              <w:pStyle w:val="276"/>
              <w:jc w:val="center"/>
              <w:rPr>
                <w:rFonts w:ascii="宋体" w:hAnsi="宋体" w:cs="宋体"/>
                <w:color w:val="auto"/>
                <w:highlight w:val="none"/>
              </w:rPr>
            </w:pPr>
            <w:r>
              <w:rPr>
                <w:rFonts w:hint="eastAsia" w:ascii="宋体" w:hAnsi="宋体" w:cs="宋体"/>
                <w:color w:val="auto"/>
                <w:highlight w:val="none"/>
              </w:rPr>
              <w:t>试验室主任</w:t>
            </w:r>
          </w:p>
        </w:tc>
        <w:tc>
          <w:tcPr>
            <w:tcW w:w="907" w:type="dxa"/>
            <w:vAlign w:val="center"/>
          </w:tcPr>
          <w:p w14:paraId="01F6E375">
            <w:pPr>
              <w:pStyle w:val="276"/>
              <w:jc w:val="center"/>
              <w:rPr>
                <w:rFonts w:ascii="宋体" w:hAnsi="宋体" w:cs="宋体"/>
                <w:color w:val="auto"/>
                <w:highlight w:val="none"/>
              </w:rPr>
            </w:pPr>
            <w:r>
              <w:rPr>
                <w:rFonts w:hint="eastAsia" w:ascii="宋体" w:hAnsi="宋体" w:cs="宋体"/>
                <w:color w:val="auto"/>
                <w:highlight w:val="none"/>
              </w:rPr>
              <w:t>业绩证明材料附件</w:t>
            </w:r>
          </w:p>
        </w:tc>
      </w:tr>
      <w:tr w14:paraId="0C7F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448" w:type="dxa"/>
            <w:vAlign w:val="center"/>
          </w:tcPr>
          <w:p w14:paraId="7FE3CEF3">
            <w:pPr>
              <w:pStyle w:val="276"/>
              <w:jc w:val="center"/>
              <w:rPr>
                <w:rFonts w:ascii="宋体" w:hAnsi="宋体" w:cs="宋体"/>
                <w:color w:val="auto"/>
                <w:highlight w:val="none"/>
              </w:rPr>
            </w:pPr>
          </w:p>
        </w:tc>
        <w:tc>
          <w:tcPr>
            <w:tcW w:w="933" w:type="dxa"/>
            <w:tcMar>
              <w:top w:w="0" w:type="dxa"/>
              <w:left w:w="108" w:type="dxa"/>
              <w:bottom w:w="0" w:type="dxa"/>
              <w:right w:w="108" w:type="dxa"/>
            </w:tcMar>
            <w:vAlign w:val="center"/>
          </w:tcPr>
          <w:p w14:paraId="10A8B563">
            <w:pPr>
              <w:pStyle w:val="276"/>
              <w:jc w:val="center"/>
              <w:rPr>
                <w:rFonts w:ascii="宋体" w:hAnsi="宋体" w:cs="宋体"/>
                <w:color w:val="auto"/>
                <w:highlight w:val="none"/>
              </w:rPr>
            </w:pPr>
          </w:p>
        </w:tc>
        <w:tc>
          <w:tcPr>
            <w:tcW w:w="1490" w:type="dxa"/>
            <w:tcMar>
              <w:top w:w="0" w:type="dxa"/>
              <w:left w:w="108" w:type="dxa"/>
              <w:bottom w:w="0" w:type="dxa"/>
              <w:right w:w="108" w:type="dxa"/>
            </w:tcMar>
            <w:vAlign w:val="center"/>
          </w:tcPr>
          <w:p w14:paraId="0553BDC9">
            <w:pPr>
              <w:pStyle w:val="276"/>
              <w:jc w:val="center"/>
              <w:rPr>
                <w:rFonts w:ascii="宋体" w:hAnsi="宋体" w:cs="宋体"/>
                <w:color w:val="auto"/>
                <w:highlight w:val="none"/>
              </w:rPr>
            </w:pPr>
          </w:p>
        </w:tc>
        <w:tc>
          <w:tcPr>
            <w:tcW w:w="609" w:type="dxa"/>
          </w:tcPr>
          <w:p w14:paraId="08A88633">
            <w:pPr>
              <w:pStyle w:val="276"/>
              <w:jc w:val="center"/>
              <w:rPr>
                <w:rFonts w:ascii="宋体" w:hAnsi="宋体" w:cs="宋体"/>
                <w:color w:val="auto"/>
                <w:highlight w:val="none"/>
              </w:rPr>
            </w:pPr>
          </w:p>
        </w:tc>
        <w:tc>
          <w:tcPr>
            <w:tcW w:w="1070" w:type="dxa"/>
            <w:tcMar>
              <w:top w:w="0" w:type="dxa"/>
              <w:left w:w="108" w:type="dxa"/>
              <w:bottom w:w="0" w:type="dxa"/>
              <w:right w:w="108" w:type="dxa"/>
            </w:tcMar>
            <w:vAlign w:val="center"/>
          </w:tcPr>
          <w:p w14:paraId="112CB4B8">
            <w:pPr>
              <w:widowControl/>
              <w:spacing w:line="240" w:lineRule="auto"/>
              <w:jc w:val="left"/>
              <w:rPr>
                <w:rFonts w:ascii="宋体" w:hAnsi="宋体"/>
                <w:szCs w:val="21"/>
              </w:rPr>
            </w:pPr>
            <w:r>
              <w:rPr>
                <w:rFonts w:hint="eastAsia" w:ascii="宋体" w:hAnsi="宋体"/>
                <w:szCs w:val="21"/>
              </w:rPr>
              <w:t>□新建</w:t>
            </w:r>
          </w:p>
          <w:p w14:paraId="5B603244">
            <w:pPr>
              <w:jc w:val="left"/>
              <w:rPr>
                <w:rFonts w:ascii="宋体" w:hAnsi="宋体" w:cs="宋体"/>
                <w:color w:val="auto"/>
                <w:highlight w:val="none"/>
              </w:rPr>
            </w:pPr>
            <w:r>
              <w:rPr>
                <w:rFonts w:hint="eastAsia" w:ascii="宋体" w:hAnsi="宋体"/>
                <w:szCs w:val="21"/>
              </w:rPr>
              <w:t>□改扩建</w:t>
            </w:r>
          </w:p>
        </w:tc>
        <w:tc>
          <w:tcPr>
            <w:tcW w:w="768" w:type="dxa"/>
            <w:tcMar>
              <w:top w:w="0" w:type="dxa"/>
              <w:left w:w="108" w:type="dxa"/>
              <w:bottom w:w="0" w:type="dxa"/>
              <w:right w:w="108" w:type="dxa"/>
            </w:tcMar>
            <w:vAlign w:val="center"/>
          </w:tcPr>
          <w:p w14:paraId="504BA26F">
            <w:pPr>
              <w:pStyle w:val="276"/>
              <w:jc w:val="center"/>
              <w:rPr>
                <w:rFonts w:ascii="宋体" w:hAnsi="宋体" w:cs="宋体"/>
                <w:color w:val="auto"/>
                <w:highlight w:val="none"/>
              </w:rPr>
            </w:pPr>
          </w:p>
        </w:tc>
        <w:tc>
          <w:tcPr>
            <w:tcW w:w="577" w:type="dxa"/>
          </w:tcPr>
          <w:p w14:paraId="0AE29B47">
            <w:pPr>
              <w:pStyle w:val="276"/>
              <w:jc w:val="center"/>
              <w:rPr>
                <w:rFonts w:ascii="宋体" w:hAnsi="宋体" w:cs="宋体"/>
                <w:color w:val="auto"/>
                <w:highlight w:val="none"/>
              </w:rPr>
            </w:pPr>
          </w:p>
        </w:tc>
        <w:tc>
          <w:tcPr>
            <w:tcW w:w="1095" w:type="dxa"/>
            <w:tcMar>
              <w:top w:w="0" w:type="dxa"/>
              <w:left w:w="108" w:type="dxa"/>
              <w:bottom w:w="0" w:type="dxa"/>
              <w:right w:w="108" w:type="dxa"/>
            </w:tcMar>
            <w:vAlign w:val="center"/>
          </w:tcPr>
          <w:p w14:paraId="1205C06D">
            <w:pPr>
              <w:pStyle w:val="276"/>
              <w:jc w:val="center"/>
              <w:rPr>
                <w:rFonts w:ascii="宋体" w:hAnsi="宋体" w:cs="宋体"/>
                <w:color w:val="auto"/>
                <w:highlight w:val="none"/>
              </w:rPr>
            </w:pPr>
          </w:p>
        </w:tc>
        <w:tc>
          <w:tcPr>
            <w:tcW w:w="600" w:type="dxa"/>
            <w:vAlign w:val="center"/>
          </w:tcPr>
          <w:p w14:paraId="202F65BB">
            <w:pPr>
              <w:pStyle w:val="276"/>
              <w:jc w:val="center"/>
              <w:rPr>
                <w:rFonts w:ascii="宋体" w:hAnsi="宋体" w:cs="宋体"/>
                <w:color w:val="auto"/>
                <w:highlight w:val="none"/>
              </w:rPr>
            </w:pPr>
          </w:p>
        </w:tc>
        <w:tc>
          <w:tcPr>
            <w:tcW w:w="764" w:type="dxa"/>
            <w:tcMar>
              <w:top w:w="0" w:type="dxa"/>
              <w:left w:w="108" w:type="dxa"/>
              <w:bottom w:w="0" w:type="dxa"/>
              <w:right w:w="108" w:type="dxa"/>
            </w:tcMar>
            <w:vAlign w:val="center"/>
          </w:tcPr>
          <w:p w14:paraId="276A2553">
            <w:pPr>
              <w:pStyle w:val="276"/>
              <w:jc w:val="center"/>
              <w:rPr>
                <w:rFonts w:ascii="宋体" w:hAnsi="宋体" w:cs="宋体"/>
                <w:color w:val="auto"/>
                <w:highlight w:val="none"/>
              </w:rPr>
            </w:pPr>
          </w:p>
        </w:tc>
        <w:tc>
          <w:tcPr>
            <w:tcW w:w="896" w:type="dxa"/>
            <w:vAlign w:val="center"/>
          </w:tcPr>
          <w:p w14:paraId="5325ACB2">
            <w:pPr>
              <w:pStyle w:val="276"/>
              <w:jc w:val="center"/>
              <w:rPr>
                <w:rFonts w:ascii="宋体" w:hAnsi="宋体" w:cs="宋体"/>
                <w:color w:val="auto"/>
                <w:highlight w:val="none"/>
              </w:rPr>
            </w:pPr>
          </w:p>
        </w:tc>
        <w:tc>
          <w:tcPr>
            <w:tcW w:w="964" w:type="dxa"/>
            <w:tcMar>
              <w:top w:w="0" w:type="dxa"/>
              <w:left w:w="108" w:type="dxa"/>
              <w:bottom w:w="0" w:type="dxa"/>
              <w:right w:w="108" w:type="dxa"/>
            </w:tcMar>
            <w:vAlign w:val="center"/>
          </w:tcPr>
          <w:p w14:paraId="59869E2A">
            <w:pPr>
              <w:pStyle w:val="276"/>
              <w:jc w:val="center"/>
              <w:rPr>
                <w:rFonts w:ascii="宋体" w:hAnsi="宋体" w:cs="宋体"/>
                <w:color w:val="auto"/>
                <w:highlight w:val="none"/>
              </w:rPr>
            </w:pPr>
          </w:p>
        </w:tc>
        <w:tc>
          <w:tcPr>
            <w:tcW w:w="836" w:type="dxa"/>
          </w:tcPr>
          <w:p w14:paraId="3754D510">
            <w:pPr>
              <w:pStyle w:val="276"/>
              <w:jc w:val="center"/>
              <w:rPr>
                <w:rFonts w:ascii="宋体" w:hAnsi="宋体" w:cs="宋体"/>
                <w:color w:val="auto"/>
                <w:highlight w:val="none"/>
              </w:rPr>
            </w:pPr>
          </w:p>
        </w:tc>
        <w:tc>
          <w:tcPr>
            <w:tcW w:w="836" w:type="dxa"/>
          </w:tcPr>
          <w:p w14:paraId="51C395E2">
            <w:pPr>
              <w:pStyle w:val="276"/>
              <w:jc w:val="center"/>
              <w:rPr>
                <w:rFonts w:ascii="宋体" w:hAnsi="宋体" w:cs="宋体"/>
                <w:color w:val="auto"/>
                <w:highlight w:val="none"/>
              </w:rPr>
            </w:pPr>
          </w:p>
        </w:tc>
        <w:tc>
          <w:tcPr>
            <w:tcW w:w="980" w:type="dxa"/>
            <w:tcMar>
              <w:top w:w="0" w:type="dxa"/>
              <w:left w:w="108" w:type="dxa"/>
              <w:bottom w:w="0" w:type="dxa"/>
              <w:right w:w="108" w:type="dxa"/>
            </w:tcMar>
            <w:vAlign w:val="center"/>
          </w:tcPr>
          <w:p w14:paraId="5F0791BF">
            <w:pPr>
              <w:pStyle w:val="276"/>
              <w:jc w:val="center"/>
              <w:rPr>
                <w:rFonts w:ascii="宋体" w:hAnsi="宋体" w:cs="宋体"/>
                <w:color w:val="auto"/>
                <w:highlight w:val="none"/>
              </w:rPr>
            </w:pPr>
          </w:p>
        </w:tc>
        <w:tc>
          <w:tcPr>
            <w:tcW w:w="907" w:type="dxa"/>
            <w:vAlign w:val="center"/>
          </w:tcPr>
          <w:p w14:paraId="7E7B6680">
            <w:pPr>
              <w:pStyle w:val="276"/>
              <w:jc w:val="center"/>
              <w:rPr>
                <w:rFonts w:ascii="宋体" w:hAnsi="宋体" w:cs="宋体"/>
                <w:color w:val="auto"/>
                <w:highlight w:val="none"/>
              </w:rPr>
            </w:pPr>
            <w:r>
              <w:rPr>
                <w:rFonts w:hint="eastAsia" w:ascii="宋体" w:hAnsi="宋体" w:cs="宋体"/>
                <w:color w:val="auto"/>
                <w:highlight w:val="none"/>
              </w:rPr>
              <w:t>附件</w:t>
            </w:r>
            <w:r>
              <w:rPr>
                <w:rFonts w:ascii="宋体" w:hAnsi="宋体" w:cs="宋体"/>
                <w:color w:val="auto"/>
                <w:highlight w:val="none"/>
              </w:rPr>
              <w:t>C2.1</w:t>
            </w:r>
          </w:p>
        </w:tc>
      </w:tr>
      <w:tr w14:paraId="0CAEA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448" w:type="dxa"/>
            <w:vAlign w:val="center"/>
          </w:tcPr>
          <w:p w14:paraId="5C49AC40">
            <w:pPr>
              <w:pStyle w:val="276"/>
              <w:jc w:val="center"/>
              <w:rPr>
                <w:rFonts w:ascii="宋体" w:hAnsi="宋体" w:cs="宋体"/>
                <w:color w:val="auto"/>
                <w:highlight w:val="none"/>
              </w:rPr>
            </w:pPr>
          </w:p>
        </w:tc>
        <w:tc>
          <w:tcPr>
            <w:tcW w:w="933" w:type="dxa"/>
            <w:tcMar>
              <w:top w:w="0" w:type="dxa"/>
              <w:left w:w="108" w:type="dxa"/>
              <w:bottom w:w="0" w:type="dxa"/>
              <w:right w:w="108" w:type="dxa"/>
            </w:tcMar>
            <w:vAlign w:val="center"/>
          </w:tcPr>
          <w:p w14:paraId="2373F961">
            <w:pPr>
              <w:pStyle w:val="276"/>
              <w:jc w:val="center"/>
              <w:rPr>
                <w:rFonts w:ascii="宋体" w:hAnsi="宋体" w:cs="宋体"/>
                <w:color w:val="auto"/>
                <w:highlight w:val="none"/>
              </w:rPr>
            </w:pPr>
          </w:p>
        </w:tc>
        <w:tc>
          <w:tcPr>
            <w:tcW w:w="1490" w:type="dxa"/>
            <w:tcMar>
              <w:top w:w="0" w:type="dxa"/>
              <w:left w:w="108" w:type="dxa"/>
              <w:bottom w:w="0" w:type="dxa"/>
              <w:right w:w="108" w:type="dxa"/>
            </w:tcMar>
            <w:vAlign w:val="center"/>
          </w:tcPr>
          <w:p w14:paraId="507DD7D9">
            <w:pPr>
              <w:pStyle w:val="276"/>
              <w:jc w:val="center"/>
              <w:rPr>
                <w:rFonts w:ascii="宋体" w:hAnsi="宋体" w:cs="宋体"/>
                <w:color w:val="auto"/>
                <w:highlight w:val="none"/>
              </w:rPr>
            </w:pPr>
          </w:p>
        </w:tc>
        <w:tc>
          <w:tcPr>
            <w:tcW w:w="609" w:type="dxa"/>
          </w:tcPr>
          <w:p w14:paraId="7F58825A">
            <w:pPr>
              <w:pStyle w:val="276"/>
              <w:jc w:val="center"/>
              <w:rPr>
                <w:rFonts w:ascii="宋体" w:hAnsi="宋体" w:cs="宋体"/>
                <w:color w:val="auto"/>
                <w:highlight w:val="none"/>
              </w:rPr>
            </w:pPr>
          </w:p>
        </w:tc>
        <w:tc>
          <w:tcPr>
            <w:tcW w:w="1070" w:type="dxa"/>
            <w:tcMar>
              <w:top w:w="0" w:type="dxa"/>
              <w:left w:w="108" w:type="dxa"/>
              <w:bottom w:w="0" w:type="dxa"/>
              <w:right w:w="108" w:type="dxa"/>
            </w:tcMar>
            <w:vAlign w:val="center"/>
          </w:tcPr>
          <w:p w14:paraId="30F80F73">
            <w:pPr>
              <w:widowControl/>
              <w:spacing w:line="240" w:lineRule="auto"/>
              <w:jc w:val="left"/>
              <w:rPr>
                <w:rFonts w:ascii="宋体" w:hAnsi="宋体"/>
                <w:szCs w:val="21"/>
              </w:rPr>
            </w:pPr>
            <w:r>
              <w:rPr>
                <w:rFonts w:hint="eastAsia" w:ascii="宋体" w:hAnsi="宋体"/>
                <w:szCs w:val="21"/>
              </w:rPr>
              <w:t>□新建</w:t>
            </w:r>
          </w:p>
          <w:p w14:paraId="360C391B">
            <w:pPr>
              <w:jc w:val="left"/>
              <w:rPr>
                <w:rFonts w:ascii="宋体" w:hAnsi="宋体" w:cs="宋体"/>
                <w:color w:val="auto"/>
                <w:highlight w:val="none"/>
              </w:rPr>
            </w:pPr>
            <w:r>
              <w:rPr>
                <w:rFonts w:hint="eastAsia" w:ascii="宋体" w:hAnsi="宋体"/>
                <w:szCs w:val="21"/>
              </w:rPr>
              <w:t>□改扩建</w:t>
            </w:r>
          </w:p>
        </w:tc>
        <w:tc>
          <w:tcPr>
            <w:tcW w:w="768" w:type="dxa"/>
            <w:tcMar>
              <w:top w:w="0" w:type="dxa"/>
              <w:left w:w="108" w:type="dxa"/>
              <w:bottom w:w="0" w:type="dxa"/>
              <w:right w:w="108" w:type="dxa"/>
            </w:tcMar>
            <w:vAlign w:val="center"/>
          </w:tcPr>
          <w:p w14:paraId="6AC528D9">
            <w:pPr>
              <w:pStyle w:val="276"/>
              <w:jc w:val="center"/>
              <w:rPr>
                <w:rFonts w:ascii="宋体" w:hAnsi="宋体" w:cs="宋体"/>
                <w:color w:val="auto"/>
                <w:highlight w:val="none"/>
              </w:rPr>
            </w:pPr>
          </w:p>
        </w:tc>
        <w:tc>
          <w:tcPr>
            <w:tcW w:w="577" w:type="dxa"/>
          </w:tcPr>
          <w:p w14:paraId="3DCB0081">
            <w:pPr>
              <w:pStyle w:val="276"/>
              <w:jc w:val="center"/>
              <w:rPr>
                <w:rFonts w:ascii="宋体" w:hAnsi="宋体" w:cs="宋体"/>
                <w:color w:val="auto"/>
                <w:highlight w:val="none"/>
              </w:rPr>
            </w:pPr>
          </w:p>
        </w:tc>
        <w:tc>
          <w:tcPr>
            <w:tcW w:w="1095" w:type="dxa"/>
            <w:tcMar>
              <w:top w:w="0" w:type="dxa"/>
              <w:left w:w="108" w:type="dxa"/>
              <w:bottom w:w="0" w:type="dxa"/>
              <w:right w:w="108" w:type="dxa"/>
            </w:tcMar>
            <w:vAlign w:val="center"/>
          </w:tcPr>
          <w:p w14:paraId="1015354B">
            <w:pPr>
              <w:pStyle w:val="276"/>
              <w:jc w:val="center"/>
              <w:rPr>
                <w:rFonts w:ascii="宋体" w:hAnsi="宋体" w:cs="宋体"/>
                <w:color w:val="auto"/>
                <w:highlight w:val="none"/>
              </w:rPr>
            </w:pPr>
          </w:p>
        </w:tc>
        <w:tc>
          <w:tcPr>
            <w:tcW w:w="600" w:type="dxa"/>
            <w:vAlign w:val="center"/>
          </w:tcPr>
          <w:p w14:paraId="5E6595AD">
            <w:pPr>
              <w:pStyle w:val="276"/>
              <w:jc w:val="center"/>
              <w:rPr>
                <w:rFonts w:ascii="宋体" w:hAnsi="宋体" w:cs="宋体"/>
                <w:color w:val="auto"/>
                <w:highlight w:val="none"/>
              </w:rPr>
            </w:pPr>
          </w:p>
        </w:tc>
        <w:tc>
          <w:tcPr>
            <w:tcW w:w="764" w:type="dxa"/>
            <w:tcMar>
              <w:top w:w="0" w:type="dxa"/>
              <w:left w:w="108" w:type="dxa"/>
              <w:bottom w:w="0" w:type="dxa"/>
              <w:right w:w="108" w:type="dxa"/>
            </w:tcMar>
            <w:vAlign w:val="center"/>
          </w:tcPr>
          <w:p w14:paraId="32DC2CD5">
            <w:pPr>
              <w:pStyle w:val="276"/>
              <w:jc w:val="center"/>
              <w:rPr>
                <w:rFonts w:ascii="宋体" w:hAnsi="宋体" w:cs="宋体"/>
                <w:color w:val="auto"/>
                <w:highlight w:val="none"/>
              </w:rPr>
            </w:pPr>
          </w:p>
        </w:tc>
        <w:tc>
          <w:tcPr>
            <w:tcW w:w="896" w:type="dxa"/>
            <w:vAlign w:val="center"/>
          </w:tcPr>
          <w:p w14:paraId="6F89E6DD">
            <w:pPr>
              <w:pStyle w:val="276"/>
              <w:jc w:val="center"/>
              <w:rPr>
                <w:rFonts w:ascii="宋体" w:hAnsi="宋体" w:cs="宋体"/>
                <w:color w:val="auto"/>
                <w:highlight w:val="none"/>
              </w:rPr>
            </w:pPr>
          </w:p>
        </w:tc>
        <w:tc>
          <w:tcPr>
            <w:tcW w:w="964" w:type="dxa"/>
            <w:tcMar>
              <w:top w:w="0" w:type="dxa"/>
              <w:left w:w="108" w:type="dxa"/>
              <w:bottom w:w="0" w:type="dxa"/>
              <w:right w:w="108" w:type="dxa"/>
            </w:tcMar>
            <w:vAlign w:val="center"/>
          </w:tcPr>
          <w:p w14:paraId="77800CC5">
            <w:pPr>
              <w:pStyle w:val="276"/>
              <w:jc w:val="center"/>
              <w:rPr>
                <w:rFonts w:ascii="宋体" w:hAnsi="宋体" w:cs="宋体"/>
                <w:color w:val="auto"/>
                <w:highlight w:val="none"/>
              </w:rPr>
            </w:pPr>
          </w:p>
        </w:tc>
        <w:tc>
          <w:tcPr>
            <w:tcW w:w="836" w:type="dxa"/>
          </w:tcPr>
          <w:p w14:paraId="5504A1F7">
            <w:pPr>
              <w:pStyle w:val="276"/>
              <w:jc w:val="center"/>
              <w:rPr>
                <w:rFonts w:ascii="宋体" w:hAnsi="宋体" w:cs="宋体"/>
                <w:color w:val="auto"/>
                <w:highlight w:val="none"/>
              </w:rPr>
            </w:pPr>
          </w:p>
        </w:tc>
        <w:tc>
          <w:tcPr>
            <w:tcW w:w="836" w:type="dxa"/>
          </w:tcPr>
          <w:p w14:paraId="0FD2E026">
            <w:pPr>
              <w:pStyle w:val="276"/>
              <w:jc w:val="center"/>
              <w:rPr>
                <w:rFonts w:ascii="宋体" w:hAnsi="宋体" w:cs="宋体"/>
                <w:color w:val="auto"/>
                <w:highlight w:val="none"/>
              </w:rPr>
            </w:pPr>
          </w:p>
        </w:tc>
        <w:tc>
          <w:tcPr>
            <w:tcW w:w="980" w:type="dxa"/>
            <w:tcMar>
              <w:top w:w="0" w:type="dxa"/>
              <w:left w:w="108" w:type="dxa"/>
              <w:bottom w:w="0" w:type="dxa"/>
              <w:right w:w="108" w:type="dxa"/>
            </w:tcMar>
            <w:vAlign w:val="center"/>
          </w:tcPr>
          <w:p w14:paraId="576764B8">
            <w:pPr>
              <w:pStyle w:val="276"/>
              <w:jc w:val="center"/>
              <w:rPr>
                <w:rFonts w:ascii="宋体" w:hAnsi="宋体" w:cs="宋体"/>
                <w:color w:val="auto"/>
                <w:highlight w:val="none"/>
              </w:rPr>
            </w:pPr>
          </w:p>
        </w:tc>
        <w:tc>
          <w:tcPr>
            <w:tcW w:w="907" w:type="dxa"/>
            <w:vAlign w:val="center"/>
          </w:tcPr>
          <w:p w14:paraId="304DD43D">
            <w:pPr>
              <w:pStyle w:val="276"/>
              <w:jc w:val="center"/>
              <w:rPr>
                <w:rFonts w:ascii="宋体" w:hAnsi="宋体" w:cs="宋体"/>
                <w:color w:val="auto"/>
                <w:highlight w:val="none"/>
              </w:rPr>
            </w:pPr>
            <w:r>
              <w:rPr>
                <w:rFonts w:hint="eastAsia" w:ascii="宋体" w:hAnsi="宋体" w:cs="宋体"/>
                <w:color w:val="auto"/>
                <w:highlight w:val="none"/>
              </w:rPr>
              <w:t>附件</w:t>
            </w:r>
            <w:r>
              <w:rPr>
                <w:rFonts w:ascii="宋体" w:hAnsi="宋体" w:cs="宋体"/>
                <w:color w:val="auto"/>
                <w:highlight w:val="none"/>
              </w:rPr>
              <w:t>C2.2</w:t>
            </w:r>
          </w:p>
        </w:tc>
      </w:tr>
      <w:tr w14:paraId="0AF7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5" w:hRule="atLeast"/>
        </w:trPr>
        <w:tc>
          <w:tcPr>
            <w:tcW w:w="448" w:type="dxa"/>
            <w:vAlign w:val="center"/>
          </w:tcPr>
          <w:p w14:paraId="4CA480E0">
            <w:pPr>
              <w:pStyle w:val="276"/>
              <w:jc w:val="center"/>
              <w:rPr>
                <w:rFonts w:ascii="宋体" w:hAnsi="宋体" w:cs="宋体"/>
                <w:color w:val="auto"/>
                <w:highlight w:val="none"/>
              </w:rPr>
            </w:pPr>
          </w:p>
        </w:tc>
        <w:tc>
          <w:tcPr>
            <w:tcW w:w="933" w:type="dxa"/>
            <w:tcMar>
              <w:top w:w="0" w:type="dxa"/>
              <w:left w:w="108" w:type="dxa"/>
              <w:bottom w:w="0" w:type="dxa"/>
              <w:right w:w="108" w:type="dxa"/>
            </w:tcMar>
            <w:vAlign w:val="center"/>
          </w:tcPr>
          <w:p w14:paraId="402C6D1E">
            <w:pPr>
              <w:pStyle w:val="276"/>
              <w:jc w:val="center"/>
              <w:rPr>
                <w:rFonts w:ascii="宋体" w:hAnsi="宋体" w:cs="宋体"/>
                <w:color w:val="auto"/>
                <w:highlight w:val="none"/>
              </w:rPr>
            </w:pPr>
          </w:p>
        </w:tc>
        <w:tc>
          <w:tcPr>
            <w:tcW w:w="1490" w:type="dxa"/>
            <w:tcMar>
              <w:top w:w="0" w:type="dxa"/>
              <w:left w:w="108" w:type="dxa"/>
              <w:bottom w:w="0" w:type="dxa"/>
              <w:right w:w="108" w:type="dxa"/>
            </w:tcMar>
            <w:vAlign w:val="center"/>
          </w:tcPr>
          <w:p w14:paraId="71FF108E">
            <w:pPr>
              <w:pStyle w:val="276"/>
              <w:jc w:val="center"/>
              <w:rPr>
                <w:rFonts w:ascii="宋体" w:hAnsi="宋体" w:cs="宋体"/>
                <w:color w:val="auto"/>
                <w:highlight w:val="none"/>
              </w:rPr>
            </w:pPr>
          </w:p>
        </w:tc>
        <w:tc>
          <w:tcPr>
            <w:tcW w:w="609" w:type="dxa"/>
          </w:tcPr>
          <w:p w14:paraId="496A4605">
            <w:pPr>
              <w:pStyle w:val="276"/>
              <w:jc w:val="center"/>
              <w:rPr>
                <w:rFonts w:ascii="宋体" w:hAnsi="宋体" w:cs="宋体"/>
                <w:color w:val="auto"/>
                <w:highlight w:val="none"/>
              </w:rPr>
            </w:pPr>
          </w:p>
        </w:tc>
        <w:tc>
          <w:tcPr>
            <w:tcW w:w="1070" w:type="dxa"/>
            <w:tcMar>
              <w:top w:w="0" w:type="dxa"/>
              <w:left w:w="108" w:type="dxa"/>
              <w:bottom w:w="0" w:type="dxa"/>
              <w:right w:w="108" w:type="dxa"/>
            </w:tcMar>
            <w:vAlign w:val="center"/>
          </w:tcPr>
          <w:p w14:paraId="33469C36">
            <w:pPr>
              <w:widowControl/>
              <w:spacing w:line="240" w:lineRule="auto"/>
              <w:jc w:val="left"/>
              <w:rPr>
                <w:rFonts w:ascii="宋体" w:hAnsi="宋体"/>
                <w:szCs w:val="21"/>
              </w:rPr>
            </w:pPr>
            <w:r>
              <w:rPr>
                <w:rFonts w:hint="eastAsia" w:ascii="宋体" w:hAnsi="宋体"/>
                <w:szCs w:val="21"/>
              </w:rPr>
              <w:t>□新建</w:t>
            </w:r>
          </w:p>
          <w:p w14:paraId="424B7EAC">
            <w:pPr>
              <w:jc w:val="left"/>
              <w:rPr>
                <w:rFonts w:ascii="宋体" w:hAnsi="宋体" w:cs="宋体"/>
                <w:color w:val="auto"/>
                <w:highlight w:val="none"/>
              </w:rPr>
            </w:pPr>
            <w:r>
              <w:rPr>
                <w:rFonts w:hint="eastAsia" w:ascii="宋体" w:hAnsi="宋体"/>
                <w:szCs w:val="21"/>
              </w:rPr>
              <w:t>□改扩建</w:t>
            </w:r>
          </w:p>
        </w:tc>
        <w:tc>
          <w:tcPr>
            <w:tcW w:w="768" w:type="dxa"/>
            <w:tcMar>
              <w:top w:w="0" w:type="dxa"/>
              <w:left w:w="108" w:type="dxa"/>
              <w:bottom w:w="0" w:type="dxa"/>
              <w:right w:w="108" w:type="dxa"/>
            </w:tcMar>
            <w:vAlign w:val="center"/>
          </w:tcPr>
          <w:p w14:paraId="4A52981A">
            <w:pPr>
              <w:pStyle w:val="276"/>
              <w:jc w:val="center"/>
              <w:rPr>
                <w:rFonts w:ascii="宋体" w:hAnsi="宋体" w:cs="宋体"/>
                <w:color w:val="auto"/>
                <w:highlight w:val="none"/>
              </w:rPr>
            </w:pPr>
          </w:p>
        </w:tc>
        <w:tc>
          <w:tcPr>
            <w:tcW w:w="577" w:type="dxa"/>
          </w:tcPr>
          <w:p w14:paraId="2907F4FC">
            <w:pPr>
              <w:pStyle w:val="276"/>
              <w:jc w:val="center"/>
              <w:rPr>
                <w:rFonts w:ascii="宋体" w:hAnsi="宋体" w:cs="宋体"/>
                <w:color w:val="auto"/>
                <w:highlight w:val="none"/>
              </w:rPr>
            </w:pPr>
          </w:p>
        </w:tc>
        <w:tc>
          <w:tcPr>
            <w:tcW w:w="1095" w:type="dxa"/>
            <w:tcMar>
              <w:top w:w="0" w:type="dxa"/>
              <w:left w:w="108" w:type="dxa"/>
              <w:bottom w:w="0" w:type="dxa"/>
              <w:right w:w="108" w:type="dxa"/>
            </w:tcMar>
            <w:vAlign w:val="center"/>
          </w:tcPr>
          <w:p w14:paraId="3B0F25BE">
            <w:pPr>
              <w:pStyle w:val="276"/>
              <w:jc w:val="center"/>
              <w:rPr>
                <w:rFonts w:ascii="宋体" w:hAnsi="宋体" w:cs="宋体"/>
                <w:color w:val="auto"/>
                <w:highlight w:val="none"/>
              </w:rPr>
            </w:pPr>
          </w:p>
        </w:tc>
        <w:tc>
          <w:tcPr>
            <w:tcW w:w="600" w:type="dxa"/>
            <w:vAlign w:val="center"/>
          </w:tcPr>
          <w:p w14:paraId="500D4928">
            <w:pPr>
              <w:pStyle w:val="276"/>
              <w:jc w:val="center"/>
              <w:rPr>
                <w:rFonts w:ascii="宋体" w:hAnsi="宋体" w:cs="宋体"/>
                <w:color w:val="auto"/>
                <w:highlight w:val="none"/>
              </w:rPr>
            </w:pPr>
          </w:p>
        </w:tc>
        <w:tc>
          <w:tcPr>
            <w:tcW w:w="764" w:type="dxa"/>
            <w:tcMar>
              <w:top w:w="0" w:type="dxa"/>
              <w:left w:w="108" w:type="dxa"/>
              <w:bottom w:w="0" w:type="dxa"/>
              <w:right w:w="108" w:type="dxa"/>
            </w:tcMar>
            <w:vAlign w:val="center"/>
          </w:tcPr>
          <w:p w14:paraId="2AD3E4A4">
            <w:pPr>
              <w:pStyle w:val="276"/>
              <w:jc w:val="center"/>
              <w:rPr>
                <w:rFonts w:ascii="宋体" w:hAnsi="宋体" w:cs="宋体"/>
                <w:color w:val="auto"/>
                <w:highlight w:val="none"/>
              </w:rPr>
            </w:pPr>
          </w:p>
        </w:tc>
        <w:tc>
          <w:tcPr>
            <w:tcW w:w="896" w:type="dxa"/>
            <w:vAlign w:val="center"/>
          </w:tcPr>
          <w:p w14:paraId="573BB58B">
            <w:pPr>
              <w:pStyle w:val="276"/>
              <w:jc w:val="center"/>
              <w:rPr>
                <w:rFonts w:ascii="宋体" w:hAnsi="宋体" w:cs="宋体"/>
                <w:color w:val="auto"/>
                <w:highlight w:val="none"/>
              </w:rPr>
            </w:pPr>
          </w:p>
        </w:tc>
        <w:tc>
          <w:tcPr>
            <w:tcW w:w="964" w:type="dxa"/>
            <w:tcMar>
              <w:top w:w="0" w:type="dxa"/>
              <w:left w:w="108" w:type="dxa"/>
              <w:bottom w:w="0" w:type="dxa"/>
              <w:right w:w="108" w:type="dxa"/>
            </w:tcMar>
            <w:vAlign w:val="center"/>
          </w:tcPr>
          <w:p w14:paraId="6E1C9822">
            <w:pPr>
              <w:pStyle w:val="276"/>
              <w:jc w:val="center"/>
              <w:rPr>
                <w:rFonts w:ascii="宋体" w:hAnsi="宋体" w:cs="宋体"/>
                <w:color w:val="auto"/>
                <w:highlight w:val="none"/>
              </w:rPr>
            </w:pPr>
          </w:p>
        </w:tc>
        <w:tc>
          <w:tcPr>
            <w:tcW w:w="836" w:type="dxa"/>
          </w:tcPr>
          <w:p w14:paraId="2667EB68">
            <w:pPr>
              <w:pStyle w:val="276"/>
              <w:jc w:val="center"/>
              <w:rPr>
                <w:rFonts w:ascii="宋体" w:hAnsi="宋体" w:cs="宋体"/>
                <w:color w:val="auto"/>
                <w:highlight w:val="none"/>
              </w:rPr>
            </w:pPr>
          </w:p>
        </w:tc>
        <w:tc>
          <w:tcPr>
            <w:tcW w:w="836" w:type="dxa"/>
          </w:tcPr>
          <w:p w14:paraId="051639BC">
            <w:pPr>
              <w:pStyle w:val="276"/>
              <w:jc w:val="center"/>
              <w:rPr>
                <w:rFonts w:ascii="宋体" w:hAnsi="宋体" w:cs="宋体"/>
                <w:color w:val="auto"/>
                <w:highlight w:val="none"/>
              </w:rPr>
            </w:pPr>
          </w:p>
        </w:tc>
        <w:tc>
          <w:tcPr>
            <w:tcW w:w="980" w:type="dxa"/>
            <w:tcMar>
              <w:top w:w="0" w:type="dxa"/>
              <w:left w:w="108" w:type="dxa"/>
              <w:bottom w:w="0" w:type="dxa"/>
              <w:right w:w="108" w:type="dxa"/>
            </w:tcMar>
            <w:vAlign w:val="center"/>
          </w:tcPr>
          <w:p w14:paraId="0FD7CE66">
            <w:pPr>
              <w:pStyle w:val="276"/>
              <w:jc w:val="center"/>
              <w:rPr>
                <w:rFonts w:ascii="宋体" w:hAnsi="宋体" w:cs="宋体"/>
                <w:color w:val="auto"/>
                <w:highlight w:val="none"/>
              </w:rPr>
            </w:pPr>
          </w:p>
        </w:tc>
        <w:tc>
          <w:tcPr>
            <w:tcW w:w="907" w:type="dxa"/>
            <w:vAlign w:val="center"/>
          </w:tcPr>
          <w:p w14:paraId="2E677642">
            <w:pPr>
              <w:pStyle w:val="276"/>
              <w:jc w:val="center"/>
              <w:rPr>
                <w:rFonts w:ascii="宋体" w:hAnsi="宋体" w:cs="宋体"/>
                <w:color w:val="auto"/>
                <w:highlight w:val="none"/>
              </w:rPr>
            </w:pPr>
            <w:r>
              <w:rPr>
                <w:rFonts w:hint="eastAsia" w:ascii="宋体" w:hAnsi="宋体" w:cs="宋体"/>
                <w:color w:val="auto"/>
                <w:highlight w:val="none"/>
              </w:rPr>
              <w:t>附件</w:t>
            </w:r>
            <w:r>
              <w:rPr>
                <w:rFonts w:ascii="宋体" w:hAnsi="宋体" w:cs="宋体"/>
                <w:color w:val="auto"/>
                <w:highlight w:val="none"/>
              </w:rPr>
              <w:t>C2.3</w:t>
            </w:r>
          </w:p>
        </w:tc>
      </w:tr>
      <w:tr w14:paraId="0107D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448" w:type="dxa"/>
            <w:vAlign w:val="center"/>
          </w:tcPr>
          <w:p w14:paraId="454710BF">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933" w:type="dxa"/>
            <w:tcMar>
              <w:top w:w="0" w:type="dxa"/>
              <w:left w:w="108" w:type="dxa"/>
              <w:bottom w:w="0" w:type="dxa"/>
              <w:right w:w="108" w:type="dxa"/>
            </w:tcMar>
            <w:vAlign w:val="center"/>
          </w:tcPr>
          <w:p w14:paraId="467655BC">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1490" w:type="dxa"/>
            <w:tcMar>
              <w:top w:w="0" w:type="dxa"/>
              <w:left w:w="108" w:type="dxa"/>
              <w:bottom w:w="0" w:type="dxa"/>
              <w:right w:w="108" w:type="dxa"/>
            </w:tcMar>
            <w:vAlign w:val="center"/>
          </w:tcPr>
          <w:p w14:paraId="446AFA88">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609" w:type="dxa"/>
            <w:vAlign w:val="center"/>
          </w:tcPr>
          <w:p w14:paraId="2C3A8432">
            <w:pPr>
              <w:pStyle w:val="276"/>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070" w:type="dxa"/>
            <w:tcMar>
              <w:top w:w="0" w:type="dxa"/>
              <w:left w:w="108" w:type="dxa"/>
              <w:bottom w:w="0" w:type="dxa"/>
              <w:right w:w="108" w:type="dxa"/>
            </w:tcMar>
            <w:vAlign w:val="center"/>
          </w:tcPr>
          <w:p w14:paraId="6FE14CE0">
            <w:pPr>
              <w:jc w:val="center"/>
              <w:rPr>
                <w:rFonts w:hint="eastAsia" w:ascii="宋体" w:hAnsi="宋体" w:cs="宋体"/>
                <w:color w:val="auto"/>
                <w:kern w:val="0"/>
                <w:szCs w:val="21"/>
                <w:highlight w:val="none"/>
              </w:rPr>
            </w:pPr>
            <w:r>
              <w:rPr>
                <w:rFonts w:hint="eastAsia" w:cs="宋体" w:asciiTheme="minorEastAsia" w:hAnsiTheme="minorEastAsia" w:eastAsiaTheme="minorEastAsia"/>
                <w:kern w:val="0"/>
                <w:szCs w:val="21"/>
              </w:rPr>
              <w:t>…</w:t>
            </w:r>
          </w:p>
        </w:tc>
        <w:tc>
          <w:tcPr>
            <w:tcW w:w="768" w:type="dxa"/>
            <w:tcMar>
              <w:top w:w="0" w:type="dxa"/>
              <w:left w:w="108" w:type="dxa"/>
              <w:bottom w:w="0" w:type="dxa"/>
              <w:right w:w="108" w:type="dxa"/>
            </w:tcMar>
            <w:vAlign w:val="center"/>
          </w:tcPr>
          <w:p w14:paraId="4F543C03">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577" w:type="dxa"/>
            <w:vAlign w:val="center"/>
          </w:tcPr>
          <w:p w14:paraId="34869D85">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1095" w:type="dxa"/>
            <w:tcMar>
              <w:top w:w="0" w:type="dxa"/>
              <w:left w:w="108" w:type="dxa"/>
              <w:bottom w:w="0" w:type="dxa"/>
              <w:right w:w="108" w:type="dxa"/>
            </w:tcMar>
            <w:vAlign w:val="center"/>
          </w:tcPr>
          <w:p w14:paraId="5CA46081">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600" w:type="dxa"/>
            <w:vAlign w:val="center"/>
          </w:tcPr>
          <w:p w14:paraId="78705320">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764" w:type="dxa"/>
            <w:tcMar>
              <w:top w:w="0" w:type="dxa"/>
              <w:left w:w="108" w:type="dxa"/>
              <w:bottom w:w="0" w:type="dxa"/>
              <w:right w:w="108" w:type="dxa"/>
            </w:tcMar>
            <w:vAlign w:val="center"/>
          </w:tcPr>
          <w:p w14:paraId="304016D6">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896" w:type="dxa"/>
            <w:vAlign w:val="center"/>
          </w:tcPr>
          <w:p w14:paraId="4768DC3E">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964" w:type="dxa"/>
            <w:tcMar>
              <w:top w:w="0" w:type="dxa"/>
              <w:left w:w="108" w:type="dxa"/>
              <w:bottom w:w="0" w:type="dxa"/>
              <w:right w:w="108" w:type="dxa"/>
            </w:tcMar>
            <w:vAlign w:val="center"/>
          </w:tcPr>
          <w:p w14:paraId="644DB895">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836" w:type="dxa"/>
            <w:vAlign w:val="center"/>
          </w:tcPr>
          <w:p w14:paraId="5497B3CE">
            <w:pPr>
              <w:pStyle w:val="276"/>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836" w:type="dxa"/>
            <w:vAlign w:val="center"/>
          </w:tcPr>
          <w:p w14:paraId="7C9F12BD">
            <w:pPr>
              <w:pStyle w:val="276"/>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980" w:type="dxa"/>
            <w:tcMar>
              <w:top w:w="0" w:type="dxa"/>
              <w:left w:w="108" w:type="dxa"/>
              <w:bottom w:w="0" w:type="dxa"/>
              <w:right w:w="108" w:type="dxa"/>
            </w:tcMar>
            <w:vAlign w:val="center"/>
          </w:tcPr>
          <w:p w14:paraId="6CCADC0F">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907" w:type="dxa"/>
            <w:vAlign w:val="center"/>
          </w:tcPr>
          <w:p w14:paraId="7BD96DF7">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r>
    </w:tbl>
    <w:p w14:paraId="7498E2C6">
      <w:pPr>
        <w:pStyle w:val="276"/>
        <w:spacing w:line="320" w:lineRule="exact"/>
        <w:rPr>
          <w:rFonts w:ascii="宋体" w:hAnsi="宋体" w:cs="宋体"/>
          <w:color w:val="auto"/>
          <w:highlight w:val="none"/>
        </w:rPr>
      </w:pPr>
      <w:bookmarkStart w:id="755" w:name="_Hlk76582121"/>
      <w:r>
        <w:rPr>
          <w:rFonts w:hint="eastAsia" w:ascii="宋体" w:hAnsi="宋体" w:cs="宋体"/>
          <w:color w:val="auto"/>
          <w:highlight w:val="none"/>
        </w:rPr>
        <w:t>注：</w:t>
      </w:r>
      <w:r>
        <w:rPr>
          <w:rFonts w:ascii="宋体" w:hAnsi="宋体" w:cs="宋体"/>
          <w:color w:val="auto"/>
          <w:highlight w:val="none"/>
        </w:rPr>
        <w:t>1.</w:t>
      </w:r>
      <w:r>
        <w:rPr>
          <w:rFonts w:hint="eastAsia" w:ascii="宋体" w:hAnsi="宋体" w:cs="宋体"/>
          <w:color w:val="auto"/>
          <w:spacing w:val="-3"/>
          <w:szCs w:val="21"/>
          <w:highlight w:val="none"/>
        </w:rPr>
        <w:t>投标人</w:t>
      </w:r>
      <w:r>
        <w:rPr>
          <w:rFonts w:hint="eastAsia" w:ascii="宋体" w:hAnsi="宋体" w:cs="宋体"/>
          <w:color w:val="auto"/>
          <w:spacing w:val="-3"/>
          <w:szCs w:val="21"/>
          <w:highlight w:val="none"/>
          <w:lang w:val="en-US" w:eastAsia="zh-CN"/>
        </w:rPr>
        <w:t>应</w:t>
      </w:r>
      <w:r>
        <w:rPr>
          <w:rFonts w:hint="eastAsia" w:ascii="宋体" w:hAnsi="宋体" w:cs="宋体"/>
          <w:color w:val="auto"/>
          <w:spacing w:val="-3"/>
          <w:szCs w:val="21"/>
          <w:highlight w:val="none"/>
        </w:rPr>
        <w:t>在</w:t>
      </w:r>
      <w:r>
        <w:rPr>
          <w:rFonts w:hint="eastAsia" w:ascii="宋体" w:hAnsi="宋体" w:cs="宋体"/>
          <w:color w:val="auto"/>
          <w:spacing w:val="-3"/>
          <w:szCs w:val="21"/>
          <w:highlight w:val="none"/>
          <w:lang w:val="en-US" w:eastAsia="zh-CN"/>
        </w:rPr>
        <w:t>本</w:t>
      </w:r>
      <w:r>
        <w:rPr>
          <w:rFonts w:hint="eastAsia" w:ascii="宋体" w:hAnsi="宋体" w:cs="宋体"/>
          <w:color w:val="auto"/>
          <w:spacing w:val="-3"/>
          <w:szCs w:val="21"/>
          <w:highlight w:val="none"/>
        </w:rPr>
        <w:t>表后提供相关业绩证明材料</w:t>
      </w:r>
      <w:r>
        <w:rPr>
          <w:rFonts w:hint="eastAsia" w:ascii="宋体" w:hAnsi="宋体" w:cs="宋体"/>
          <w:color w:val="auto"/>
          <w:spacing w:val="-3"/>
          <w:highlight w:val="none"/>
        </w:rPr>
        <w:t>附件</w:t>
      </w:r>
      <w:r>
        <w:rPr>
          <w:rFonts w:ascii="宋体" w:hAnsi="宋体" w:cs="宋体"/>
          <w:color w:val="auto"/>
          <w:highlight w:val="none"/>
        </w:rPr>
        <w:t>C2</w:t>
      </w:r>
      <w:r>
        <w:rPr>
          <w:rFonts w:hint="eastAsia" w:ascii="宋体" w:hAnsi="宋体" w:cs="宋体"/>
          <w:color w:val="auto"/>
          <w:highlight w:val="none"/>
        </w:rPr>
        <w:t>系列（路面工程施工监理试验室项目业绩）：</w:t>
      </w:r>
    </w:p>
    <w:p w14:paraId="1BE4708A">
      <w:pPr>
        <w:pStyle w:val="276"/>
        <w:spacing w:line="320" w:lineRule="exact"/>
        <w:ind w:left="1020" w:leftChars="285" w:hanging="422" w:hangingChars="200"/>
        <w:rPr>
          <w:rFonts w:ascii="宋体" w:hAnsi="宋体" w:cs="宋体"/>
          <w:color w:val="auto"/>
          <w:highlight w:val="none"/>
        </w:rPr>
      </w:pPr>
      <w:r>
        <w:rPr>
          <w:rFonts w:hint="eastAsia" w:ascii="宋体" w:hAnsi="宋体" w:cs="宋体"/>
          <w:b/>
          <w:bCs/>
          <w:color w:val="auto"/>
          <w:highlight w:val="none"/>
        </w:rPr>
        <w:t xml:space="preserve">□ </w:t>
      </w:r>
      <w:r>
        <w:rPr>
          <w:rFonts w:hint="eastAsia" w:ascii="宋体" w:hAnsi="宋体" w:cs="宋体"/>
          <w:color w:val="auto"/>
          <w:highlight w:val="none"/>
        </w:rPr>
        <w:t>在交通运输部“</w:t>
      </w:r>
      <w:r>
        <w:rPr>
          <w:rFonts w:hint="eastAsia" w:ascii="宋体" w:hAnsi="宋体" w:cs="宋体"/>
          <w:color w:val="auto"/>
          <w:szCs w:val="21"/>
          <w:highlight w:val="none"/>
        </w:rPr>
        <w:t>全国公路建设市场监督管理系统</w:t>
      </w:r>
      <w:r>
        <w:rPr>
          <w:rFonts w:hint="eastAsia" w:ascii="宋体" w:hAnsi="宋体" w:cs="宋体"/>
          <w:color w:val="auto"/>
          <w:highlight w:val="none"/>
        </w:rPr>
        <w:t>”中查询到的企业“业绩信息”相关项目网页截图</w:t>
      </w:r>
      <w:r>
        <w:rPr>
          <w:rStyle w:val="58"/>
          <w:rFonts w:ascii="宋体" w:hAnsi="宋体" w:cs="宋体"/>
          <w:color w:val="auto"/>
          <w:szCs w:val="21"/>
          <w:highlight w:val="none"/>
        </w:rPr>
        <w:footnoteReference w:id="139"/>
      </w:r>
      <w:r>
        <w:rPr>
          <w:rFonts w:hint="eastAsia" w:ascii="宋体" w:hAnsi="宋体" w:cs="宋体"/>
          <w:color w:val="auto"/>
          <w:highlight w:val="none"/>
        </w:rPr>
        <w:t xml:space="preserve">。□和 </w:t>
      </w:r>
      <w:r>
        <w:rPr>
          <w:rFonts w:ascii="宋体" w:hAnsi="宋体" w:cs="宋体"/>
          <w:color w:val="auto"/>
          <w:highlight w:val="none"/>
        </w:rPr>
        <w:t xml:space="preserve"> </w:t>
      </w:r>
      <w:r>
        <w:rPr>
          <w:rFonts w:hint="eastAsia" w:ascii="宋体" w:hAnsi="宋体" w:cs="宋体"/>
          <w:color w:val="auto"/>
          <w:highlight w:val="none"/>
        </w:rPr>
        <w:t>□或</w:t>
      </w:r>
    </w:p>
    <w:p w14:paraId="01A24CB6">
      <w:pPr>
        <w:pStyle w:val="276"/>
        <w:spacing w:line="320" w:lineRule="exact"/>
        <w:ind w:firstLine="632" w:firstLineChars="300"/>
        <w:rPr>
          <w:rFonts w:ascii="宋体" w:hAnsi="宋体" w:cs="宋体"/>
          <w:color w:val="auto"/>
          <w:highlight w:val="none"/>
        </w:rPr>
      </w:pPr>
      <w:r>
        <w:rPr>
          <w:rFonts w:hint="eastAsia" w:ascii="宋体" w:hAnsi="宋体" w:cs="宋体"/>
          <w:b/>
          <w:bCs/>
          <w:color w:val="auto"/>
          <w:highlight w:val="none"/>
        </w:rPr>
        <w:t xml:space="preserve">□ </w:t>
      </w:r>
      <w:r>
        <w:rPr>
          <w:rFonts w:hint="eastAsia" w:ascii="宋体" w:hAnsi="宋体" w:cs="宋体"/>
          <w:color w:val="auto"/>
          <w:highlight w:val="none"/>
        </w:rPr>
        <w:t>证明材料：</w:t>
      </w:r>
      <w:r>
        <w:rPr>
          <w:rFonts w:ascii="宋体" w:hAnsi="宋体" w:cs="宋体"/>
          <w:color w:val="auto"/>
          <w:highlight w:val="none"/>
          <w:u w:val="single"/>
        </w:rPr>
        <w:t xml:space="preserve">          </w:t>
      </w:r>
      <w:r>
        <w:rPr>
          <w:rFonts w:hint="eastAsia" w:ascii="宋体" w:hAnsi="宋体" w:cs="宋体"/>
          <w:color w:val="auto"/>
          <w:highlight w:val="none"/>
        </w:rPr>
        <w:t>。</w:t>
      </w:r>
    </w:p>
    <w:p w14:paraId="384CB014">
      <w:pPr>
        <w:pStyle w:val="276"/>
        <w:spacing w:line="320" w:lineRule="exact"/>
        <w:ind w:firstLine="408" w:firstLineChars="200"/>
        <w:rPr>
          <w:rFonts w:ascii="宋体" w:hAnsi="宋体" w:cs="宋体"/>
          <w:color w:val="auto"/>
          <w:spacing w:val="-3"/>
          <w:highlight w:val="none"/>
        </w:rPr>
      </w:pPr>
      <w:r>
        <w:rPr>
          <w:rFonts w:ascii="宋体" w:hAnsi="宋体" w:cs="宋体"/>
          <w:color w:val="auto"/>
          <w:spacing w:val="-3"/>
          <w:highlight w:val="none"/>
        </w:rPr>
        <w:t>2.</w:t>
      </w:r>
      <w:r>
        <w:rPr>
          <w:rFonts w:hint="eastAsia" w:ascii="宋体" w:hAnsi="宋体" w:cs="宋体"/>
          <w:color w:val="auto"/>
          <w:spacing w:val="-3"/>
          <w:highlight w:val="none"/>
        </w:rPr>
        <w:t>因投标人自身原因未提供业绩证明材料附件或提供的附件不能与所证明的内容相匹配，造成业绩或其他内容不予认可时，投标人自行承担相关责任。</w:t>
      </w:r>
    </w:p>
    <w:p w14:paraId="2B786DE3">
      <w:pPr>
        <w:pStyle w:val="276"/>
        <w:spacing w:line="320" w:lineRule="exact"/>
        <w:rPr>
          <w:rFonts w:ascii="宋体" w:hAnsi="宋体" w:cs="宋体"/>
          <w:color w:val="auto"/>
          <w:highlight w:val="none"/>
        </w:rPr>
      </w:pPr>
      <w:r>
        <w:rPr>
          <w:rFonts w:ascii="宋体" w:hAnsi="宋体" w:cs="宋体"/>
          <w:color w:val="auto"/>
          <w:highlight w:val="none"/>
        </w:rPr>
        <w:t xml:space="preserve">    </w:t>
      </w:r>
      <w:r>
        <w:rPr>
          <w:rFonts w:hint="eastAsia" w:ascii="宋体" w:hAnsi="宋体" w:cs="宋体"/>
          <w:color w:val="auto"/>
          <w:spacing w:val="-3"/>
          <w:highlight w:val="none"/>
          <w:lang w:val="en-US" w:eastAsia="zh-CN"/>
        </w:rPr>
        <w:t>3</w:t>
      </w:r>
      <w:r>
        <w:rPr>
          <w:rFonts w:hint="eastAsia" w:ascii="宋体" w:hAnsi="宋体" w:cs="宋体"/>
          <w:color w:val="auto"/>
          <w:spacing w:val="-3"/>
          <w:highlight w:val="none"/>
        </w:rPr>
        <w:t>.</w:t>
      </w:r>
      <w:r>
        <w:rPr>
          <w:rFonts w:hint="eastAsia" w:ascii="宋体" w:hAnsi="宋体" w:cs="宋体"/>
          <w:color w:val="auto"/>
          <w:spacing w:val="-3"/>
          <w:kern w:val="2"/>
          <w:sz w:val="21"/>
          <w:szCs w:val="24"/>
          <w:highlight w:val="none"/>
          <w:lang w:val="en-US" w:eastAsia="zh-CN" w:bidi="ar"/>
        </w:rPr>
        <w:t>路面</w:t>
      </w:r>
      <w:r>
        <w:rPr>
          <w:rFonts w:hint="eastAsia" w:ascii="宋体" w:hAnsi="宋体" w:eastAsia="宋体" w:cs="宋体"/>
          <w:color w:val="auto"/>
          <w:spacing w:val="-3"/>
          <w:kern w:val="2"/>
          <w:sz w:val="21"/>
          <w:szCs w:val="24"/>
          <w:highlight w:val="none"/>
          <w:lang w:val="en-US" w:eastAsia="zh-CN" w:bidi="ar"/>
        </w:rPr>
        <w:t>工程可为</w:t>
      </w:r>
      <w:r>
        <w:rPr>
          <w:rFonts w:hint="eastAsia" w:ascii="宋体" w:hAnsi="宋体" w:cs="宋体"/>
          <w:color w:val="auto"/>
          <w:spacing w:val="-3"/>
          <w:kern w:val="2"/>
          <w:sz w:val="21"/>
          <w:szCs w:val="24"/>
          <w:highlight w:val="none"/>
          <w:lang w:val="en-US" w:eastAsia="zh-CN" w:bidi="ar"/>
        </w:rPr>
        <w:t>合同</w:t>
      </w:r>
      <w:r>
        <w:rPr>
          <w:rFonts w:hint="eastAsia" w:ascii="宋体" w:hAnsi="宋体" w:eastAsia="宋体" w:cs="宋体"/>
          <w:color w:val="auto"/>
          <w:spacing w:val="-3"/>
          <w:kern w:val="2"/>
          <w:sz w:val="21"/>
          <w:szCs w:val="24"/>
          <w:highlight w:val="none"/>
          <w:lang w:val="en-US" w:eastAsia="zh-CN" w:bidi="ar"/>
        </w:rPr>
        <w:t>中包含</w:t>
      </w:r>
      <w:r>
        <w:rPr>
          <w:rFonts w:hint="eastAsia" w:ascii="宋体" w:hAnsi="宋体" w:cs="宋体"/>
          <w:color w:val="auto"/>
          <w:spacing w:val="-3"/>
          <w:kern w:val="2"/>
          <w:sz w:val="21"/>
          <w:szCs w:val="24"/>
          <w:highlight w:val="none"/>
          <w:lang w:val="en-US" w:eastAsia="zh-CN" w:bidi="ar"/>
        </w:rPr>
        <w:t>该试验检测内容</w:t>
      </w:r>
      <w:r>
        <w:rPr>
          <w:rFonts w:hint="eastAsia" w:ascii="宋体" w:hAnsi="宋体" w:eastAsia="宋体" w:cs="宋体"/>
          <w:color w:val="auto"/>
          <w:spacing w:val="-3"/>
          <w:kern w:val="2"/>
          <w:sz w:val="21"/>
          <w:szCs w:val="24"/>
          <w:highlight w:val="none"/>
          <w:lang w:val="en-US" w:eastAsia="zh-CN" w:bidi="ar"/>
        </w:rPr>
        <w:t>的项目或单独合同的项目</w:t>
      </w:r>
      <w:r>
        <w:rPr>
          <w:rFonts w:hint="eastAsia" w:ascii="宋体" w:hAnsi="宋体" w:cs="宋体"/>
          <w:color w:val="auto"/>
          <w:spacing w:val="-3"/>
          <w:kern w:val="2"/>
          <w:sz w:val="21"/>
          <w:szCs w:val="24"/>
          <w:highlight w:val="none"/>
          <w:lang w:val="en-US" w:eastAsia="zh-CN" w:bidi="ar"/>
        </w:rPr>
        <w:t>。</w:t>
      </w:r>
    </w:p>
    <w:p w14:paraId="06831C09">
      <w:pPr>
        <w:pStyle w:val="276"/>
        <w:spacing w:line="320" w:lineRule="exact"/>
        <w:ind w:firstLine="408" w:firstLineChars="200"/>
        <w:rPr>
          <w:rFonts w:ascii="宋体" w:hAnsi="宋体" w:cs="宋体"/>
          <w:color w:val="auto"/>
          <w:highlight w:val="none"/>
        </w:rPr>
      </w:pPr>
      <w:r>
        <w:rPr>
          <w:rFonts w:hint="eastAsia" w:ascii="宋体" w:hAnsi="宋体" w:cs="宋体"/>
          <w:color w:val="auto"/>
          <w:spacing w:val="-3"/>
          <w:highlight w:val="none"/>
          <w:lang w:val="en-US" w:eastAsia="zh-CN"/>
        </w:rPr>
        <w:t>4</w:t>
      </w:r>
      <w:r>
        <w:rPr>
          <w:rFonts w:ascii="宋体" w:hAnsi="宋体" w:cs="宋体"/>
          <w:color w:val="auto"/>
          <w:spacing w:val="-3"/>
          <w:highlight w:val="none"/>
        </w:rPr>
        <w:t>.</w:t>
      </w:r>
      <w:r>
        <w:rPr>
          <w:rFonts w:hint="eastAsia" w:ascii="宋体" w:hAnsi="宋体" w:cs="宋体"/>
          <w:color w:val="auto"/>
          <w:highlight w:val="none"/>
        </w:rPr>
        <w:t>本表所列合同价格一般为项目结算价格，无结算价格的以签约合同价格为准。</w:t>
      </w:r>
    </w:p>
    <w:p w14:paraId="57A0864C">
      <w:pPr>
        <w:pStyle w:val="276"/>
        <w:spacing w:line="320" w:lineRule="exact"/>
        <w:ind w:left="609" w:leftChars="190" w:hanging="210" w:hangingChars="100"/>
        <w:rPr>
          <w:rFonts w:ascii="宋体" w:hAnsi="宋体" w:cs="宋体"/>
          <w:color w:val="auto"/>
          <w:highlight w:val="none"/>
        </w:rPr>
      </w:pPr>
      <w:r>
        <w:rPr>
          <w:rFonts w:hint="eastAsia" w:ascii="宋体" w:hAnsi="宋体" w:cs="宋体"/>
          <w:color w:val="auto"/>
          <w:highlight w:val="none"/>
          <w:lang w:val="en-US" w:eastAsia="zh-CN"/>
        </w:rPr>
        <w:t>5</w:t>
      </w:r>
      <w:r>
        <w:rPr>
          <w:rFonts w:ascii="宋体" w:hAnsi="宋体" w:cs="宋体"/>
          <w:color w:val="auto"/>
          <w:highlight w:val="none"/>
        </w:rPr>
        <w:t>.如近年来，投标人法人机构发生合法变更或重组或法人名称变更时，应提供相关部门的合法批件或其他相关证明材料来证明其所附业绩的继承性。</w:t>
      </w:r>
    </w:p>
    <w:p w14:paraId="0B793F21">
      <w:pPr>
        <w:pStyle w:val="276"/>
        <w:spacing w:line="320" w:lineRule="exact"/>
        <w:ind w:firstLine="420" w:firstLineChars="200"/>
        <w:rPr>
          <w:color w:val="auto"/>
          <w:highlight w:val="none"/>
        </w:rPr>
      </w:pPr>
      <w:r>
        <w:rPr>
          <w:rFonts w:hint="eastAsia" w:ascii="宋体" w:hAnsi="宋体" w:cs="宋体"/>
          <w:color w:val="auto"/>
          <w:highlight w:val="none"/>
          <w:lang w:val="en-US" w:eastAsia="zh-CN"/>
        </w:rPr>
        <w:t>6</w:t>
      </w:r>
      <w:r>
        <w:rPr>
          <w:rFonts w:ascii="宋体" w:hAnsi="宋体" w:cs="宋体"/>
          <w:color w:val="auto"/>
          <w:highlight w:val="none"/>
        </w:rPr>
        <w:t>.</w:t>
      </w:r>
      <w:r>
        <w:rPr>
          <w:rFonts w:hint="eastAsia"/>
          <w:color w:val="auto"/>
          <w:highlight w:val="none"/>
        </w:rPr>
        <w:t>表中的</w:t>
      </w:r>
      <w:r>
        <w:rPr>
          <w:color w:val="auto"/>
          <w:highlight w:val="none"/>
        </w:rPr>
        <w:t>“</w:t>
      </w:r>
      <w:r>
        <w:rPr>
          <w:rFonts w:hint="eastAsia"/>
          <w:color w:val="auto"/>
          <w:highlight w:val="none"/>
        </w:rPr>
        <w:t>日期</w:t>
      </w:r>
      <w:r>
        <w:rPr>
          <w:color w:val="auto"/>
          <w:highlight w:val="none"/>
        </w:rPr>
        <w:t>”</w:t>
      </w:r>
      <w:r>
        <w:rPr>
          <w:rFonts w:hint="eastAsia"/>
          <w:color w:val="auto"/>
          <w:highlight w:val="none"/>
        </w:rPr>
        <w:t>填写的格式统一以阿拉伯数字表示。如：</w:t>
      </w:r>
      <w:r>
        <w:rPr>
          <w:color w:val="auto"/>
          <w:highlight w:val="none"/>
        </w:rPr>
        <w:t>20</w:t>
      </w:r>
      <w:r>
        <w:rPr>
          <w:rFonts w:hint="eastAsia"/>
          <w:color w:val="auto"/>
          <w:highlight w:val="none"/>
          <w:lang w:val="en-US" w:eastAsia="zh-CN"/>
        </w:rPr>
        <w:t>21</w:t>
      </w:r>
      <w:r>
        <w:rPr>
          <w:rFonts w:hint="eastAsia"/>
          <w:color w:val="auto"/>
          <w:highlight w:val="none"/>
        </w:rPr>
        <w:t>年</w:t>
      </w:r>
      <w:r>
        <w:rPr>
          <w:color w:val="auto"/>
          <w:highlight w:val="none"/>
        </w:rPr>
        <w:t>5</w:t>
      </w:r>
      <w:r>
        <w:rPr>
          <w:rFonts w:hint="eastAsia"/>
          <w:color w:val="auto"/>
          <w:highlight w:val="none"/>
        </w:rPr>
        <w:t>月</w:t>
      </w:r>
      <w:r>
        <w:rPr>
          <w:color w:val="auto"/>
          <w:highlight w:val="none"/>
        </w:rPr>
        <w:t>1</w:t>
      </w:r>
      <w:r>
        <w:rPr>
          <w:rFonts w:hint="eastAsia"/>
          <w:color w:val="auto"/>
          <w:highlight w:val="none"/>
        </w:rPr>
        <w:t>日，填写为</w:t>
      </w:r>
      <w:r>
        <w:rPr>
          <w:color w:val="auto"/>
          <w:highlight w:val="none"/>
        </w:rPr>
        <w:t>20</w:t>
      </w:r>
      <w:r>
        <w:rPr>
          <w:rFonts w:hint="eastAsia"/>
          <w:color w:val="auto"/>
          <w:highlight w:val="none"/>
          <w:lang w:val="en-US" w:eastAsia="zh-CN"/>
        </w:rPr>
        <w:t>21</w:t>
      </w:r>
      <w:r>
        <w:rPr>
          <w:color w:val="auto"/>
          <w:highlight w:val="none"/>
        </w:rPr>
        <w:t>0501</w:t>
      </w:r>
      <w:r>
        <w:rPr>
          <w:rFonts w:hint="eastAsia"/>
          <w:color w:val="auto"/>
          <w:highlight w:val="none"/>
        </w:rPr>
        <w:t>；</w:t>
      </w:r>
      <w:r>
        <w:rPr>
          <w:color w:val="auto"/>
          <w:highlight w:val="none"/>
        </w:rPr>
        <w:t>20</w:t>
      </w:r>
      <w:r>
        <w:rPr>
          <w:rFonts w:hint="eastAsia"/>
          <w:color w:val="auto"/>
          <w:highlight w:val="none"/>
          <w:lang w:val="en-US" w:eastAsia="zh-CN"/>
        </w:rPr>
        <w:t>21</w:t>
      </w:r>
      <w:r>
        <w:rPr>
          <w:rFonts w:hint="eastAsia"/>
          <w:color w:val="auto"/>
          <w:highlight w:val="none"/>
        </w:rPr>
        <w:t>年</w:t>
      </w:r>
      <w:r>
        <w:rPr>
          <w:color w:val="auto"/>
          <w:highlight w:val="none"/>
        </w:rPr>
        <w:t>5</w:t>
      </w:r>
      <w:r>
        <w:rPr>
          <w:rFonts w:hint="eastAsia"/>
          <w:color w:val="auto"/>
          <w:highlight w:val="none"/>
        </w:rPr>
        <w:t>月，填写为</w:t>
      </w:r>
      <w:r>
        <w:rPr>
          <w:color w:val="auto"/>
          <w:highlight w:val="none"/>
        </w:rPr>
        <w:t>20</w:t>
      </w:r>
      <w:r>
        <w:rPr>
          <w:rFonts w:hint="eastAsia"/>
          <w:color w:val="auto"/>
          <w:highlight w:val="none"/>
          <w:lang w:val="en-US" w:eastAsia="zh-CN"/>
        </w:rPr>
        <w:t>21</w:t>
      </w:r>
      <w:r>
        <w:rPr>
          <w:color w:val="auto"/>
          <w:highlight w:val="none"/>
        </w:rPr>
        <w:t>05</w:t>
      </w:r>
      <w:r>
        <w:rPr>
          <w:rFonts w:hint="eastAsia"/>
          <w:color w:val="auto"/>
          <w:highlight w:val="none"/>
        </w:rPr>
        <w:t>。</w:t>
      </w:r>
    </w:p>
    <w:p w14:paraId="5262D58A">
      <w:pPr>
        <w:pStyle w:val="276"/>
        <w:spacing w:line="320" w:lineRule="exact"/>
        <w:ind w:left="609" w:leftChars="190" w:hanging="210" w:hangingChars="100"/>
        <w:rPr>
          <w:rFonts w:ascii="宋体" w:hAnsi="宋体" w:cs="宋体"/>
          <w:color w:val="auto"/>
          <w:highlight w:val="none"/>
        </w:rPr>
      </w:pPr>
      <w:r>
        <w:rPr>
          <w:rFonts w:hint="eastAsia" w:ascii="宋体" w:hAnsi="宋体" w:cs="宋体"/>
          <w:color w:val="auto"/>
          <w:highlight w:val="none"/>
          <w:lang w:val="en-US" w:eastAsia="zh-CN"/>
        </w:rPr>
        <w:t>7</w:t>
      </w:r>
      <w:r>
        <w:rPr>
          <w:rFonts w:ascii="宋体" w:hAnsi="宋体" w:cs="宋体"/>
          <w:color w:val="auto"/>
          <w:highlight w:val="none"/>
        </w:rPr>
        <w:t>.</w:t>
      </w:r>
      <w:r>
        <w:rPr>
          <w:rFonts w:hint="eastAsia" w:ascii="宋体" w:hAnsi="宋体" w:cs="宋体"/>
          <w:szCs w:val="21"/>
        </w:rPr>
        <w:t>允许联合体投标时，</w:t>
      </w:r>
      <w:r>
        <w:rPr>
          <w:rFonts w:hint="eastAsia" w:ascii="宋体" w:hAnsi="宋体" w:cs="宋体"/>
          <w:szCs w:val="21"/>
          <w:lang w:val="en-US" w:eastAsia="zh-CN"/>
        </w:rPr>
        <w:t>若</w:t>
      </w:r>
      <w:r>
        <w:rPr>
          <w:rFonts w:ascii="宋体" w:hAnsi="宋体" w:cs="宋体"/>
          <w:color w:val="auto"/>
          <w:highlight w:val="none"/>
        </w:rPr>
        <w:t>以联合体形式投标的，联合体各成员应按照</w:t>
      </w:r>
      <w:r>
        <w:rPr>
          <w:rFonts w:hint="eastAsia" w:ascii="宋体" w:hAnsi="宋体" w:cs="宋体"/>
          <w:color w:val="auto"/>
          <w:highlight w:val="none"/>
        </w:rPr>
        <w:t>第二章“</w:t>
      </w:r>
      <w:r>
        <w:rPr>
          <w:rFonts w:ascii="宋体" w:hAnsi="宋体" w:cs="宋体"/>
          <w:color w:val="auto"/>
          <w:highlight w:val="none"/>
        </w:rPr>
        <w:t>投标人须知</w:t>
      </w:r>
      <w:r>
        <w:rPr>
          <w:rFonts w:hint="eastAsia" w:ascii="宋体" w:hAnsi="宋体" w:cs="宋体"/>
          <w:color w:val="auto"/>
          <w:highlight w:val="none"/>
        </w:rPr>
        <w:t>”</w:t>
      </w:r>
      <w:r>
        <w:rPr>
          <w:rFonts w:ascii="宋体" w:hAnsi="宋体" w:cs="宋体"/>
          <w:color w:val="auto"/>
          <w:highlight w:val="none"/>
        </w:rPr>
        <w:t>前附表附录2资格审查条件要求的对应业绩</w:t>
      </w:r>
      <w:r>
        <w:rPr>
          <w:rFonts w:hint="eastAsia" w:ascii="宋体" w:hAnsi="宋体" w:cs="宋体"/>
          <w:color w:val="auto"/>
          <w:highlight w:val="none"/>
        </w:rPr>
        <w:t>及</w:t>
      </w:r>
      <w:r>
        <w:rPr>
          <w:rFonts w:hint="eastAsia" w:ascii="宋体" w:hAnsi="宋体" w:cs="宋体"/>
          <w:color w:val="auto"/>
          <w:highlight w:val="none"/>
          <w:lang w:val="en-US" w:eastAsia="zh-CN"/>
        </w:rPr>
        <w:t>第三章“评标办法”</w:t>
      </w:r>
      <w:r>
        <w:rPr>
          <w:rFonts w:hint="eastAsia" w:ascii="宋体" w:hAnsi="宋体" w:cs="宋体"/>
          <w:color w:val="auto"/>
          <w:highlight w:val="none"/>
        </w:rPr>
        <w:t>详细评审打分条件（如有）</w:t>
      </w:r>
      <w:r>
        <w:rPr>
          <w:rFonts w:ascii="宋体" w:hAnsi="宋体" w:cs="宋体"/>
          <w:color w:val="auto"/>
          <w:highlight w:val="none"/>
        </w:rPr>
        <w:t>填写</w:t>
      </w:r>
      <w:r>
        <w:rPr>
          <w:rFonts w:hint="eastAsia" w:ascii="宋体" w:hAnsi="宋体" w:cs="宋体"/>
          <w:color w:val="auto"/>
          <w:highlight w:val="none"/>
          <w:lang w:val="en-US" w:eastAsia="zh-CN"/>
        </w:rPr>
        <w:t>本表</w:t>
      </w:r>
      <w:r>
        <w:rPr>
          <w:rFonts w:ascii="宋体" w:hAnsi="宋体" w:cs="宋体"/>
          <w:color w:val="auto"/>
          <w:highlight w:val="none"/>
        </w:rPr>
        <w:t>。</w:t>
      </w:r>
    </w:p>
    <w:bookmarkEnd w:id="755"/>
    <w:p w14:paraId="221D023A">
      <w:pPr>
        <w:spacing w:line="360" w:lineRule="auto"/>
        <w:ind w:left="0" w:firstLine="4080" w:firstLineChars="1700"/>
        <w:rPr>
          <w:rFonts w:hint="eastAsia" w:ascii="黑体" w:hAnsi="黑体" w:eastAsia="黑体" w:cs="宋体"/>
          <w:color w:val="auto"/>
          <w:sz w:val="24"/>
          <w:highlight w:val="none"/>
        </w:rPr>
      </w:pPr>
      <w:r>
        <w:rPr>
          <w:rFonts w:hint="eastAsia" w:ascii="黑体" w:hAnsi="黑体" w:eastAsia="黑体" w:cs="宋体"/>
          <w:color w:val="auto"/>
          <w:sz w:val="24"/>
          <w:highlight w:val="none"/>
        </w:rPr>
        <w:br w:type="page"/>
      </w:r>
    </w:p>
    <w:p w14:paraId="5D3397EA">
      <w:pPr>
        <w:pStyle w:val="276"/>
        <w:spacing w:line="360" w:lineRule="auto"/>
        <w:ind w:left="0" w:firstLine="4080" w:firstLineChars="1700"/>
        <w:rPr>
          <w:rFonts w:ascii="黑体" w:hAnsi="黑体" w:eastAsia="黑体" w:cs="宋体"/>
          <w:color w:val="auto"/>
          <w:sz w:val="24"/>
          <w:highlight w:val="none"/>
        </w:rPr>
      </w:pPr>
      <w:r>
        <w:rPr>
          <w:rFonts w:hint="eastAsia" w:ascii="黑体" w:hAnsi="黑体" w:eastAsia="黑体" w:cs="宋体"/>
          <w:color w:val="auto"/>
          <w:sz w:val="24"/>
          <w:highlight w:val="none"/>
        </w:rPr>
        <w:t>□</w:t>
      </w:r>
      <w:r>
        <w:rPr>
          <w:rFonts w:ascii="黑体" w:hAnsi="黑体" w:eastAsia="黑体" w:cs="宋体"/>
          <w:color w:val="auto"/>
          <w:sz w:val="24"/>
          <w:highlight w:val="none"/>
        </w:rPr>
        <w:t xml:space="preserve"> </w:t>
      </w:r>
      <w:r>
        <w:rPr>
          <w:rFonts w:hint="eastAsia" w:ascii="黑体" w:hAnsi="黑体" w:eastAsia="黑体" w:cs="宋体"/>
          <w:color w:val="auto"/>
          <w:sz w:val="24"/>
          <w:highlight w:val="none"/>
        </w:rPr>
        <w:t>其他</w:t>
      </w:r>
      <w:r>
        <w:rPr>
          <w:rFonts w:ascii="黑体" w:hAnsi="黑体" w:eastAsia="黑体" w:cs="宋体"/>
          <w:color w:val="auto"/>
          <w:sz w:val="24"/>
          <w:highlight w:val="none"/>
        </w:rPr>
        <w:t>：</w:t>
      </w:r>
      <w:r>
        <w:rPr>
          <w:rFonts w:ascii="黑体" w:hAnsi="黑体" w:eastAsia="黑体" w:cs="宋体"/>
          <w:color w:val="auto"/>
          <w:sz w:val="24"/>
          <w:highlight w:val="none"/>
          <w:u w:val="single"/>
        </w:rPr>
        <w:t xml:space="preserve">         </w:t>
      </w:r>
      <w:r>
        <w:rPr>
          <w:rFonts w:hint="eastAsia" w:ascii="黑体" w:hAnsi="黑体" w:eastAsia="黑体" w:cs="宋体"/>
          <w:color w:val="auto"/>
          <w:sz w:val="24"/>
          <w:highlight w:val="none"/>
          <w:u w:val="none"/>
          <w:lang w:val="en-US" w:eastAsia="zh-CN"/>
        </w:rPr>
        <w:t>工程</w:t>
      </w:r>
      <w:r>
        <w:rPr>
          <w:rFonts w:hint="eastAsia" w:ascii="黑体" w:hAnsi="黑体" w:eastAsia="黑体" w:cs="宋体"/>
          <w:color w:val="auto"/>
          <w:sz w:val="24"/>
          <w:highlight w:val="none"/>
        </w:rPr>
        <w:t>施工监理试验室情况</w:t>
      </w:r>
      <w:r>
        <w:rPr>
          <w:rFonts w:hint="eastAsia" w:ascii="黑体" w:hAnsi="黑体" w:eastAsia="黑体" w:cs="宋体"/>
          <w:color w:val="auto"/>
          <w:sz w:val="24"/>
          <w:highlight w:val="none"/>
          <w:lang w:val="en-US" w:eastAsia="zh-CN"/>
        </w:rPr>
        <w:t>表</w:t>
      </w:r>
      <w:r>
        <w:rPr>
          <w:rFonts w:ascii="黑体" w:hAnsi="黑体" w:eastAsia="黑体" w:cs="宋体"/>
          <w:color w:val="auto"/>
          <w:sz w:val="24"/>
          <w:highlight w:val="none"/>
        </w:rPr>
        <w:t xml:space="preserve"> </w:t>
      </w:r>
      <w:r>
        <w:rPr>
          <w:rFonts w:ascii="黑体" w:hAnsi="黑体" w:eastAsia="黑体" w:cs="宋体"/>
          <w:color w:val="auto"/>
          <w:sz w:val="24"/>
          <w:highlight w:val="none"/>
          <w:u w:val="none"/>
        </w:rPr>
        <w:t xml:space="preserve">      </w:t>
      </w:r>
      <w:r>
        <w:rPr>
          <w:rFonts w:ascii="黑体" w:hAnsi="黑体" w:eastAsia="黑体" w:cs="宋体"/>
          <w:color w:val="auto"/>
          <w:sz w:val="24"/>
          <w:highlight w:val="none"/>
        </w:rPr>
        <w:t xml:space="preserve">                        表</w:t>
      </w:r>
      <w:r>
        <w:rPr>
          <w:rFonts w:hint="eastAsia" w:ascii="黑体" w:hAnsi="黑体" w:eastAsia="黑体" w:cs="宋体"/>
          <w:color w:val="auto"/>
          <w:sz w:val="24"/>
          <w:highlight w:val="none"/>
          <w:lang w:val="en-US" w:eastAsia="zh-CN"/>
        </w:rPr>
        <w:t>2.</w:t>
      </w:r>
      <w:r>
        <w:rPr>
          <w:rFonts w:ascii="黑体" w:hAnsi="黑体" w:eastAsia="黑体" w:cs="宋体"/>
          <w:color w:val="auto"/>
          <w:sz w:val="24"/>
          <w:highlight w:val="none"/>
        </w:rPr>
        <w:t>3</w:t>
      </w:r>
    </w:p>
    <w:tbl>
      <w:tblPr>
        <w:tblStyle w:val="48"/>
        <w:tblW w:w="1379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3"/>
        <w:gridCol w:w="920"/>
        <w:gridCol w:w="1469"/>
        <w:gridCol w:w="806"/>
        <w:gridCol w:w="1145"/>
        <w:gridCol w:w="668"/>
        <w:gridCol w:w="717"/>
        <w:gridCol w:w="1055"/>
        <w:gridCol w:w="661"/>
        <w:gridCol w:w="636"/>
        <w:gridCol w:w="823"/>
        <w:gridCol w:w="940"/>
        <w:gridCol w:w="824"/>
        <w:gridCol w:w="876"/>
        <w:gridCol w:w="812"/>
        <w:gridCol w:w="996"/>
      </w:tblGrid>
      <w:tr w14:paraId="371A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2" w:hRule="atLeast"/>
        </w:trPr>
        <w:tc>
          <w:tcPr>
            <w:tcW w:w="443" w:type="dxa"/>
            <w:vAlign w:val="center"/>
          </w:tcPr>
          <w:p w14:paraId="55529952">
            <w:pPr>
              <w:pStyle w:val="276"/>
              <w:jc w:val="center"/>
              <w:rPr>
                <w:rFonts w:ascii="宋体" w:hAnsi="宋体" w:cs="宋体"/>
                <w:color w:val="auto"/>
                <w:highlight w:val="none"/>
              </w:rPr>
            </w:pPr>
            <w:r>
              <w:rPr>
                <w:rFonts w:hint="eastAsia" w:ascii="宋体" w:hAnsi="宋体" w:cs="宋体"/>
                <w:color w:val="auto"/>
                <w:highlight w:val="none"/>
              </w:rPr>
              <w:t>序号</w:t>
            </w:r>
          </w:p>
        </w:tc>
        <w:tc>
          <w:tcPr>
            <w:tcW w:w="920" w:type="dxa"/>
            <w:tcMar>
              <w:top w:w="0" w:type="dxa"/>
              <w:left w:w="108" w:type="dxa"/>
              <w:bottom w:w="0" w:type="dxa"/>
              <w:right w:w="108" w:type="dxa"/>
            </w:tcMar>
            <w:vAlign w:val="center"/>
          </w:tcPr>
          <w:p w14:paraId="028C6887">
            <w:pPr>
              <w:pStyle w:val="276"/>
              <w:jc w:val="center"/>
              <w:rPr>
                <w:rFonts w:ascii="宋体" w:hAnsi="宋体" w:cs="宋体"/>
                <w:color w:val="auto"/>
                <w:highlight w:val="none"/>
              </w:rPr>
            </w:pPr>
            <w:r>
              <w:rPr>
                <w:rFonts w:hint="eastAsia" w:ascii="宋体" w:hAnsi="宋体" w:cs="宋体"/>
                <w:color w:val="auto"/>
                <w:highlight w:val="none"/>
              </w:rPr>
              <w:t>项目</w:t>
            </w:r>
          </w:p>
          <w:p w14:paraId="7D3C93BF">
            <w:pPr>
              <w:pStyle w:val="276"/>
              <w:jc w:val="center"/>
              <w:rPr>
                <w:rFonts w:ascii="宋体" w:hAnsi="宋体" w:cs="宋体"/>
                <w:color w:val="auto"/>
                <w:highlight w:val="none"/>
              </w:rPr>
            </w:pPr>
            <w:r>
              <w:rPr>
                <w:rFonts w:hint="eastAsia" w:ascii="宋体" w:hAnsi="宋体" w:cs="宋体"/>
                <w:color w:val="auto"/>
                <w:highlight w:val="none"/>
              </w:rPr>
              <w:t>业主</w:t>
            </w:r>
          </w:p>
        </w:tc>
        <w:tc>
          <w:tcPr>
            <w:tcW w:w="1469" w:type="dxa"/>
            <w:tcMar>
              <w:top w:w="0" w:type="dxa"/>
              <w:left w:w="108" w:type="dxa"/>
              <w:bottom w:w="0" w:type="dxa"/>
              <w:right w:w="108" w:type="dxa"/>
            </w:tcMar>
            <w:vAlign w:val="center"/>
          </w:tcPr>
          <w:p w14:paraId="4C049858">
            <w:pPr>
              <w:pStyle w:val="276"/>
              <w:jc w:val="center"/>
              <w:rPr>
                <w:rFonts w:ascii="宋体" w:hAnsi="宋体" w:cs="宋体"/>
                <w:color w:val="auto"/>
                <w:highlight w:val="none"/>
              </w:rPr>
            </w:pPr>
            <w:r>
              <w:rPr>
                <w:rFonts w:hint="eastAsia" w:ascii="宋体" w:hAnsi="宋体" w:cs="宋体"/>
                <w:color w:val="auto"/>
                <w:highlight w:val="none"/>
              </w:rPr>
              <w:t>项目名称</w:t>
            </w:r>
          </w:p>
        </w:tc>
        <w:tc>
          <w:tcPr>
            <w:tcW w:w="806" w:type="dxa"/>
            <w:vAlign w:val="center"/>
          </w:tcPr>
          <w:p w14:paraId="05E30424">
            <w:pPr>
              <w:pStyle w:val="276"/>
              <w:jc w:val="center"/>
              <w:rPr>
                <w:rFonts w:ascii="宋体" w:hAnsi="宋体" w:cs="宋体"/>
                <w:color w:val="auto"/>
                <w:highlight w:val="none"/>
              </w:rPr>
            </w:pPr>
            <w:r>
              <w:rPr>
                <w:rFonts w:hint="eastAsia" w:ascii="宋体" w:hAnsi="宋体" w:cs="宋体"/>
                <w:color w:val="auto"/>
                <w:highlight w:val="none"/>
              </w:rPr>
              <w:t>公路</w:t>
            </w:r>
          </w:p>
          <w:p w14:paraId="0B67581C">
            <w:pPr>
              <w:pStyle w:val="276"/>
              <w:jc w:val="center"/>
              <w:rPr>
                <w:rFonts w:ascii="宋体" w:hAnsi="宋体" w:cs="宋体"/>
                <w:color w:val="auto"/>
                <w:highlight w:val="none"/>
              </w:rPr>
            </w:pPr>
            <w:r>
              <w:rPr>
                <w:rFonts w:hint="eastAsia" w:ascii="宋体" w:hAnsi="宋体" w:cs="宋体"/>
                <w:color w:val="auto"/>
                <w:highlight w:val="none"/>
              </w:rPr>
              <w:t>等级</w:t>
            </w:r>
          </w:p>
        </w:tc>
        <w:tc>
          <w:tcPr>
            <w:tcW w:w="1145" w:type="dxa"/>
            <w:tcMar>
              <w:top w:w="0" w:type="dxa"/>
              <w:left w:w="108" w:type="dxa"/>
              <w:bottom w:w="0" w:type="dxa"/>
              <w:right w:w="108" w:type="dxa"/>
            </w:tcMar>
            <w:vAlign w:val="center"/>
          </w:tcPr>
          <w:p w14:paraId="157BDDCC">
            <w:pPr>
              <w:pStyle w:val="276"/>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项目建设形式</w:t>
            </w:r>
          </w:p>
        </w:tc>
        <w:tc>
          <w:tcPr>
            <w:tcW w:w="668" w:type="dxa"/>
            <w:tcMar>
              <w:top w:w="0" w:type="dxa"/>
              <w:left w:w="108" w:type="dxa"/>
              <w:bottom w:w="0" w:type="dxa"/>
              <w:right w:w="108" w:type="dxa"/>
            </w:tcMar>
            <w:vAlign w:val="center"/>
          </w:tcPr>
          <w:p w14:paraId="20A1DC84">
            <w:pPr>
              <w:pStyle w:val="276"/>
              <w:jc w:val="center"/>
              <w:rPr>
                <w:rFonts w:ascii="宋体" w:hAnsi="宋体" w:cs="宋体"/>
                <w:color w:val="auto"/>
                <w:highlight w:val="none"/>
              </w:rPr>
            </w:pPr>
            <w:r>
              <w:rPr>
                <w:rFonts w:hint="eastAsia" w:ascii="宋体" w:hAnsi="宋体" w:cs="宋体"/>
                <w:color w:val="auto"/>
                <w:highlight w:val="none"/>
              </w:rPr>
              <w:t>标段号</w:t>
            </w:r>
          </w:p>
        </w:tc>
        <w:tc>
          <w:tcPr>
            <w:tcW w:w="717" w:type="dxa"/>
            <w:vAlign w:val="center"/>
          </w:tcPr>
          <w:p w14:paraId="0C2D4E6B">
            <w:pPr>
              <w:pStyle w:val="276"/>
              <w:jc w:val="center"/>
              <w:rPr>
                <w:rFonts w:ascii="宋体" w:hAnsi="宋体" w:cs="宋体"/>
                <w:color w:val="auto"/>
                <w:highlight w:val="none"/>
              </w:rPr>
            </w:pPr>
            <w:r>
              <w:rPr>
                <w:rFonts w:hint="eastAsia" w:ascii="宋体" w:hAnsi="宋体" w:cs="宋体"/>
                <w:color w:val="auto"/>
                <w:highlight w:val="none"/>
              </w:rPr>
              <w:t>开工</w:t>
            </w:r>
          </w:p>
          <w:p w14:paraId="0404F4B4">
            <w:pPr>
              <w:pStyle w:val="276"/>
              <w:jc w:val="center"/>
              <w:rPr>
                <w:rFonts w:ascii="宋体" w:hAnsi="宋体" w:cs="宋体"/>
                <w:color w:val="auto"/>
                <w:highlight w:val="none"/>
              </w:rPr>
            </w:pPr>
            <w:r>
              <w:rPr>
                <w:rFonts w:hint="eastAsia" w:ascii="宋体" w:hAnsi="宋体" w:cs="宋体"/>
                <w:color w:val="auto"/>
                <w:highlight w:val="none"/>
              </w:rPr>
              <w:t>日期</w:t>
            </w:r>
          </w:p>
        </w:tc>
        <w:tc>
          <w:tcPr>
            <w:tcW w:w="1055" w:type="dxa"/>
            <w:tcMar>
              <w:top w:w="0" w:type="dxa"/>
              <w:left w:w="108" w:type="dxa"/>
              <w:bottom w:w="0" w:type="dxa"/>
              <w:right w:w="108" w:type="dxa"/>
            </w:tcMar>
            <w:vAlign w:val="center"/>
          </w:tcPr>
          <w:p w14:paraId="46256F7F">
            <w:pPr>
              <w:pStyle w:val="276"/>
              <w:jc w:val="center"/>
              <w:rPr>
                <w:rFonts w:ascii="宋体" w:hAnsi="宋体" w:cs="宋体"/>
                <w:color w:val="auto"/>
                <w:highlight w:val="none"/>
              </w:rPr>
            </w:pPr>
            <w:r>
              <w:rPr>
                <w:rFonts w:hint="eastAsia" w:ascii="宋体" w:hAnsi="宋体" w:cs="宋体"/>
                <w:color w:val="auto"/>
                <w:highlight w:val="none"/>
              </w:rPr>
              <w:t>完成（交工）日期</w:t>
            </w:r>
          </w:p>
        </w:tc>
        <w:tc>
          <w:tcPr>
            <w:tcW w:w="661" w:type="dxa"/>
            <w:vAlign w:val="center"/>
          </w:tcPr>
          <w:p w14:paraId="4D7859F2">
            <w:pPr>
              <w:pStyle w:val="276"/>
              <w:jc w:val="center"/>
              <w:rPr>
                <w:rFonts w:ascii="宋体" w:hAnsi="宋体" w:cs="宋体"/>
                <w:color w:val="auto"/>
                <w:highlight w:val="none"/>
              </w:rPr>
            </w:pPr>
            <w:r>
              <w:rPr>
                <w:rFonts w:hint="eastAsia" w:ascii="宋体" w:hAnsi="宋体" w:cs="宋体"/>
                <w:color w:val="auto"/>
                <w:highlight w:val="none"/>
              </w:rPr>
              <w:t>服务</w:t>
            </w:r>
          </w:p>
          <w:p w14:paraId="0DF2F6C5">
            <w:pPr>
              <w:pStyle w:val="276"/>
              <w:jc w:val="center"/>
              <w:rPr>
                <w:rFonts w:ascii="宋体" w:hAnsi="宋体" w:cs="宋体"/>
                <w:color w:val="auto"/>
                <w:highlight w:val="none"/>
              </w:rPr>
            </w:pPr>
            <w:r>
              <w:rPr>
                <w:rFonts w:hint="eastAsia" w:ascii="宋体" w:hAnsi="宋体" w:cs="宋体"/>
                <w:color w:val="auto"/>
                <w:highlight w:val="none"/>
              </w:rPr>
              <w:t>期限</w:t>
            </w:r>
          </w:p>
        </w:tc>
        <w:tc>
          <w:tcPr>
            <w:tcW w:w="636" w:type="dxa"/>
            <w:tcMar>
              <w:top w:w="0" w:type="dxa"/>
              <w:left w:w="108" w:type="dxa"/>
              <w:bottom w:w="0" w:type="dxa"/>
              <w:right w:w="108" w:type="dxa"/>
            </w:tcMar>
            <w:vAlign w:val="center"/>
          </w:tcPr>
          <w:p w14:paraId="7F00A19C">
            <w:pPr>
              <w:pStyle w:val="276"/>
              <w:jc w:val="center"/>
              <w:rPr>
                <w:rFonts w:ascii="宋体" w:hAnsi="宋体" w:cs="宋体"/>
                <w:color w:val="auto"/>
                <w:highlight w:val="none"/>
              </w:rPr>
            </w:pPr>
            <w:r>
              <w:rPr>
                <w:rFonts w:hint="eastAsia" w:ascii="宋体" w:hAnsi="宋体" w:cs="宋体"/>
                <w:color w:val="auto"/>
                <w:highlight w:val="none"/>
              </w:rPr>
              <w:t>服务</w:t>
            </w:r>
          </w:p>
          <w:p w14:paraId="31C917DF">
            <w:pPr>
              <w:pStyle w:val="276"/>
              <w:jc w:val="center"/>
              <w:rPr>
                <w:rFonts w:ascii="宋体" w:hAnsi="宋体" w:cs="宋体"/>
                <w:color w:val="auto"/>
                <w:highlight w:val="none"/>
              </w:rPr>
            </w:pPr>
            <w:r>
              <w:rPr>
                <w:rFonts w:hint="eastAsia" w:ascii="宋体" w:hAnsi="宋体" w:cs="宋体"/>
                <w:color w:val="auto"/>
                <w:highlight w:val="none"/>
              </w:rPr>
              <w:t>内容</w:t>
            </w:r>
          </w:p>
        </w:tc>
        <w:tc>
          <w:tcPr>
            <w:tcW w:w="823" w:type="dxa"/>
            <w:vAlign w:val="center"/>
          </w:tcPr>
          <w:p w14:paraId="0CE2D09C">
            <w:pPr>
              <w:pStyle w:val="276"/>
              <w:jc w:val="center"/>
              <w:rPr>
                <w:rFonts w:ascii="宋体" w:hAnsi="宋体" w:cs="宋体"/>
                <w:color w:val="auto"/>
                <w:highlight w:val="none"/>
              </w:rPr>
            </w:pPr>
            <w:r>
              <w:rPr>
                <w:rFonts w:hint="eastAsia" w:ascii="宋体" w:hAnsi="宋体" w:cs="宋体"/>
                <w:color w:val="auto"/>
                <w:highlight w:val="none"/>
              </w:rPr>
              <w:t>项目总投资</w:t>
            </w:r>
          </w:p>
          <w:p w14:paraId="20B6A56F">
            <w:pPr>
              <w:pStyle w:val="276"/>
              <w:jc w:val="center"/>
              <w:rPr>
                <w:rFonts w:ascii="宋体" w:hAnsi="宋体" w:cs="宋体"/>
                <w:color w:val="auto"/>
                <w:highlight w:val="none"/>
              </w:rPr>
            </w:pPr>
            <w:r>
              <w:rPr>
                <w:rFonts w:hint="eastAsia" w:ascii="宋体" w:hAnsi="宋体" w:cs="宋体"/>
                <w:color w:val="auto"/>
                <w:highlight w:val="none"/>
              </w:rPr>
              <w:t>（万元）</w:t>
            </w:r>
          </w:p>
        </w:tc>
        <w:tc>
          <w:tcPr>
            <w:tcW w:w="940" w:type="dxa"/>
            <w:tcMar>
              <w:top w:w="0" w:type="dxa"/>
              <w:left w:w="108" w:type="dxa"/>
              <w:bottom w:w="0" w:type="dxa"/>
              <w:right w:w="108" w:type="dxa"/>
            </w:tcMar>
            <w:vAlign w:val="center"/>
          </w:tcPr>
          <w:p w14:paraId="0EE844ED">
            <w:pPr>
              <w:pStyle w:val="276"/>
              <w:jc w:val="center"/>
              <w:rPr>
                <w:rFonts w:ascii="宋体" w:hAnsi="宋体" w:cs="宋体"/>
                <w:color w:val="auto"/>
                <w:highlight w:val="none"/>
              </w:rPr>
            </w:pPr>
            <w:r>
              <w:rPr>
                <w:rFonts w:hint="eastAsia" w:ascii="宋体" w:hAnsi="宋体" w:cs="宋体"/>
                <w:color w:val="auto"/>
                <w:highlight w:val="none"/>
              </w:rPr>
              <w:t>合同价格（元）</w:t>
            </w:r>
          </w:p>
        </w:tc>
        <w:tc>
          <w:tcPr>
            <w:tcW w:w="824" w:type="dxa"/>
            <w:vAlign w:val="center"/>
          </w:tcPr>
          <w:p w14:paraId="6EE14A4E">
            <w:pPr>
              <w:pStyle w:val="276"/>
              <w:jc w:val="center"/>
              <w:rPr>
                <w:rFonts w:ascii="宋体" w:hAnsi="宋体" w:cs="宋体"/>
                <w:color w:val="auto"/>
                <w:highlight w:val="none"/>
              </w:rPr>
            </w:pPr>
            <w:r>
              <w:rPr>
                <w:rFonts w:hint="eastAsia" w:ascii="宋体" w:hAnsi="宋体" w:cs="宋体"/>
                <w:color w:val="auto"/>
                <w:highlight w:val="none"/>
              </w:rPr>
              <w:t>监理试验室内容</w:t>
            </w:r>
          </w:p>
        </w:tc>
        <w:tc>
          <w:tcPr>
            <w:tcW w:w="876" w:type="dxa"/>
            <w:vAlign w:val="center"/>
          </w:tcPr>
          <w:p w14:paraId="01393B11">
            <w:pPr>
              <w:pStyle w:val="276"/>
              <w:jc w:val="center"/>
              <w:rPr>
                <w:rFonts w:ascii="宋体" w:hAnsi="宋体" w:cs="宋体"/>
                <w:color w:val="auto"/>
                <w:highlight w:val="none"/>
              </w:rPr>
            </w:pPr>
            <w:r>
              <w:rPr>
                <w:rFonts w:hint="eastAsia" w:ascii="宋体" w:hAnsi="宋体" w:cs="宋体"/>
                <w:color w:val="auto"/>
                <w:highlight w:val="none"/>
              </w:rPr>
              <w:t>标段长度（</w:t>
            </w:r>
            <w:r>
              <w:rPr>
                <w:rFonts w:ascii="宋体" w:hAnsi="宋体" w:cs="宋体"/>
                <w:color w:val="auto"/>
                <w:highlight w:val="none"/>
              </w:rPr>
              <w:t>m）</w:t>
            </w:r>
          </w:p>
        </w:tc>
        <w:tc>
          <w:tcPr>
            <w:tcW w:w="812" w:type="dxa"/>
            <w:tcMar>
              <w:top w:w="0" w:type="dxa"/>
              <w:left w:w="108" w:type="dxa"/>
              <w:bottom w:w="0" w:type="dxa"/>
              <w:right w:w="108" w:type="dxa"/>
            </w:tcMar>
            <w:vAlign w:val="center"/>
          </w:tcPr>
          <w:p w14:paraId="41C3240A">
            <w:pPr>
              <w:pStyle w:val="276"/>
              <w:jc w:val="center"/>
              <w:rPr>
                <w:rFonts w:ascii="宋体" w:hAnsi="宋体" w:cs="宋体"/>
                <w:color w:val="auto"/>
                <w:highlight w:val="none"/>
              </w:rPr>
            </w:pPr>
            <w:r>
              <w:rPr>
                <w:rFonts w:hint="eastAsia" w:ascii="宋体" w:hAnsi="宋体" w:cs="宋体"/>
                <w:color w:val="auto"/>
                <w:highlight w:val="none"/>
              </w:rPr>
              <w:t>试验室主任</w:t>
            </w:r>
          </w:p>
        </w:tc>
        <w:tc>
          <w:tcPr>
            <w:tcW w:w="996" w:type="dxa"/>
            <w:vAlign w:val="center"/>
          </w:tcPr>
          <w:p w14:paraId="110F4475">
            <w:pPr>
              <w:pStyle w:val="276"/>
              <w:jc w:val="center"/>
              <w:rPr>
                <w:rFonts w:ascii="宋体" w:hAnsi="宋体" w:cs="宋体"/>
                <w:color w:val="auto"/>
                <w:highlight w:val="none"/>
              </w:rPr>
            </w:pPr>
            <w:r>
              <w:rPr>
                <w:rFonts w:hint="eastAsia" w:ascii="宋体" w:hAnsi="宋体" w:cs="宋体"/>
                <w:color w:val="auto"/>
                <w:highlight w:val="none"/>
              </w:rPr>
              <w:t>业绩证明材料附件</w:t>
            </w:r>
          </w:p>
        </w:tc>
      </w:tr>
      <w:tr w14:paraId="5668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443" w:type="dxa"/>
            <w:vAlign w:val="center"/>
          </w:tcPr>
          <w:p w14:paraId="33F9405F">
            <w:pPr>
              <w:pStyle w:val="276"/>
              <w:jc w:val="center"/>
              <w:rPr>
                <w:rFonts w:ascii="宋体" w:hAnsi="宋体" w:cs="宋体"/>
                <w:color w:val="auto"/>
                <w:highlight w:val="none"/>
              </w:rPr>
            </w:pPr>
          </w:p>
        </w:tc>
        <w:tc>
          <w:tcPr>
            <w:tcW w:w="920" w:type="dxa"/>
            <w:tcMar>
              <w:top w:w="0" w:type="dxa"/>
              <w:left w:w="108" w:type="dxa"/>
              <w:bottom w:w="0" w:type="dxa"/>
              <w:right w:w="108" w:type="dxa"/>
            </w:tcMar>
            <w:vAlign w:val="center"/>
          </w:tcPr>
          <w:p w14:paraId="78888999">
            <w:pPr>
              <w:pStyle w:val="276"/>
              <w:jc w:val="center"/>
              <w:rPr>
                <w:rFonts w:ascii="宋体" w:hAnsi="宋体" w:cs="宋体"/>
                <w:color w:val="auto"/>
                <w:highlight w:val="none"/>
              </w:rPr>
            </w:pPr>
          </w:p>
        </w:tc>
        <w:tc>
          <w:tcPr>
            <w:tcW w:w="1469" w:type="dxa"/>
            <w:tcMar>
              <w:top w:w="0" w:type="dxa"/>
              <w:left w:w="108" w:type="dxa"/>
              <w:bottom w:w="0" w:type="dxa"/>
              <w:right w:w="108" w:type="dxa"/>
            </w:tcMar>
            <w:vAlign w:val="center"/>
          </w:tcPr>
          <w:p w14:paraId="74CC57DB">
            <w:pPr>
              <w:pStyle w:val="276"/>
              <w:jc w:val="center"/>
              <w:rPr>
                <w:rFonts w:ascii="宋体" w:hAnsi="宋体" w:cs="宋体"/>
                <w:color w:val="auto"/>
                <w:highlight w:val="none"/>
              </w:rPr>
            </w:pPr>
          </w:p>
        </w:tc>
        <w:tc>
          <w:tcPr>
            <w:tcW w:w="806" w:type="dxa"/>
          </w:tcPr>
          <w:p w14:paraId="2C7D15DC">
            <w:pPr>
              <w:pStyle w:val="276"/>
              <w:jc w:val="center"/>
              <w:rPr>
                <w:rFonts w:ascii="宋体" w:hAnsi="宋体" w:cs="宋体"/>
                <w:color w:val="auto"/>
                <w:highlight w:val="none"/>
              </w:rPr>
            </w:pPr>
          </w:p>
        </w:tc>
        <w:tc>
          <w:tcPr>
            <w:tcW w:w="1145" w:type="dxa"/>
            <w:tcMar>
              <w:top w:w="0" w:type="dxa"/>
              <w:left w:w="108" w:type="dxa"/>
              <w:bottom w:w="0" w:type="dxa"/>
              <w:right w:w="108" w:type="dxa"/>
            </w:tcMar>
            <w:vAlign w:val="center"/>
          </w:tcPr>
          <w:p w14:paraId="5B093DB1">
            <w:pPr>
              <w:widowControl/>
              <w:spacing w:line="240" w:lineRule="auto"/>
              <w:jc w:val="left"/>
              <w:rPr>
                <w:rFonts w:ascii="宋体" w:hAnsi="宋体"/>
                <w:szCs w:val="21"/>
              </w:rPr>
            </w:pPr>
            <w:r>
              <w:rPr>
                <w:rFonts w:hint="eastAsia" w:ascii="宋体" w:hAnsi="宋体"/>
                <w:szCs w:val="21"/>
              </w:rPr>
              <w:t>□新建</w:t>
            </w:r>
          </w:p>
          <w:p w14:paraId="0669A8A7">
            <w:pPr>
              <w:jc w:val="left"/>
              <w:rPr>
                <w:rFonts w:eastAsia="宋体" w:cs="宋体" w:asciiTheme="minorEastAsia" w:hAnsiTheme="minorEastAsia"/>
                <w:kern w:val="2"/>
                <w:sz w:val="21"/>
                <w:szCs w:val="21"/>
                <w:lang w:val="en-US" w:eastAsia="zh-CN" w:bidi="ar-SA"/>
              </w:rPr>
            </w:pPr>
            <w:r>
              <w:rPr>
                <w:rFonts w:hint="eastAsia" w:ascii="宋体" w:hAnsi="宋体"/>
                <w:szCs w:val="21"/>
              </w:rPr>
              <w:t>□改扩建</w:t>
            </w:r>
          </w:p>
        </w:tc>
        <w:tc>
          <w:tcPr>
            <w:tcW w:w="668" w:type="dxa"/>
            <w:tcMar>
              <w:top w:w="0" w:type="dxa"/>
              <w:left w:w="108" w:type="dxa"/>
              <w:bottom w:w="0" w:type="dxa"/>
              <w:right w:w="108" w:type="dxa"/>
            </w:tcMar>
            <w:vAlign w:val="center"/>
          </w:tcPr>
          <w:p w14:paraId="5D0062A8">
            <w:pPr>
              <w:pStyle w:val="276"/>
              <w:jc w:val="center"/>
              <w:rPr>
                <w:rFonts w:ascii="宋体" w:hAnsi="宋体" w:cs="宋体"/>
                <w:color w:val="auto"/>
                <w:highlight w:val="none"/>
              </w:rPr>
            </w:pPr>
          </w:p>
        </w:tc>
        <w:tc>
          <w:tcPr>
            <w:tcW w:w="717" w:type="dxa"/>
          </w:tcPr>
          <w:p w14:paraId="4BD2A0D4">
            <w:pPr>
              <w:pStyle w:val="276"/>
              <w:jc w:val="center"/>
              <w:rPr>
                <w:rFonts w:ascii="宋体" w:hAnsi="宋体" w:cs="宋体"/>
                <w:color w:val="auto"/>
                <w:highlight w:val="none"/>
              </w:rPr>
            </w:pPr>
          </w:p>
        </w:tc>
        <w:tc>
          <w:tcPr>
            <w:tcW w:w="1055" w:type="dxa"/>
            <w:tcMar>
              <w:top w:w="0" w:type="dxa"/>
              <w:left w:w="108" w:type="dxa"/>
              <w:bottom w:w="0" w:type="dxa"/>
              <w:right w:w="108" w:type="dxa"/>
            </w:tcMar>
            <w:vAlign w:val="center"/>
          </w:tcPr>
          <w:p w14:paraId="2B7C7AF8">
            <w:pPr>
              <w:pStyle w:val="276"/>
              <w:jc w:val="center"/>
              <w:rPr>
                <w:rFonts w:ascii="宋体" w:hAnsi="宋体" w:cs="宋体"/>
                <w:color w:val="auto"/>
                <w:highlight w:val="none"/>
              </w:rPr>
            </w:pPr>
          </w:p>
        </w:tc>
        <w:tc>
          <w:tcPr>
            <w:tcW w:w="661" w:type="dxa"/>
            <w:vAlign w:val="center"/>
          </w:tcPr>
          <w:p w14:paraId="0DDA4E5C">
            <w:pPr>
              <w:pStyle w:val="276"/>
              <w:jc w:val="center"/>
              <w:rPr>
                <w:rFonts w:ascii="宋体" w:hAnsi="宋体" w:cs="宋体"/>
                <w:color w:val="auto"/>
                <w:highlight w:val="none"/>
              </w:rPr>
            </w:pPr>
          </w:p>
        </w:tc>
        <w:tc>
          <w:tcPr>
            <w:tcW w:w="636" w:type="dxa"/>
            <w:tcMar>
              <w:top w:w="0" w:type="dxa"/>
              <w:left w:w="108" w:type="dxa"/>
              <w:bottom w:w="0" w:type="dxa"/>
              <w:right w:w="108" w:type="dxa"/>
            </w:tcMar>
            <w:vAlign w:val="center"/>
          </w:tcPr>
          <w:p w14:paraId="023BE629">
            <w:pPr>
              <w:pStyle w:val="276"/>
              <w:jc w:val="center"/>
              <w:rPr>
                <w:rFonts w:ascii="宋体" w:hAnsi="宋体" w:cs="宋体"/>
                <w:color w:val="auto"/>
                <w:highlight w:val="none"/>
              </w:rPr>
            </w:pPr>
          </w:p>
        </w:tc>
        <w:tc>
          <w:tcPr>
            <w:tcW w:w="823" w:type="dxa"/>
            <w:vAlign w:val="center"/>
          </w:tcPr>
          <w:p w14:paraId="220FF2E9">
            <w:pPr>
              <w:pStyle w:val="276"/>
              <w:jc w:val="center"/>
              <w:rPr>
                <w:rFonts w:ascii="宋体" w:hAnsi="宋体" w:cs="宋体"/>
                <w:color w:val="auto"/>
                <w:highlight w:val="none"/>
              </w:rPr>
            </w:pPr>
          </w:p>
        </w:tc>
        <w:tc>
          <w:tcPr>
            <w:tcW w:w="940" w:type="dxa"/>
            <w:tcMar>
              <w:top w:w="0" w:type="dxa"/>
              <w:left w:w="108" w:type="dxa"/>
              <w:bottom w:w="0" w:type="dxa"/>
              <w:right w:w="108" w:type="dxa"/>
            </w:tcMar>
            <w:vAlign w:val="center"/>
          </w:tcPr>
          <w:p w14:paraId="482D7FE2">
            <w:pPr>
              <w:pStyle w:val="276"/>
              <w:jc w:val="center"/>
              <w:rPr>
                <w:rFonts w:ascii="宋体" w:hAnsi="宋体" w:cs="宋体"/>
                <w:color w:val="auto"/>
                <w:highlight w:val="none"/>
              </w:rPr>
            </w:pPr>
          </w:p>
        </w:tc>
        <w:tc>
          <w:tcPr>
            <w:tcW w:w="824" w:type="dxa"/>
          </w:tcPr>
          <w:p w14:paraId="01875D76">
            <w:pPr>
              <w:pStyle w:val="276"/>
              <w:jc w:val="center"/>
              <w:rPr>
                <w:rFonts w:ascii="宋体" w:hAnsi="宋体" w:cs="宋体"/>
                <w:color w:val="auto"/>
                <w:highlight w:val="none"/>
              </w:rPr>
            </w:pPr>
          </w:p>
        </w:tc>
        <w:tc>
          <w:tcPr>
            <w:tcW w:w="876" w:type="dxa"/>
          </w:tcPr>
          <w:p w14:paraId="0EC2C73C">
            <w:pPr>
              <w:pStyle w:val="276"/>
              <w:jc w:val="center"/>
              <w:rPr>
                <w:rFonts w:ascii="宋体" w:hAnsi="宋体" w:cs="宋体"/>
                <w:color w:val="auto"/>
                <w:highlight w:val="none"/>
              </w:rPr>
            </w:pPr>
          </w:p>
        </w:tc>
        <w:tc>
          <w:tcPr>
            <w:tcW w:w="812" w:type="dxa"/>
            <w:tcMar>
              <w:top w:w="0" w:type="dxa"/>
              <w:left w:w="108" w:type="dxa"/>
              <w:bottom w:w="0" w:type="dxa"/>
              <w:right w:w="108" w:type="dxa"/>
            </w:tcMar>
            <w:vAlign w:val="center"/>
          </w:tcPr>
          <w:p w14:paraId="09DB8022">
            <w:pPr>
              <w:pStyle w:val="276"/>
              <w:jc w:val="center"/>
              <w:rPr>
                <w:rFonts w:ascii="宋体" w:hAnsi="宋体" w:cs="宋体"/>
                <w:color w:val="auto"/>
                <w:highlight w:val="none"/>
              </w:rPr>
            </w:pPr>
          </w:p>
        </w:tc>
        <w:tc>
          <w:tcPr>
            <w:tcW w:w="996" w:type="dxa"/>
            <w:vAlign w:val="center"/>
          </w:tcPr>
          <w:p w14:paraId="4FE8D54E">
            <w:pPr>
              <w:pStyle w:val="276"/>
              <w:jc w:val="center"/>
              <w:rPr>
                <w:rFonts w:ascii="宋体" w:hAnsi="宋体" w:cs="宋体"/>
                <w:color w:val="auto"/>
                <w:highlight w:val="none"/>
              </w:rPr>
            </w:pPr>
            <w:r>
              <w:rPr>
                <w:rFonts w:hint="eastAsia" w:ascii="宋体" w:hAnsi="宋体" w:cs="宋体"/>
                <w:color w:val="auto"/>
                <w:highlight w:val="none"/>
              </w:rPr>
              <w:t>附件</w:t>
            </w:r>
            <w:r>
              <w:rPr>
                <w:rFonts w:ascii="宋体" w:hAnsi="宋体" w:cs="宋体"/>
                <w:color w:val="auto"/>
                <w:highlight w:val="none"/>
              </w:rPr>
              <w:t>C3.1</w:t>
            </w:r>
          </w:p>
        </w:tc>
      </w:tr>
      <w:tr w14:paraId="2882D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443" w:type="dxa"/>
            <w:vAlign w:val="center"/>
          </w:tcPr>
          <w:p w14:paraId="222F4EEB">
            <w:pPr>
              <w:pStyle w:val="276"/>
              <w:jc w:val="center"/>
              <w:rPr>
                <w:rFonts w:ascii="宋体" w:hAnsi="宋体" w:cs="宋体"/>
                <w:color w:val="auto"/>
                <w:highlight w:val="none"/>
              </w:rPr>
            </w:pPr>
          </w:p>
        </w:tc>
        <w:tc>
          <w:tcPr>
            <w:tcW w:w="920" w:type="dxa"/>
            <w:tcMar>
              <w:top w:w="0" w:type="dxa"/>
              <w:left w:w="108" w:type="dxa"/>
              <w:bottom w:w="0" w:type="dxa"/>
              <w:right w:w="108" w:type="dxa"/>
            </w:tcMar>
            <w:vAlign w:val="center"/>
          </w:tcPr>
          <w:p w14:paraId="7CDDBEFE">
            <w:pPr>
              <w:pStyle w:val="276"/>
              <w:jc w:val="center"/>
              <w:rPr>
                <w:rFonts w:ascii="宋体" w:hAnsi="宋体" w:cs="宋体"/>
                <w:color w:val="auto"/>
                <w:highlight w:val="none"/>
              </w:rPr>
            </w:pPr>
          </w:p>
        </w:tc>
        <w:tc>
          <w:tcPr>
            <w:tcW w:w="1469" w:type="dxa"/>
            <w:tcMar>
              <w:top w:w="0" w:type="dxa"/>
              <w:left w:w="108" w:type="dxa"/>
              <w:bottom w:w="0" w:type="dxa"/>
              <w:right w:w="108" w:type="dxa"/>
            </w:tcMar>
            <w:vAlign w:val="center"/>
          </w:tcPr>
          <w:p w14:paraId="7B048C3D">
            <w:pPr>
              <w:pStyle w:val="276"/>
              <w:jc w:val="center"/>
              <w:rPr>
                <w:rFonts w:ascii="宋体" w:hAnsi="宋体" w:cs="宋体"/>
                <w:color w:val="auto"/>
                <w:highlight w:val="none"/>
              </w:rPr>
            </w:pPr>
          </w:p>
        </w:tc>
        <w:tc>
          <w:tcPr>
            <w:tcW w:w="806" w:type="dxa"/>
          </w:tcPr>
          <w:p w14:paraId="78347526">
            <w:pPr>
              <w:pStyle w:val="276"/>
              <w:jc w:val="center"/>
              <w:rPr>
                <w:rFonts w:ascii="宋体" w:hAnsi="宋体" w:cs="宋体"/>
                <w:color w:val="auto"/>
                <w:highlight w:val="none"/>
              </w:rPr>
            </w:pPr>
          </w:p>
        </w:tc>
        <w:tc>
          <w:tcPr>
            <w:tcW w:w="1145" w:type="dxa"/>
            <w:tcMar>
              <w:top w:w="0" w:type="dxa"/>
              <w:left w:w="108" w:type="dxa"/>
              <w:bottom w:w="0" w:type="dxa"/>
              <w:right w:w="108" w:type="dxa"/>
            </w:tcMar>
            <w:vAlign w:val="center"/>
          </w:tcPr>
          <w:p w14:paraId="0BB3D930">
            <w:pPr>
              <w:widowControl/>
              <w:spacing w:line="240" w:lineRule="auto"/>
              <w:jc w:val="left"/>
              <w:rPr>
                <w:rFonts w:ascii="宋体" w:hAnsi="宋体"/>
                <w:szCs w:val="21"/>
              </w:rPr>
            </w:pPr>
            <w:r>
              <w:rPr>
                <w:rFonts w:hint="eastAsia" w:ascii="宋体" w:hAnsi="宋体"/>
                <w:szCs w:val="21"/>
              </w:rPr>
              <w:t>□新建</w:t>
            </w:r>
          </w:p>
          <w:p w14:paraId="7CD80CCA">
            <w:pPr>
              <w:jc w:val="left"/>
              <w:rPr>
                <w:rFonts w:cs="宋体" w:asciiTheme="minorEastAsia" w:hAnsiTheme="minorEastAsia" w:eastAsiaTheme="minorEastAsia"/>
                <w:kern w:val="2"/>
                <w:sz w:val="21"/>
                <w:szCs w:val="21"/>
                <w:lang w:val="en-US" w:eastAsia="zh-CN" w:bidi="ar-SA"/>
              </w:rPr>
            </w:pPr>
            <w:r>
              <w:rPr>
                <w:rFonts w:hint="eastAsia" w:ascii="宋体" w:hAnsi="宋体"/>
                <w:szCs w:val="21"/>
              </w:rPr>
              <w:t>□改扩建</w:t>
            </w:r>
          </w:p>
        </w:tc>
        <w:tc>
          <w:tcPr>
            <w:tcW w:w="668" w:type="dxa"/>
            <w:tcMar>
              <w:top w:w="0" w:type="dxa"/>
              <w:left w:w="108" w:type="dxa"/>
              <w:bottom w:w="0" w:type="dxa"/>
              <w:right w:w="108" w:type="dxa"/>
            </w:tcMar>
            <w:vAlign w:val="center"/>
          </w:tcPr>
          <w:p w14:paraId="277B02F0">
            <w:pPr>
              <w:pStyle w:val="276"/>
              <w:jc w:val="center"/>
              <w:rPr>
                <w:rFonts w:ascii="宋体" w:hAnsi="宋体" w:cs="宋体"/>
                <w:color w:val="auto"/>
                <w:highlight w:val="none"/>
              </w:rPr>
            </w:pPr>
          </w:p>
        </w:tc>
        <w:tc>
          <w:tcPr>
            <w:tcW w:w="717" w:type="dxa"/>
          </w:tcPr>
          <w:p w14:paraId="0D39C1FB">
            <w:pPr>
              <w:pStyle w:val="276"/>
              <w:jc w:val="center"/>
              <w:rPr>
                <w:rFonts w:ascii="宋体" w:hAnsi="宋体" w:cs="宋体"/>
                <w:color w:val="auto"/>
                <w:highlight w:val="none"/>
              </w:rPr>
            </w:pPr>
          </w:p>
        </w:tc>
        <w:tc>
          <w:tcPr>
            <w:tcW w:w="1055" w:type="dxa"/>
            <w:tcMar>
              <w:top w:w="0" w:type="dxa"/>
              <w:left w:w="108" w:type="dxa"/>
              <w:bottom w:w="0" w:type="dxa"/>
              <w:right w:w="108" w:type="dxa"/>
            </w:tcMar>
            <w:vAlign w:val="center"/>
          </w:tcPr>
          <w:p w14:paraId="348C5F45">
            <w:pPr>
              <w:pStyle w:val="276"/>
              <w:jc w:val="center"/>
              <w:rPr>
                <w:rFonts w:ascii="宋体" w:hAnsi="宋体" w:cs="宋体"/>
                <w:color w:val="auto"/>
                <w:highlight w:val="none"/>
              </w:rPr>
            </w:pPr>
          </w:p>
        </w:tc>
        <w:tc>
          <w:tcPr>
            <w:tcW w:w="661" w:type="dxa"/>
            <w:vAlign w:val="center"/>
          </w:tcPr>
          <w:p w14:paraId="0F370D64">
            <w:pPr>
              <w:pStyle w:val="276"/>
              <w:jc w:val="center"/>
              <w:rPr>
                <w:rFonts w:ascii="宋体" w:hAnsi="宋体" w:cs="宋体"/>
                <w:color w:val="auto"/>
                <w:highlight w:val="none"/>
              </w:rPr>
            </w:pPr>
          </w:p>
        </w:tc>
        <w:tc>
          <w:tcPr>
            <w:tcW w:w="636" w:type="dxa"/>
            <w:tcMar>
              <w:top w:w="0" w:type="dxa"/>
              <w:left w:w="108" w:type="dxa"/>
              <w:bottom w:w="0" w:type="dxa"/>
              <w:right w:w="108" w:type="dxa"/>
            </w:tcMar>
            <w:vAlign w:val="center"/>
          </w:tcPr>
          <w:p w14:paraId="2F3E12AE">
            <w:pPr>
              <w:pStyle w:val="276"/>
              <w:jc w:val="center"/>
              <w:rPr>
                <w:rFonts w:ascii="宋体" w:hAnsi="宋体" w:cs="宋体"/>
                <w:color w:val="auto"/>
                <w:highlight w:val="none"/>
              </w:rPr>
            </w:pPr>
          </w:p>
        </w:tc>
        <w:tc>
          <w:tcPr>
            <w:tcW w:w="823" w:type="dxa"/>
            <w:vAlign w:val="center"/>
          </w:tcPr>
          <w:p w14:paraId="1D02B3BF">
            <w:pPr>
              <w:pStyle w:val="276"/>
              <w:jc w:val="center"/>
              <w:rPr>
                <w:rFonts w:ascii="宋体" w:hAnsi="宋体" w:cs="宋体"/>
                <w:color w:val="auto"/>
                <w:highlight w:val="none"/>
              </w:rPr>
            </w:pPr>
          </w:p>
        </w:tc>
        <w:tc>
          <w:tcPr>
            <w:tcW w:w="940" w:type="dxa"/>
            <w:tcMar>
              <w:top w:w="0" w:type="dxa"/>
              <w:left w:w="108" w:type="dxa"/>
              <w:bottom w:w="0" w:type="dxa"/>
              <w:right w:w="108" w:type="dxa"/>
            </w:tcMar>
            <w:vAlign w:val="center"/>
          </w:tcPr>
          <w:p w14:paraId="32CE9D00">
            <w:pPr>
              <w:pStyle w:val="276"/>
              <w:jc w:val="center"/>
              <w:rPr>
                <w:rFonts w:ascii="宋体" w:hAnsi="宋体" w:cs="宋体"/>
                <w:color w:val="auto"/>
                <w:highlight w:val="none"/>
              </w:rPr>
            </w:pPr>
          </w:p>
        </w:tc>
        <w:tc>
          <w:tcPr>
            <w:tcW w:w="824" w:type="dxa"/>
          </w:tcPr>
          <w:p w14:paraId="1EC7A054">
            <w:pPr>
              <w:pStyle w:val="276"/>
              <w:jc w:val="center"/>
              <w:rPr>
                <w:rFonts w:ascii="宋体" w:hAnsi="宋体" w:cs="宋体"/>
                <w:color w:val="auto"/>
                <w:highlight w:val="none"/>
              </w:rPr>
            </w:pPr>
          </w:p>
        </w:tc>
        <w:tc>
          <w:tcPr>
            <w:tcW w:w="876" w:type="dxa"/>
          </w:tcPr>
          <w:p w14:paraId="3F3E80D7">
            <w:pPr>
              <w:pStyle w:val="276"/>
              <w:jc w:val="center"/>
              <w:rPr>
                <w:rFonts w:ascii="宋体" w:hAnsi="宋体" w:cs="宋体"/>
                <w:color w:val="auto"/>
                <w:highlight w:val="none"/>
              </w:rPr>
            </w:pPr>
          </w:p>
        </w:tc>
        <w:tc>
          <w:tcPr>
            <w:tcW w:w="812" w:type="dxa"/>
            <w:tcMar>
              <w:top w:w="0" w:type="dxa"/>
              <w:left w:w="108" w:type="dxa"/>
              <w:bottom w:w="0" w:type="dxa"/>
              <w:right w:w="108" w:type="dxa"/>
            </w:tcMar>
            <w:vAlign w:val="center"/>
          </w:tcPr>
          <w:p w14:paraId="268FF776">
            <w:pPr>
              <w:pStyle w:val="276"/>
              <w:jc w:val="center"/>
              <w:rPr>
                <w:rFonts w:ascii="宋体" w:hAnsi="宋体" w:cs="宋体"/>
                <w:color w:val="auto"/>
                <w:highlight w:val="none"/>
              </w:rPr>
            </w:pPr>
          </w:p>
        </w:tc>
        <w:tc>
          <w:tcPr>
            <w:tcW w:w="996" w:type="dxa"/>
            <w:vAlign w:val="center"/>
          </w:tcPr>
          <w:p w14:paraId="2D7F0939">
            <w:pPr>
              <w:pStyle w:val="276"/>
              <w:jc w:val="center"/>
              <w:rPr>
                <w:rFonts w:ascii="宋体" w:hAnsi="宋体" w:cs="宋体"/>
                <w:color w:val="auto"/>
                <w:highlight w:val="none"/>
              </w:rPr>
            </w:pPr>
            <w:r>
              <w:rPr>
                <w:rFonts w:hint="eastAsia" w:ascii="宋体" w:hAnsi="宋体" w:cs="宋体"/>
                <w:color w:val="auto"/>
                <w:highlight w:val="none"/>
              </w:rPr>
              <w:t>附件</w:t>
            </w:r>
            <w:r>
              <w:rPr>
                <w:rFonts w:ascii="宋体" w:hAnsi="宋体" w:cs="宋体"/>
                <w:color w:val="auto"/>
                <w:highlight w:val="none"/>
              </w:rPr>
              <w:t>C3.2</w:t>
            </w:r>
          </w:p>
        </w:tc>
      </w:tr>
      <w:tr w14:paraId="75AE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443" w:type="dxa"/>
            <w:vAlign w:val="center"/>
          </w:tcPr>
          <w:p w14:paraId="62127A28">
            <w:pPr>
              <w:pStyle w:val="276"/>
              <w:jc w:val="center"/>
              <w:rPr>
                <w:rFonts w:ascii="宋体" w:hAnsi="宋体" w:cs="宋体"/>
                <w:color w:val="auto"/>
                <w:highlight w:val="none"/>
              </w:rPr>
            </w:pPr>
          </w:p>
        </w:tc>
        <w:tc>
          <w:tcPr>
            <w:tcW w:w="920" w:type="dxa"/>
            <w:tcMar>
              <w:top w:w="0" w:type="dxa"/>
              <w:left w:w="108" w:type="dxa"/>
              <w:bottom w:w="0" w:type="dxa"/>
              <w:right w:w="108" w:type="dxa"/>
            </w:tcMar>
            <w:vAlign w:val="center"/>
          </w:tcPr>
          <w:p w14:paraId="7CED0B25">
            <w:pPr>
              <w:pStyle w:val="276"/>
              <w:jc w:val="center"/>
              <w:rPr>
                <w:rFonts w:ascii="宋体" w:hAnsi="宋体" w:cs="宋体"/>
                <w:color w:val="auto"/>
                <w:highlight w:val="none"/>
              </w:rPr>
            </w:pPr>
          </w:p>
        </w:tc>
        <w:tc>
          <w:tcPr>
            <w:tcW w:w="1469" w:type="dxa"/>
            <w:tcMar>
              <w:top w:w="0" w:type="dxa"/>
              <w:left w:w="108" w:type="dxa"/>
              <w:bottom w:w="0" w:type="dxa"/>
              <w:right w:w="108" w:type="dxa"/>
            </w:tcMar>
            <w:vAlign w:val="center"/>
          </w:tcPr>
          <w:p w14:paraId="754B8266">
            <w:pPr>
              <w:pStyle w:val="276"/>
              <w:jc w:val="center"/>
              <w:rPr>
                <w:rFonts w:ascii="宋体" w:hAnsi="宋体" w:cs="宋体"/>
                <w:color w:val="auto"/>
                <w:highlight w:val="none"/>
              </w:rPr>
            </w:pPr>
          </w:p>
        </w:tc>
        <w:tc>
          <w:tcPr>
            <w:tcW w:w="806" w:type="dxa"/>
          </w:tcPr>
          <w:p w14:paraId="6A65B7CB">
            <w:pPr>
              <w:pStyle w:val="276"/>
              <w:jc w:val="center"/>
              <w:rPr>
                <w:rFonts w:ascii="宋体" w:hAnsi="宋体" w:cs="宋体"/>
                <w:color w:val="auto"/>
                <w:highlight w:val="none"/>
              </w:rPr>
            </w:pPr>
          </w:p>
        </w:tc>
        <w:tc>
          <w:tcPr>
            <w:tcW w:w="1145" w:type="dxa"/>
            <w:tcMar>
              <w:top w:w="0" w:type="dxa"/>
              <w:left w:w="108" w:type="dxa"/>
              <w:bottom w:w="0" w:type="dxa"/>
              <w:right w:w="108" w:type="dxa"/>
            </w:tcMar>
            <w:vAlign w:val="center"/>
          </w:tcPr>
          <w:p w14:paraId="703151E9">
            <w:pPr>
              <w:widowControl/>
              <w:spacing w:line="240" w:lineRule="auto"/>
              <w:jc w:val="left"/>
              <w:rPr>
                <w:rFonts w:ascii="宋体" w:hAnsi="宋体"/>
                <w:szCs w:val="21"/>
              </w:rPr>
            </w:pPr>
            <w:r>
              <w:rPr>
                <w:rFonts w:hint="eastAsia" w:ascii="宋体" w:hAnsi="宋体"/>
                <w:szCs w:val="21"/>
              </w:rPr>
              <w:t>□新建</w:t>
            </w:r>
          </w:p>
          <w:p w14:paraId="4CDACF07">
            <w:pPr>
              <w:jc w:val="left"/>
              <w:rPr>
                <w:rFonts w:cs="宋体" w:asciiTheme="minorEastAsia" w:hAnsiTheme="minorEastAsia" w:eastAsiaTheme="minorEastAsia"/>
                <w:kern w:val="2"/>
                <w:sz w:val="21"/>
                <w:szCs w:val="21"/>
                <w:lang w:val="en-US" w:eastAsia="zh-CN" w:bidi="ar-SA"/>
              </w:rPr>
            </w:pPr>
            <w:r>
              <w:rPr>
                <w:rFonts w:hint="eastAsia" w:ascii="宋体" w:hAnsi="宋体"/>
                <w:szCs w:val="21"/>
              </w:rPr>
              <w:t>□改扩建</w:t>
            </w:r>
          </w:p>
        </w:tc>
        <w:tc>
          <w:tcPr>
            <w:tcW w:w="668" w:type="dxa"/>
            <w:tcMar>
              <w:top w:w="0" w:type="dxa"/>
              <w:left w:w="108" w:type="dxa"/>
              <w:bottom w:w="0" w:type="dxa"/>
              <w:right w:w="108" w:type="dxa"/>
            </w:tcMar>
            <w:vAlign w:val="center"/>
          </w:tcPr>
          <w:p w14:paraId="715A100C">
            <w:pPr>
              <w:pStyle w:val="276"/>
              <w:jc w:val="center"/>
              <w:rPr>
                <w:rFonts w:ascii="宋体" w:hAnsi="宋体" w:cs="宋体"/>
                <w:color w:val="auto"/>
                <w:highlight w:val="none"/>
              </w:rPr>
            </w:pPr>
          </w:p>
        </w:tc>
        <w:tc>
          <w:tcPr>
            <w:tcW w:w="717" w:type="dxa"/>
          </w:tcPr>
          <w:p w14:paraId="43D5F1D4">
            <w:pPr>
              <w:pStyle w:val="276"/>
              <w:jc w:val="center"/>
              <w:rPr>
                <w:rFonts w:ascii="宋体" w:hAnsi="宋体" w:cs="宋体"/>
                <w:color w:val="auto"/>
                <w:highlight w:val="none"/>
              </w:rPr>
            </w:pPr>
          </w:p>
        </w:tc>
        <w:tc>
          <w:tcPr>
            <w:tcW w:w="1055" w:type="dxa"/>
            <w:tcMar>
              <w:top w:w="0" w:type="dxa"/>
              <w:left w:w="108" w:type="dxa"/>
              <w:bottom w:w="0" w:type="dxa"/>
              <w:right w:w="108" w:type="dxa"/>
            </w:tcMar>
            <w:vAlign w:val="center"/>
          </w:tcPr>
          <w:p w14:paraId="4A273995">
            <w:pPr>
              <w:pStyle w:val="276"/>
              <w:jc w:val="center"/>
              <w:rPr>
                <w:rFonts w:ascii="宋体" w:hAnsi="宋体" w:cs="宋体"/>
                <w:color w:val="auto"/>
                <w:highlight w:val="none"/>
              </w:rPr>
            </w:pPr>
          </w:p>
        </w:tc>
        <w:tc>
          <w:tcPr>
            <w:tcW w:w="661" w:type="dxa"/>
            <w:vAlign w:val="center"/>
          </w:tcPr>
          <w:p w14:paraId="62457199">
            <w:pPr>
              <w:pStyle w:val="276"/>
              <w:jc w:val="center"/>
              <w:rPr>
                <w:rFonts w:ascii="宋体" w:hAnsi="宋体" w:cs="宋体"/>
                <w:color w:val="auto"/>
                <w:highlight w:val="none"/>
              </w:rPr>
            </w:pPr>
          </w:p>
        </w:tc>
        <w:tc>
          <w:tcPr>
            <w:tcW w:w="636" w:type="dxa"/>
            <w:tcMar>
              <w:top w:w="0" w:type="dxa"/>
              <w:left w:w="108" w:type="dxa"/>
              <w:bottom w:w="0" w:type="dxa"/>
              <w:right w:w="108" w:type="dxa"/>
            </w:tcMar>
            <w:vAlign w:val="center"/>
          </w:tcPr>
          <w:p w14:paraId="0D0237F0">
            <w:pPr>
              <w:pStyle w:val="276"/>
              <w:jc w:val="center"/>
              <w:rPr>
                <w:rFonts w:ascii="宋体" w:hAnsi="宋体" w:cs="宋体"/>
                <w:color w:val="auto"/>
                <w:highlight w:val="none"/>
              </w:rPr>
            </w:pPr>
          </w:p>
        </w:tc>
        <w:tc>
          <w:tcPr>
            <w:tcW w:w="823" w:type="dxa"/>
            <w:vAlign w:val="center"/>
          </w:tcPr>
          <w:p w14:paraId="42C6BC02">
            <w:pPr>
              <w:pStyle w:val="276"/>
              <w:jc w:val="center"/>
              <w:rPr>
                <w:rFonts w:ascii="宋体" w:hAnsi="宋体" w:cs="宋体"/>
                <w:color w:val="auto"/>
                <w:highlight w:val="none"/>
              </w:rPr>
            </w:pPr>
          </w:p>
        </w:tc>
        <w:tc>
          <w:tcPr>
            <w:tcW w:w="940" w:type="dxa"/>
            <w:tcMar>
              <w:top w:w="0" w:type="dxa"/>
              <w:left w:w="108" w:type="dxa"/>
              <w:bottom w:w="0" w:type="dxa"/>
              <w:right w:w="108" w:type="dxa"/>
            </w:tcMar>
            <w:vAlign w:val="center"/>
          </w:tcPr>
          <w:p w14:paraId="5848A943">
            <w:pPr>
              <w:pStyle w:val="276"/>
              <w:jc w:val="center"/>
              <w:rPr>
                <w:rFonts w:ascii="宋体" w:hAnsi="宋体" w:cs="宋体"/>
                <w:color w:val="auto"/>
                <w:highlight w:val="none"/>
              </w:rPr>
            </w:pPr>
          </w:p>
        </w:tc>
        <w:tc>
          <w:tcPr>
            <w:tcW w:w="824" w:type="dxa"/>
          </w:tcPr>
          <w:p w14:paraId="14E6FB53">
            <w:pPr>
              <w:pStyle w:val="276"/>
              <w:jc w:val="center"/>
              <w:rPr>
                <w:rFonts w:ascii="宋体" w:hAnsi="宋体" w:cs="宋体"/>
                <w:color w:val="auto"/>
                <w:highlight w:val="none"/>
              </w:rPr>
            </w:pPr>
          </w:p>
        </w:tc>
        <w:tc>
          <w:tcPr>
            <w:tcW w:w="876" w:type="dxa"/>
          </w:tcPr>
          <w:p w14:paraId="275FEC2C">
            <w:pPr>
              <w:pStyle w:val="276"/>
              <w:jc w:val="center"/>
              <w:rPr>
                <w:rFonts w:ascii="宋体" w:hAnsi="宋体" w:cs="宋体"/>
                <w:color w:val="auto"/>
                <w:highlight w:val="none"/>
              </w:rPr>
            </w:pPr>
          </w:p>
        </w:tc>
        <w:tc>
          <w:tcPr>
            <w:tcW w:w="812" w:type="dxa"/>
            <w:tcMar>
              <w:top w:w="0" w:type="dxa"/>
              <w:left w:w="108" w:type="dxa"/>
              <w:bottom w:w="0" w:type="dxa"/>
              <w:right w:w="108" w:type="dxa"/>
            </w:tcMar>
            <w:vAlign w:val="center"/>
          </w:tcPr>
          <w:p w14:paraId="03A9BAF9">
            <w:pPr>
              <w:pStyle w:val="276"/>
              <w:jc w:val="center"/>
              <w:rPr>
                <w:rFonts w:ascii="宋体" w:hAnsi="宋体" w:cs="宋体"/>
                <w:color w:val="auto"/>
                <w:highlight w:val="none"/>
              </w:rPr>
            </w:pPr>
          </w:p>
        </w:tc>
        <w:tc>
          <w:tcPr>
            <w:tcW w:w="996" w:type="dxa"/>
            <w:vAlign w:val="center"/>
          </w:tcPr>
          <w:p w14:paraId="51A368A3">
            <w:pPr>
              <w:pStyle w:val="276"/>
              <w:jc w:val="center"/>
              <w:rPr>
                <w:rFonts w:ascii="宋体" w:hAnsi="宋体" w:cs="宋体"/>
                <w:color w:val="auto"/>
                <w:highlight w:val="none"/>
              </w:rPr>
            </w:pPr>
            <w:r>
              <w:rPr>
                <w:rFonts w:hint="eastAsia" w:ascii="宋体" w:hAnsi="宋体" w:cs="宋体"/>
                <w:color w:val="auto"/>
                <w:highlight w:val="none"/>
              </w:rPr>
              <w:t>附件</w:t>
            </w:r>
            <w:r>
              <w:rPr>
                <w:rFonts w:ascii="宋体" w:hAnsi="宋体" w:cs="宋体"/>
                <w:color w:val="auto"/>
                <w:highlight w:val="none"/>
              </w:rPr>
              <w:t>C3.3</w:t>
            </w:r>
          </w:p>
        </w:tc>
      </w:tr>
      <w:tr w14:paraId="2329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atLeast"/>
        </w:trPr>
        <w:tc>
          <w:tcPr>
            <w:tcW w:w="443" w:type="dxa"/>
            <w:vAlign w:val="center"/>
          </w:tcPr>
          <w:p w14:paraId="4DD45102">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920" w:type="dxa"/>
            <w:tcMar>
              <w:top w:w="0" w:type="dxa"/>
              <w:left w:w="108" w:type="dxa"/>
              <w:bottom w:w="0" w:type="dxa"/>
              <w:right w:w="108" w:type="dxa"/>
            </w:tcMar>
            <w:vAlign w:val="center"/>
          </w:tcPr>
          <w:p w14:paraId="71A11887">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1469" w:type="dxa"/>
            <w:tcMar>
              <w:top w:w="0" w:type="dxa"/>
              <w:left w:w="108" w:type="dxa"/>
              <w:bottom w:w="0" w:type="dxa"/>
              <w:right w:w="108" w:type="dxa"/>
            </w:tcMar>
            <w:vAlign w:val="center"/>
          </w:tcPr>
          <w:p w14:paraId="1DE5E2AB">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806" w:type="dxa"/>
            <w:vAlign w:val="center"/>
          </w:tcPr>
          <w:p w14:paraId="6944E131">
            <w:pPr>
              <w:pStyle w:val="276"/>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145" w:type="dxa"/>
            <w:tcMar>
              <w:top w:w="0" w:type="dxa"/>
              <w:left w:w="108" w:type="dxa"/>
              <w:bottom w:w="0" w:type="dxa"/>
              <w:right w:w="108" w:type="dxa"/>
            </w:tcMar>
            <w:vAlign w:val="center"/>
          </w:tcPr>
          <w:p w14:paraId="37C6CD05">
            <w:pPr>
              <w:jc w:val="center"/>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rPr>
              <w:t>…</w:t>
            </w:r>
          </w:p>
        </w:tc>
        <w:tc>
          <w:tcPr>
            <w:tcW w:w="668" w:type="dxa"/>
            <w:tcMar>
              <w:top w:w="0" w:type="dxa"/>
              <w:left w:w="108" w:type="dxa"/>
              <w:bottom w:w="0" w:type="dxa"/>
              <w:right w:w="108" w:type="dxa"/>
            </w:tcMar>
            <w:vAlign w:val="center"/>
          </w:tcPr>
          <w:p w14:paraId="1F541FEB">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717" w:type="dxa"/>
            <w:vAlign w:val="center"/>
          </w:tcPr>
          <w:p w14:paraId="51A7D456">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1055" w:type="dxa"/>
            <w:tcMar>
              <w:top w:w="0" w:type="dxa"/>
              <w:left w:w="108" w:type="dxa"/>
              <w:bottom w:w="0" w:type="dxa"/>
              <w:right w:w="108" w:type="dxa"/>
            </w:tcMar>
            <w:vAlign w:val="center"/>
          </w:tcPr>
          <w:p w14:paraId="32665FFC">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661" w:type="dxa"/>
            <w:vAlign w:val="center"/>
          </w:tcPr>
          <w:p w14:paraId="6BD68EAD">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636" w:type="dxa"/>
            <w:tcMar>
              <w:top w:w="0" w:type="dxa"/>
              <w:left w:w="108" w:type="dxa"/>
              <w:bottom w:w="0" w:type="dxa"/>
              <w:right w:w="108" w:type="dxa"/>
            </w:tcMar>
            <w:vAlign w:val="center"/>
          </w:tcPr>
          <w:p w14:paraId="02001BC5">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823" w:type="dxa"/>
            <w:vAlign w:val="center"/>
          </w:tcPr>
          <w:p w14:paraId="773F7E39">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940" w:type="dxa"/>
            <w:tcMar>
              <w:top w:w="0" w:type="dxa"/>
              <w:left w:w="108" w:type="dxa"/>
              <w:bottom w:w="0" w:type="dxa"/>
              <w:right w:w="108" w:type="dxa"/>
            </w:tcMar>
            <w:vAlign w:val="center"/>
          </w:tcPr>
          <w:p w14:paraId="1259E8A1">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824" w:type="dxa"/>
            <w:vAlign w:val="center"/>
          </w:tcPr>
          <w:p w14:paraId="08D7003C">
            <w:pPr>
              <w:pStyle w:val="276"/>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876" w:type="dxa"/>
            <w:vAlign w:val="center"/>
          </w:tcPr>
          <w:p w14:paraId="16F8065B">
            <w:pPr>
              <w:pStyle w:val="276"/>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812" w:type="dxa"/>
            <w:tcMar>
              <w:top w:w="0" w:type="dxa"/>
              <w:left w:w="108" w:type="dxa"/>
              <w:bottom w:w="0" w:type="dxa"/>
              <w:right w:w="108" w:type="dxa"/>
            </w:tcMar>
            <w:vAlign w:val="center"/>
          </w:tcPr>
          <w:p w14:paraId="24BB3461">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c>
          <w:tcPr>
            <w:tcW w:w="996" w:type="dxa"/>
            <w:vAlign w:val="center"/>
          </w:tcPr>
          <w:p w14:paraId="084D2A03">
            <w:pPr>
              <w:pStyle w:val="276"/>
              <w:jc w:val="center"/>
              <w:rPr>
                <w:rFonts w:ascii="宋体" w:hAnsi="宋体" w:cs="宋体"/>
                <w:color w:val="auto"/>
                <w:highlight w:val="none"/>
              </w:rPr>
            </w:pPr>
            <w:r>
              <w:rPr>
                <w:rFonts w:hint="eastAsia" w:ascii="宋体" w:hAnsi="宋体" w:cs="宋体"/>
                <w:color w:val="auto"/>
                <w:kern w:val="0"/>
                <w:szCs w:val="21"/>
                <w:highlight w:val="none"/>
              </w:rPr>
              <w:t>…</w:t>
            </w:r>
          </w:p>
        </w:tc>
      </w:tr>
    </w:tbl>
    <w:p w14:paraId="747FD887">
      <w:pPr>
        <w:pStyle w:val="276"/>
        <w:spacing w:line="320" w:lineRule="exact"/>
        <w:rPr>
          <w:rFonts w:ascii="宋体" w:hAnsi="宋体" w:cs="宋体"/>
          <w:color w:val="auto"/>
          <w:highlight w:val="none"/>
        </w:rPr>
      </w:pPr>
      <w:r>
        <w:rPr>
          <w:rFonts w:hint="eastAsia" w:ascii="宋体" w:hAnsi="宋体" w:cs="宋体"/>
          <w:color w:val="auto"/>
          <w:highlight w:val="none"/>
        </w:rPr>
        <w:t>注：</w:t>
      </w:r>
      <w:r>
        <w:rPr>
          <w:rFonts w:ascii="宋体" w:hAnsi="宋体" w:cs="宋体"/>
          <w:color w:val="auto"/>
          <w:highlight w:val="none"/>
        </w:rPr>
        <w:t>1.</w:t>
      </w:r>
      <w:r>
        <w:rPr>
          <w:rFonts w:hint="eastAsia" w:ascii="宋体" w:hAnsi="宋体" w:cs="宋体"/>
          <w:color w:val="auto"/>
          <w:spacing w:val="-3"/>
          <w:szCs w:val="21"/>
          <w:highlight w:val="none"/>
        </w:rPr>
        <w:t>投标人</w:t>
      </w:r>
      <w:r>
        <w:rPr>
          <w:rFonts w:hint="eastAsia" w:ascii="宋体" w:hAnsi="宋体" w:cs="宋体"/>
          <w:color w:val="auto"/>
          <w:spacing w:val="-3"/>
          <w:szCs w:val="21"/>
          <w:highlight w:val="none"/>
          <w:lang w:val="en-US" w:eastAsia="zh-CN"/>
        </w:rPr>
        <w:t>应</w:t>
      </w:r>
      <w:r>
        <w:rPr>
          <w:rFonts w:hint="eastAsia" w:ascii="宋体" w:hAnsi="宋体" w:cs="宋体"/>
          <w:color w:val="auto"/>
          <w:spacing w:val="-3"/>
          <w:szCs w:val="21"/>
          <w:highlight w:val="none"/>
        </w:rPr>
        <w:t>在</w:t>
      </w:r>
      <w:r>
        <w:rPr>
          <w:rFonts w:hint="eastAsia" w:ascii="宋体" w:hAnsi="宋体" w:cs="宋体"/>
          <w:color w:val="auto"/>
          <w:spacing w:val="-3"/>
          <w:szCs w:val="21"/>
          <w:highlight w:val="none"/>
          <w:lang w:val="en-US" w:eastAsia="zh-CN"/>
        </w:rPr>
        <w:t>本</w:t>
      </w:r>
      <w:r>
        <w:rPr>
          <w:rFonts w:hint="eastAsia" w:ascii="宋体" w:hAnsi="宋体" w:cs="宋体"/>
          <w:color w:val="auto"/>
          <w:spacing w:val="-3"/>
          <w:szCs w:val="21"/>
          <w:highlight w:val="none"/>
        </w:rPr>
        <w:t>表后提供相关业绩证明材料</w:t>
      </w:r>
      <w:r>
        <w:rPr>
          <w:rFonts w:hint="eastAsia" w:ascii="宋体" w:hAnsi="宋体" w:cs="宋体"/>
          <w:color w:val="auto"/>
          <w:spacing w:val="-3"/>
          <w:highlight w:val="none"/>
        </w:rPr>
        <w:t>附件</w:t>
      </w:r>
      <w:r>
        <w:rPr>
          <w:rFonts w:ascii="宋体" w:hAnsi="宋体" w:cs="宋体"/>
          <w:color w:val="auto"/>
          <w:highlight w:val="none"/>
        </w:rPr>
        <w:t>C3</w:t>
      </w:r>
      <w:r>
        <w:rPr>
          <w:rFonts w:hint="eastAsia" w:ascii="宋体" w:hAnsi="宋体" w:cs="宋体"/>
          <w:color w:val="auto"/>
          <w:highlight w:val="none"/>
        </w:rPr>
        <w:t>系列（其他：</w:t>
      </w:r>
      <w:r>
        <w:rPr>
          <w:rFonts w:ascii="宋体" w:hAnsi="宋体" w:cs="宋体"/>
          <w:color w:val="auto"/>
          <w:highlight w:val="none"/>
          <w:u w:val="single"/>
        </w:rPr>
        <w:t xml:space="preserve">    </w:t>
      </w:r>
      <w:r>
        <w:rPr>
          <w:rFonts w:hint="eastAsia" w:ascii="宋体" w:hAnsi="宋体" w:cs="宋体"/>
          <w:color w:val="auto"/>
          <w:highlight w:val="none"/>
        </w:rPr>
        <w:t>工程施工监理试验室项目业绩）：</w:t>
      </w:r>
    </w:p>
    <w:p w14:paraId="1F1C3B10">
      <w:pPr>
        <w:pStyle w:val="276"/>
        <w:spacing w:line="320" w:lineRule="exact"/>
        <w:ind w:left="1020" w:leftChars="285" w:hanging="422" w:hangingChars="200"/>
        <w:rPr>
          <w:rFonts w:ascii="宋体" w:hAnsi="宋体" w:cs="宋体"/>
          <w:color w:val="auto"/>
          <w:highlight w:val="none"/>
        </w:rPr>
      </w:pPr>
      <w:r>
        <w:rPr>
          <w:rFonts w:hint="eastAsia" w:ascii="宋体" w:hAnsi="宋体" w:cs="宋体"/>
          <w:b/>
          <w:bCs/>
          <w:color w:val="auto"/>
          <w:highlight w:val="none"/>
        </w:rPr>
        <w:t xml:space="preserve">□ </w:t>
      </w:r>
      <w:r>
        <w:rPr>
          <w:rFonts w:hint="eastAsia" w:ascii="宋体" w:hAnsi="宋体" w:cs="宋体"/>
          <w:color w:val="auto"/>
          <w:highlight w:val="none"/>
        </w:rPr>
        <w:t>在交通运输部“</w:t>
      </w:r>
      <w:r>
        <w:rPr>
          <w:rFonts w:hint="eastAsia" w:ascii="宋体" w:hAnsi="宋体" w:cs="宋体"/>
          <w:color w:val="auto"/>
          <w:szCs w:val="21"/>
          <w:highlight w:val="none"/>
        </w:rPr>
        <w:t>全国公路建设市场监督管理系统</w:t>
      </w:r>
      <w:r>
        <w:rPr>
          <w:rFonts w:hint="eastAsia" w:ascii="宋体" w:hAnsi="宋体" w:cs="宋体"/>
          <w:color w:val="auto"/>
          <w:highlight w:val="none"/>
        </w:rPr>
        <w:t>”中查询到的企业“业绩信息”相关项目网页截图</w:t>
      </w:r>
      <w:r>
        <w:rPr>
          <w:rStyle w:val="58"/>
          <w:rFonts w:ascii="宋体" w:hAnsi="宋体" w:cs="宋体"/>
          <w:color w:val="auto"/>
          <w:szCs w:val="21"/>
          <w:highlight w:val="none"/>
        </w:rPr>
        <w:footnoteReference w:id="140"/>
      </w:r>
      <w:r>
        <w:rPr>
          <w:rFonts w:hint="eastAsia" w:ascii="宋体" w:hAnsi="宋体" w:cs="宋体"/>
          <w:color w:val="auto"/>
          <w:highlight w:val="none"/>
        </w:rPr>
        <w:t xml:space="preserve">。□和 </w:t>
      </w:r>
      <w:r>
        <w:rPr>
          <w:rFonts w:ascii="宋体" w:hAnsi="宋体" w:cs="宋体"/>
          <w:color w:val="auto"/>
          <w:highlight w:val="none"/>
        </w:rPr>
        <w:t xml:space="preserve"> </w:t>
      </w:r>
      <w:r>
        <w:rPr>
          <w:rFonts w:hint="eastAsia" w:ascii="宋体" w:hAnsi="宋体" w:cs="宋体"/>
          <w:color w:val="auto"/>
          <w:highlight w:val="none"/>
        </w:rPr>
        <w:t>□或</w:t>
      </w:r>
    </w:p>
    <w:p w14:paraId="731C03A4">
      <w:pPr>
        <w:pStyle w:val="276"/>
        <w:spacing w:line="320" w:lineRule="exact"/>
        <w:ind w:firstLine="632" w:firstLineChars="300"/>
        <w:rPr>
          <w:rFonts w:ascii="宋体" w:hAnsi="宋体" w:cs="宋体"/>
          <w:color w:val="auto"/>
          <w:highlight w:val="none"/>
        </w:rPr>
      </w:pPr>
      <w:r>
        <w:rPr>
          <w:rFonts w:hint="eastAsia" w:ascii="宋体" w:hAnsi="宋体" w:cs="宋体"/>
          <w:b/>
          <w:bCs/>
          <w:color w:val="auto"/>
          <w:highlight w:val="none"/>
        </w:rPr>
        <w:t xml:space="preserve">□ </w:t>
      </w:r>
      <w:r>
        <w:rPr>
          <w:rFonts w:hint="eastAsia" w:ascii="宋体" w:hAnsi="宋体" w:cs="宋体"/>
          <w:color w:val="auto"/>
          <w:highlight w:val="none"/>
        </w:rPr>
        <w:t>证明材料：</w:t>
      </w:r>
      <w:r>
        <w:rPr>
          <w:rFonts w:ascii="宋体" w:hAnsi="宋体" w:cs="宋体"/>
          <w:color w:val="auto"/>
          <w:highlight w:val="none"/>
          <w:u w:val="single"/>
        </w:rPr>
        <w:t xml:space="preserve">          </w:t>
      </w:r>
      <w:r>
        <w:rPr>
          <w:rFonts w:hint="eastAsia" w:ascii="宋体" w:hAnsi="宋体" w:cs="宋体"/>
          <w:color w:val="auto"/>
          <w:highlight w:val="none"/>
        </w:rPr>
        <w:t>。</w:t>
      </w:r>
    </w:p>
    <w:p w14:paraId="07C10AC3">
      <w:pPr>
        <w:pStyle w:val="276"/>
        <w:spacing w:line="320" w:lineRule="exact"/>
        <w:ind w:firstLine="408" w:firstLineChars="200"/>
        <w:rPr>
          <w:rFonts w:ascii="宋体" w:hAnsi="宋体" w:cs="宋体"/>
          <w:color w:val="auto"/>
          <w:spacing w:val="-3"/>
          <w:highlight w:val="none"/>
        </w:rPr>
      </w:pPr>
      <w:r>
        <w:rPr>
          <w:rFonts w:ascii="宋体" w:hAnsi="宋体" w:cs="宋体"/>
          <w:color w:val="auto"/>
          <w:spacing w:val="-3"/>
          <w:highlight w:val="none"/>
        </w:rPr>
        <w:t>2.</w:t>
      </w:r>
      <w:r>
        <w:rPr>
          <w:rFonts w:hint="eastAsia" w:ascii="宋体" w:hAnsi="宋体" w:cs="宋体"/>
          <w:color w:val="auto"/>
          <w:spacing w:val="-3"/>
          <w:highlight w:val="none"/>
        </w:rPr>
        <w:t>因投标人自身原因未提供业绩证明材料附件或提供的附件不能与所证明的内容相匹配，造成业绩或其他内容不予认可时，投标人自行承担相关责任。</w:t>
      </w:r>
    </w:p>
    <w:p w14:paraId="2818785D">
      <w:pPr>
        <w:pStyle w:val="276"/>
        <w:spacing w:line="320" w:lineRule="exact"/>
        <w:ind w:firstLine="420"/>
        <w:rPr>
          <w:rFonts w:hint="eastAsia" w:ascii="宋体" w:hAnsi="宋体" w:eastAsia="宋体" w:cs="宋体"/>
          <w:color w:val="auto"/>
          <w:spacing w:val="-3"/>
          <w:highlight w:val="none"/>
          <w:lang w:val="en-US" w:eastAsia="zh-CN"/>
        </w:rPr>
      </w:pPr>
      <w:r>
        <w:rPr>
          <w:rFonts w:ascii="宋体" w:hAnsi="宋体" w:cs="宋体"/>
          <w:color w:val="auto"/>
          <w:spacing w:val="-3"/>
          <w:highlight w:val="none"/>
        </w:rPr>
        <w:t>3.</w:t>
      </w:r>
      <w:r>
        <w:rPr>
          <w:rFonts w:hint="eastAsia" w:ascii="宋体" w:hAnsi="宋体" w:cs="宋体"/>
          <w:color w:val="auto"/>
          <w:spacing w:val="-3"/>
          <w:highlight w:val="none"/>
          <w:lang w:val="en-US" w:eastAsia="zh-CN"/>
        </w:rPr>
        <w:t>其他工程</w:t>
      </w:r>
      <w:r>
        <w:rPr>
          <w:rFonts w:hint="eastAsia" w:ascii="宋体" w:hAnsi="宋体" w:eastAsia="宋体" w:cs="宋体"/>
          <w:color w:val="auto"/>
          <w:spacing w:val="-3"/>
          <w:kern w:val="2"/>
          <w:sz w:val="21"/>
          <w:szCs w:val="24"/>
          <w:highlight w:val="none"/>
          <w:lang w:val="en-US" w:eastAsia="zh-CN" w:bidi="ar"/>
        </w:rPr>
        <w:t>可为</w:t>
      </w:r>
      <w:r>
        <w:rPr>
          <w:rFonts w:hint="eastAsia" w:ascii="宋体" w:hAnsi="宋体" w:cs="宋体"/>
          <w:color w:val="auto"/>
          <w:spacing w:val="-3"/>
          <w:kern w:val="2"/>
          <w:sz w:val="21"/>
          <w:szCs w:val="24"/>
          <w:highlight w:val="none"/>
          <w:lang w:val="en-US" w:eastAsia="zh-CN" w:bidi="ar"/>
        </w:rPr>
        <w:t>合同</w:t>
      </w:r>
      <w:r>
        <w:rPr>
          <w:rFonts w:hint="eastAsia" w:ascii="宋体" w:hAnsi="宋体" w:eastAsia="宋体" w:cs="宋体"/>
          <w:color w:val="auto"/>
          <w:spacing w:val="-3"/>
          <w:kern w:val="2"/>
          <w:sz w:val="21"/>
          <w:szCs w:val="24"/>
          <w:highlight w:val="none"/>
          <w:lang w:val="en-US" w:eastAsia="zh-CN" w:bidi="ar"/>
        </w:rPr>
        <w:t>中包含</w:t>
      </w:r>
      <w:r>
        <w:rPr>
          <w:rFonts w:hint="eastAsia" w:ascii="宋体" w:hAnsi="宋体" w:cs="宋体"/>
          <w:color w:val="auto"/>
          <w:spacing w:val="-3"/>
          <w:kern w:val="2"/>
          <w:sz w:val="21"/>
          <w:szCs w:val="24"/>
          <w:highlight w:val="none"/>
          <w:lang w:val="en-US" w:eastAsia="zh-CN" w:bidi="ar"/>
        </w:rPr>
        <w:t>该试验检测内容的</w:t>
      </w:r>
      <w:r>
        <w:rPr>
          <w:rFonts w:hint="eastAsia" w:ascii="宋体" w:hAnsi="宋体" w:eastAsia="宋体" w:cs="宋体"/>
          <w:color w:val="auto"/>
          <w:spacing w:val="-3"/>
          <w:kern w:val="2"/>
          <w:sz w:val="21"/>
          <w:szCs w:val="24"/>
          <w:highlight w:val="none"/>
          <w:lang w:val="en-US" w:eastAsia="zh-CN" w:bidi="ar"/>
        </w:rPr>
        <w:t>项目或者单独合同的项目</w:t>
      </w:r>
      <w:r>
        <w:rPr>
          <w:rFonts w:hint="eastAsia" w:ascii="宋体" w:hAnsi="宋体" w:cs="宋体"/>
          <w:color w:val="auto"/>
          <w:spacing w:val="-3"/>
          <w:kern w:val="2"/>
          <w:sz w:val="21"/>
          <w:szCs w:val="24"/>
          <w:highlight w:val="none"/>
          <w:lang w:val="en-US" w:eastAsia="zh-CN" w:bidi="ar"/>
        </w:rPr>
        <w:t>。</w:t>
      </w:r>
    </w:p>
    <w:p w14:paraId="3406ACF5">
      <w:pPr>
        <w:pStyle w:val="276"/>
        <w:spacing w:line="320" w:lineRule="exact"/>
        <w:ind w:firstLine="420"/>
        <w:rPr>
          <w:rFonts w:ascii="宋体" w:hAnsi="宋体" w:cs="宋体"/>
          <w:color w:val="auto"/>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本表所列合同价格一般为项目结算价格，无结算价格的以签约合同价格为准。</w:t>
      </w:r>
    </w:p>
    <w:p w14:paraId="37838748">
      <w:pPr>
        <w:pStyle w:val="276"/>
        <w:spacing w:line="320" w:lineRule="exact"/>
        <w:ind w:left="609" w:leftChars="190" w:hanging="210" w:hangingChars="100"/>
        <w:rPr>
          <w:rFonts w:ascii="宋体" w:hAnsi="宋体" w:cs="宋体"/>
          <w:color w:val="auto"/>
          <w:highlight w:val="none"/>
        </w:rPr>
      </w:pPr>
      <w:r>
        <w:rPr>
          <w:rFonts w:hint="eastAsia" w:ascii="宋体" w:hAnsi="宋体" w:cs="宋体"/>
          <w:color w:val="auto"/>
          <w:highlight w:val="none"/>
          <w:lang w:val="en-US" w:eastAsia="zh-CN"/>
        </w:rPr>
        <w:t>5</w:t>
      </w:r>
      <w:r>
        <w:rPr>
          <w:rFonts w:ascii="宋体" w:hAnsi="宋体" w:cs="宋体"/>
          <w:color w:val="auto"/>
          <w:highlight w:val="none"/>
        </w:rPr>
        <w:t>.如近年来，投标人法人机构发生合法变更或重组或法人名称变更时，应提供相关部门的合法批件或其他相关证明材料来证明其所附业绩的继承性。</w:t>
      </w:r>
    </w:p>
    <w:p w14:paraId="6D4EB5BC">
      <w:pPr>
        <w:pStyle w:val="276"/>
        <w:spacing w:line="32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6</w:t>
      </w:r>
      <w:r>
        <w:rPr>
          <w:rFonts w:ascii="宋体" w:hAnsi="宋体" w:cs="宋体"/>
          <w:color w:val="auto"/>
          <w:highlight w:val="none"/>
        </w:rPr>
        <w:t>.</w:t>
      </w:r>
      <w:r>
        <w:rPr>
          <w:rFonts w:hint="eastAsia"/>
          <w:color w:val="auto"/>
          <w:highlight w:val="none"/>
        </w:rPr>
        <w:t>表中的</w:t>
      </w:r>
      <w:r>
        <w:rPr>
          <w:color w:val="auto"/>
          <w:highlight w:val="none"/>
        </w:rPr>
        <w:t>“</w:t>
      </w:r>
      <w:r>
        <w:rPr>
          <w:rFonts w:hint="eastAsia"/>
          <w:color w:val="auto"/>
          <w:highlight w:val="none"/>
        </w:rPr>
        <w:t>日期</w:t>
      </w:r>
      <w:r>
        <w:rPr>
          <w:color w:val="auto"/>
          <w:highlight w:val="none"/>
        </w:rPr>
        <w:t>”</w:t>
      </w:r>
      <w:r>
        <w:rPr>
          <w:rFonts w:hint="eastAsia"/>
          <w:color w:val="auto"/>
          <w:highlight w:val="none"/>
        </w:rPr>
        <w:t>填写的格式统一以阿拉伯数字表示。如：</w:t>
      </w:r>
      <w:r>
        <w:rPr>
          <w:color w:val="auto"/>
          <w:highlight w:val="none"/>
        </w:rPr>
        <w:t>20</w:t>
      </w:r>
      <w:r>
        <w:rPr>
          <w:rFonts w:hint="eastAsia"/>
          <w:color w:val="auto"/>
          <w:highlight w:val="none"/>
          <w:lang w:val="en-US" w:eastAsia="zh-CN"/>
        </w:rPr>
        <w:t>21</w:t>
      </w:r>
      <w:r>
        <w:rPr>
          <w:rFonts w:hint="eastAsia"/>
          <w:color w:val="auto"/>
          <w:highlight w:val="none"/>
        </w:rPr>
        <w:t>年</w:t>
      </w:r>
      <w:r>
        <w:rPr>
          <w:color w:val="auto"/>
          <w:highlight w:val="none"/>
        </w:rPr>
        <w:t>5</w:t>
      </w:r>
      <w:r>
        <w:rPr>
          <w:rFonts w:hint="eastAsia"/>
          <w:color w:val="auto"/>
          <w:highlight w:val="none"/>
        </w:rPr>
        <w:t>月</w:t>
      </w:r>
      <w:r>
        <w:rPr>
          <w:color w:val="auto"/>
          <w:highlight w:val="none"/>
        </w:rPr>
        <w:t>1</w:t>
      </w:r>
      <w:r>
        <w:rPr>
          <w:rFonts w:hint="eastAsia"/>
          <w:color w:val="auto"/>
          <w:highlight w:val="none"/>
        </w:rPr>
        <w:t>日，填写为</w:t>
      </w:r>
      <w:r>
        <w:rPr>
          <w:color w:val="auto"/>
          <w:highlight w:val="none"/>
        </w:rPr>
        <w:t>20</w:t>
      </w:r>
      <w:r>
        <w:rPr>
          <w:rFonts w:hint="eastAsia"/>
          <w:color w:val="auto"/>
          <w:highlight w:val="none"/>
          <w:lang w:val="en-US" w:eastAsia="zh-CN"/>
        </w:rPr>
        <w:t>21</w:t>
      </w:r>
      <w:r>
        <w:rPr>
          <w:color w:val="auto"/>
          <w:highlight w:val="none"/>
        </w:rPr>
        <w:t>0501</w:t>
      </w:r>
      <w:r>
        <w:rPr>
          <w:rFonts w:hint="eastAsia"/>
          <w:color w:val="auto"/>
          <w:highlight w:val="none"/>
        </w:rPr>
        <w:t>；</w:t>
      </w:r>
      <w:r>
        <w:rPr>
          <w:color w:val="auto"/>
          <w:highlight w:val="none"/>
        </w:rPr>
        <w:t>20</w:t>
      </w:r>
      <w:r>
        <w:rPr>
          <w:rFonts w:hint="eastAsia"/>
          <w:color w:val="auto"/>
          <w:highlight w:val="none"/>
          <w:lang w:val="en-US" w:eastAsia="zh-CN"/>
        </w:rPr>
        <w:t>21</w:t>
      </w:r>
      <w:r>
        <w:rPr>
          <w:rFonts w:hint="eastAsia"/>
          <w:color w:val="auto"/>
          <w:highlight w:val="none"/>
        </w:rPr>
        <w:t>年</w:t>
      </w:r>
      <w:r>
        <w:rPr>
          <w:color w:val="auto"/>
          <w:highlight w:val="none"/>
        </w:rPr>
        <w:t>5</w:t>
      </w:r>
      <w:r>
        <w:rPr>
          <w:rFonts w:hint="eastAsia"/>
          <w:color w:val="auto"/>
          <w:highlight w:val="none"/>
        </w:rPr>
        <w:t>月，填写为</w:t>
      </w:r>
      <w:r>
        <w:rPr>
          <w:color w:val="auto"/>
          <w:highlight w:val="none"/>
        </w:rPr>
        <w:t>20</w:t>
      </w:r>
      <w:r>
        <w:rPr>
          <w:rFonts w:hint="eastAsia"/>
          <w:color w:val="auto"/>
          <w:highlight w:val="none"/>
          <w:lang w:val="en-US" w:eastAsia="zh-CN"/>
        </w:rPr>
        <w:t>21</w:t>
      </w:r>
      <w:r>
        <w:rPr>
          <w:color w:val="auto"/>
          <w:highlight w:val="none"/>
        </w:rPr>
        <w:t>05</w:t>
      </w:r>
      <w:r>
        <w:rPr>
          <w:rFonts w:hint="eastAsia"/>
          <w:color w:val="auto"/>
          <w:highlight w:val="none"/>
        </w:rPr>
        <w:t>。</w:t>
      </w:r>
    </w:p>
    <w:p w14:paraId="5D758B48">
      <w:pPr>
        <w:pStyle w:val="276"/>
        <w:spacing w:line="320" w:lineRule="exact"/>
        <w:ind w:left="609" w:leftChars="190" w:hanging="210" w:hangingChars="100"/>
        <w:rPr>
          <w:rFonts w:ascii="宋体" w:hAnsi="宋体" w:cs="宋体"/>
          <w:b/>
          <w:color w:val="auto"/>
          <w:szCs w:val="28"/>
          <w:highlight w:val="none"/>
        </w:rPr>
        <w:sectPr>
          <w:footnotePr>
            <w:numFmt w:val="decimalEnclosedCircleChinese"/>
            <w:numRestart w:val="eachPage"/>
          </w:footnotePr>
          <w:pgSz w:w="16839" w:h="11907" w:orient="landscape"/>
          <w:pgMar w:top="1418" w:right="1418" w:bottom="1418" w:left="1701" w:header="720" w:footer="720" w:gutter="0"/>
          <w:cols w:space="720" w:num="1"/>
          <w:docGrid w:linePitch="286" w:charSpace="0"/>
        </w:sectPr>
      </w:pPr>
      <w:r>
        <w:rPr>
          <w:rFonts w:hint="eastAsia" w:ascii="宋体" w:hAnsi="宋体" w:cs="宋体"/>
          <w:color w:val="auto"/>
          <w:highlight w:val="none"/>
          <w:lang w:val="en-US" w:eastAsia="zh-CN"/>
        </w:rPr>
        <w:t>7</w:t>
      </w:r>
      <w:r>
        <w:rPr>
          <w:rFonts w:ascii="宋体" w:hAnsi="宋体" w:cs="宋体"/>
          <w:color w:val="auto"/>
          <w:highlight w:val="none"/>
        </w:rPr>
        <w:t>.</w:t>
      </w:r>
      <w:r>
        <w:rPr>
          <w:rFonts w:hint="eastAsia" w:ascii="宋体" w:hAnsi="宋体" w:cs="宋体"/>
          <w:szCs w:val="21"/>
        </w:rPr>
        <w:t>允许联合体投标时，</w:t>
      </w:r>
      <w:r>
        <w:rPr>
          <w:rFonts w:hint="eastAsia" w:ascii="宋体" w:hAnsi="宋体" w:cs="宋体"/>
          <w:szCs w:val="21"/>
          <w:lang w:val="en-US" w:eastAsia="zh-CN"/>
        </w:rPr>
        <w:t>若</w:t>
      </w:r>
      <w:r>
        <w:rPr>
          <w:rFonts w:ascii="宋体" w:hAnsi="宋体" w:cs="宋体"/>
          <w:color w:val="auto"/>
          <w:highlight w:val="none"/>
        </w:rPr>
        <w:t>以联合体形式投标的，联合体各成员应按照</w:t>
      </w:r>
      <w:r>
        <w:rPr>
          <w:rFonts w:hint="eastAsia" w:ascii="宋体" w:hAnsi="宋体" w:cs="宋体"/>
          <w:color w:val="auto"/>
          <w:highlight w:val="none"/>
        </w:rPr>
        <w:t>第二章“</w:t>
      </w:r>
      <w:r>
        <w:rPr>
          <w:rFonts w:ascii="宋体" w:hAnsi="宋体" w:cs="宋体"/>
          <w:color w:val="auto"/>
          <w:highlight w:val="none"/>
        </w:rPr>
        <w:t>投标人须知</w:t>
      </w:r>
      <w:r>
        <w:rPr>
          <w:rFonts w:hint="eastAsia" w:ascii="宋体" w:hAnsi="宋体" w:cs="宋体"/>
          <w:color w:val="auto"/>
          <w:highlight w:val="none"/>
        </w:rPr>
        <w:t>”</w:t>
      </w:r>
      <w:r>
        <w:rPr>
          <w:rFonts w:ascii="宋体" w:hAnsi="宋体" w:cs="宋体"/>
          <w:color w:val="auto"/>
          <w:highlight w:val="none"/>
        </w:rPr>
        <w:t>前附表附录2资格审查条件要求的对应业绩</w:t>
      </w:r>
      <w:r>
        <w:rPr>
          <w:rFonts w:hint="eastAsia" w:ascii="宋体" w:hAnsi="宋体" w:cs="宋体"/>
          <w:color w:val="auto"/>
          <w:highlight w:val="none"/>
        </w:rPr>
        <w:t>及</w:t>
      </w:r>
      <w:r>
        <w:rPr>
          <w:rFonts w:hint="eastAsia" w:ascii="宋体" w:hAnsi="宋体" w:cs="宋体"/>
          <w:color w:val="auto"/>
          <w:highlight w:val="none"/>
          <w:lang w:val="en-US" w:eastAsia="zh-CN"/>
        </w:rPr>
        <w:t>第三章“评标办法”</w:t>
      </w:r>
      <w:r>
        <w:rPr>
          <w:rFonts w:hint="eastAsia" w:ascii="宋体" w:hAnsi="宋体" w:cs="宋体"/>
          <w:color w:val="auto"/>
          <w:highlight w:val="none"/>
        </w:rPr>
        <w:t>详细评审打分条件（如有）</w:t>
      </w:r>
      <w:r>
        <w:rPr>
          <w:rFonts w:ascii="宋体" w:hAnsi="宋体" w:cs="宋体"/>
          <w:color w:val="auto"/>
          <w:highlight w:val="none"/>
        </w:rPr>
        <w:t>填写</w:t>
      </w:r>
      <w:r>
        <w:rPr>
          <w:rFonts w:hint="eastAsia" w:ascii="宋体" w:hAnsi="宋体" w:cs="宋体"/>
          <w:color w:val="auto"/>
          <w:highlight w:val="none"/>
          <w:lang w:val="en-US" w:eastAsia="zh-CN"/>
        </w:rPr>
        <w:t>本表</w:t>
      </w:r>
      <w:r>
        <w:rPr>
          <w:rFonts w:hint="eastAsia" w:ascii="宋体" w:hAnsi="宋体" w:cs="宋体"/>
          <w:color w:val="auto"/>
          <w:highlight w:val="none"/>
        </w:rPr>
        <w:t>。</w:t>
      </w:r>
    </w:p>
    <w:p w14:paraId="5E4BFFA5">
      <w:pPr>
        <w:pStyle w:val="6"/>
        <w:ind w:firstLine="2520" w:firstLineChars="900"/>
        <w:outlineLvl w:val="2"/>
        <w:rPr>
          <w:rStyle w:val="111"/>
          <w:b/>
          <w:bCs w:val="0"/>
        </w:rPr>
      </w:pPr>
      <w:bookmarkStart w:id="756" w:name="_Toc74760938"/>
      <w:r>
        <w:rPr>
          <w:rStyle w:val="111"/>
          <w:b w:val="0"/>
          <w:bCs/>
        </w:rPr>
        <w:t>（三）投标人的信誉情况表</w:t>
      </w:r>
      <w:bookmarkEnd w:id="756"/>
    </w:p>
    <w:p w14:paraId="781FF8E1">
      <w:pPr>
        <w:pStyle w:val="276"/>
        <w:rPr>
          <w:rFonts w:ascii="宋体" w:hAnsi="宋体" w:cs="宋体"/>
          <w:color w:val="auto"/>
          <w:highlight w:val="none"/>
        </w:rPr>
      </w:pPr>
    </w:p>
    <w:tbl>
      <w:tblPr>
        <w:tblStyle w:val="48"/>
        <w:tblW w:w="8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4040"/>
        <w:gridCol w:w="1184"/>
      </w:tblGrid>
      <w:tr w14:paraId="1DB8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905" w:type="dxa"/>
            <w:gridSpan w:val="3"/>
            <w:vAlign w:val="center"/>
          </w:tcPr>
          <w:p w14:paraId="317B9752">
            <w:pPr>
              <w:spacing w:line="400" w:lineRule="exact"/>
              <w:rPr>
                <w:rFonts w:ascii="宋体" w:hAnsi="宋体" w:cs="宋体"/>
                <w:color w:val="auto"/>
                <w:szCs w:val="21"/>
                <w:highlight w:val="none"/>
              </w:rPr>
            </w:pPr>
            <w:r>
              <w:rPr>
                <w:rFonts w:hint="eastAsia" w:ascii="宋体" w:hAnsi="宋体" w:cs="宋体"/>
                <w:color w:val="auto"/>
                <w:szCs w:val="21"/>
                <w:highlight w:val="none"/>
              </w:rPr>
              <w:t>投标人名称</w:t>
            </w:r>
            <w:r>
              <w:rPr>
                <w:rStyle w:val="58"/>
                <w:rFonts w:ascii="宋体" w:hAnsi="宋体" w:cs="宋体"/>
                <w:color w:val="auto"/>
                <w:szCs w:val="21"/>
                <w:highlight w:val="none"/>
              </w:rPr>
              <w:footnoteReference w:id="141"/>
            </w:r>
            <w:r>
              <w:rPr>
                <w:rFonts w:hint="eastAsia" w:ascii="宋体" w:hAnsi="宋体" w:cs="宋体"/>
                <w:color w:val="auto"/>
                <w:szCs w:val="21"/>
                <w:highlight w:val="none"/>
              </w:rPr>
              <w:t>：</w:t>
            </w:r>
          </w:p>
        </w:tc>
      </w:tr>
      <w:tr w14:paraId="0A5F6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681" w:type="dxa"/>
            <w:vAlign w:val="center"/>
          </w:tcPr>
          <w:p w14:paraId="317A7087">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资料类型</w:t>
            </w:r>
          </w:p>
        </w:tc>
        <w:tc>
          <w:tcPr>
            <w:tcW w:w="4040" w:type="dxa"/>
            <w:vAlign w:val="center"/>
          </w:tcPr>
          <w:p w14:paraId="012A6CB3">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评价内容</w:t>
            </w:r>
          </w:p>
        </w:tc>
        <w:tc>
          <w:tcPr>
            <w:tcW w:w="1184" w:type="dxa"/>
            <w:vAlign w:val="center"/>
          </w:tcPr>
          <w:p w14:paraId="245CA31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信誉情况附件</w:t>
            </w:r>
          </w:p>
        </w:tc>
      </w:tr>
      <w:tr w14:paraId="160E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3681" w:type="dxa"/>
            <w:vAlign w:val="center"/>
          </w:tcPr>
          <w:p w14:paraId="4D69958D">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olor w:val="auto"/>
                <w:sz w:val="21"/>
                <w:szCs w:val="21"/>
                <w:highlight w:val="none"/>
                <w:lang w:eastAsia="zh-CN"/>
              </w:rPr>
            </w:pPr>
            <w:r>
              <w:rPr>
                <w:rFonts w:asciiTheme="minorEastAsia" w:hAnsiTheme="minorEastAsia" w:eastAsiaTheme="minorEastAsia"/>
                <w:color w:val="auto"/>
                <w:szCs w:val="21"/>
                <w:highlight w:val="none"/>
              </w:rPr>
              <w:t>四川省交通运输厅</w:t>
            </w:r>
            <w:r>
              <w:rPr>
                <w:rFonts w:hint="eastAsia" w:asciiTheme="minorEastAsia" w:hAnsiTheme="minorEastAsia" w:eastAsiaTheme="minorEastAsia"/>
                <w:color w:val="auto"/>
                <w:szCs w:val="21"/>
                <w:highlight w:val="none"/>
              </w:rPr>
              <w:t>网</w:t>
            </w:r>
            <w:r>
              <w:rPr>
                <w:rFonts w:hint="eastAsia" w:asciiTheme="minorEastAsia" w:hAnsiTheme="minorEastAsia" w:eastAsiaTheme="minorEastAsia"/>
                <w:color w:val="auto"/>
                <w:sz w:val="21"/>
                <w:szCs w:val="21"/>
                <w:highlight w:val="none"/>
              </w:rPr>
              <w:t>站公布的</w:t>
            </w:r>
            <w:r>
              <w:rPr>
                <w:rFonts w:hint="eastAsia" w:ascii="宋体" w:hAnsi="宋体"/>
                <w:color w:val="auto"/>
                <w:sz w:val="21"/>
                <w:szCs w:val="21"/>
                <w:highlight w:val="none"/>
                <w:lang w:val="en-US" w:eastAsia="zh-CN"/>
              </w:rPr>
              <w:t>下述</w:t>
            </w:r>
            <w:r>
              <w:rPr>
                <w:rFonts w:hint="eastAsia" w:ascii="宋体" w:hAnsi="宋体"/>
                <w:color w:val="auto"/>
                <w:sz w:val="21"/>
                <w:szCs w:val="21"/>
                <w:highlight w:val="none"/>
              </w:rPr>
              <w:t>信用评价等级</w:t>
            </w:r>
            <w:r>
              <w:rPr>
                <w:rFonts w:asciiTheme="minorEastAsia" w:hAnsiTheme="minorEastAsia" w:eastAsiaTheme="minorEastAsia"/>
                <w:color w:val="auto"/>
                <w:sz w:val="21"/>
                <w:szCs w:val="21"/>
                <w:highlight w:val="none"/>
              </w:rPr>
              <w:t>网页</w:t>
            </w:r>
            <w:r>
              <w:rPr>
                <w:rFonts w:hint="eastAsia" w:asciiTheme="minorEastAsia" w:hAnsiTheme="minorEastAsia" w:eastAsiaTheme="minorEastAsia"/>
                <w:color w:val="auto"/>
                <w:sz w:val="21"/>
                <w:szCs w:val="21"/>
                <w:highlight w:val="none"/>
              </w:rPr>
              <w:t>截图</w:t>
            </w:r>
            <w:r>
              <w:rPr>
                <w:rFonts w:hint="eastAsia" w:asciiTheme="minorEastAsia" w:hAnsiTheme="minorEastAsia" w:eastAsiaTheme="minorEastAsia"/>
                <w:color w:val="auto"/>
                <w:sz w:val="21"/>
                <w:szCs w:val="21"/>
                <w:highlight w:val="none"/>
                <w:lang w:eastAsia="zh-CN"/>
              </w:rPr>
              <w:t>：</w:t>
            </w:r>
          </w:p>
          <w:p w14:paraId="0A54BD7D">
            <w:pPr>
              <w:keepNext w:val="0"/>
              <w:keepLines w:val="0"/>
              <w:pageBreakBefore w:val="0"/>
              <w:widowControl/>
              <w:kinsoku/>
              <w:wordWrap/>
              <w:overflowPunct/>
              <w:topLinePunct w:val="0"/>
              <w:autoSpaceDE/>
              <w:autoSpaceDN/>
              <w:bidi w:val="0"/>
              <w:adjustRightInd/>
              <w:snapToGrid/>
              <w:spacing w:line="400" w:lineRule="exact"/>
              <w:ind w:firstLine="210" w:firstLineChars="100"/>
              <w:textAlignment w:val="auto"/>
              <w:rPr>
                <w:rFonts w:hint="default" w:ascii="宋体" w:hAnsi="宋体" w:eastAsia="宋体"/>
                <w:color w:val="auto"/>
                <w:sz w:val="21"/>
                <w:szCs w:val="21"/>
                <w:highlight w:val="none"/>
                <w:lang w:val="en-US" w:eastAsia="zh-CN"/>
              </w:rPr>
            </w:pPr>
            <w:r>
              <w:rPr>
                <w:rFonts w:hint="eastAsia" w:ascii="宋体" w:hAnsi="宋体"/>
                <w:b w:val="0"/>
                <w:bCs/>
                <w:color w:val="auto"/>
                <w:sz w:val="21"/>
                <w:szCs w:val="21"/>
                <w:highlight w:val="none"/>
              </w:rPr>
              <w:sym w:font="Wingdings 2" w:char="00A3"/>
            </w:r>
            <w:r>
              <w:rPr>
                <w:rFonts w:hint="eastAsia" w:ascii="宋体" w:hAnsi="宋体"/>
                <w:b w:val="0"/>
                <w:bCs/>
                <w:color w:val="auto"/>
                <w:sz w:val="21"/>
                <w:szCs w:val="21"/>
                <w:highlight w:val="none"/>
                <w:lang w:val="en-US" w:eastAsia="zh-CN"/>
              </w:rPr>
              <w:t xml:space="preserve"> </w:t>
            </w:r>
            <w:r>
              <w:rPr>
                <w:rFonts w:hint="eastAsia" w:ascii="宋体" w:hAnsi="宋体"/>
                <w:color w:val="auto"/>
                <w:sz w:val="21"/>
                <w:szCs w:val="21"/>
                <w:highlight w:val="none"/>
              </w:rPr>
              <w:t>四川省重点公路建设从业单位信用评价等级</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 xml:space="preserve">  </w:t>
            </w:r>
            <w:r>
              <w:rPr>
                <w:rFonts w:hint="eastAsia" w:ascii="宋体" w:hAnsi="宋体"/>
                <w:b w:val="0"/>
                <w:bCs/>
                <w:color w:val="auto"/>
                <w:sz w:val="21"/>
                <w:szCs w:val="21"/>
                <w:highlight w:val="none"/>
              </w:rPr>
              <w:sym w:font="Wingdings 2" w:char="00A3"/>
            </w:r>
            <w:r>
              <w:rPr>
                <w:rFonts w:hint="eastAsia" w:ascii="宋体" w:hAnsi="宋体"/>
                <w:b w:val="0"/>
                <w:bCs/>
                <w:color w:val="auto"/>
                <w:sz w:val="21"/>
                <w:szCs w:val="21"/>
                <w:highlight w:val="none"/>
                <w:lang w:val="en-US" w:eastAsia="zh-CN"/>
              </w:rPr>
              <w:t xml:space="preserve"> 或</w:t>
            </w:r>
          </w:p>
          <w:p w14:paraId="4B26066A">
            <w:pPr>
              <w:spacing w:line="400" w:lineRule="exact"/>
              <w:ind w:firstLine="210" w:firstLineChars="100"/>
              <w:jc w:val="left"/>
              <w:rPr>
                <w:rFonts w:ascii="宋体" w:hAnsi="宋体" w:cs="宋体"/>
                <w:color w:val="auto"/>
                <w:szCs w:val="21"/>
                <w:highlight w:val="none"/>
              </w:rPr>
            </w:pPr>
            <w:r>
              <w:rPr>
                <w:rFonts w:hint="eastAsia" w:ascii="宋体" w:hAnsi="宋体"/>
                <w:b w:val="0"/>
                <w:bCs/>
                <w:color w:val="auto"/>
                <w:sz w:val="21"/>
                <w:szCs w:val="21"/>
                <w:highlight w:val="none"/>
              </w:rPr>
              <w:sym w:font="Wingdings 2" w:char="00A3"/>
            </w:r>
            <w:r>
              <w:rPr>
                <w:rFonts w:hint="eastAsia" w:ascii="宋体" w:hAnsi="宋体"/>
                <w:b w:val="0"/>
                <w:bCs/>
                <w:color w:val="auto"/>
                <w:sz w:val="21"/>
                <w:szCs w:val="21"/>
                <w:highlight w:val="none"/>
                <w:lang w:val="en-US" w:eastAsia="zh-CN"/>
              </w:rPr>
              <w:t xml:space="preserve"> </w:t>
            </w:r>
            <w:r>
              <w:rPr>
                <w:rFonts w:hint="eastAsia" w:ascii="宋体" w:hAnsi="宋体"/>
                <w:color w:val="auto"/>
                <w:sz w:val="21"/>
                <w:szCs w:val="21"/>
                <w:highlight w:val="none"/>
              </w:rPr>
              <w:t>四川省</w:t>
            </w:r>
            <w:r>
              <w:rPr>
                <w:rFonts w:hint="eastAsia" w:ascii="宋体" w:hAnsi="宋体"/>
                <w:color w:val="auto"/>
                <w:sz w:val="21"/>
                <w:szCs w:val="21"/>
                <w:highlight w:val="none"/>
                <w:lang w:val="en-US" w:eastAsia="zh-CN"/>
              </w:rPr>
              <w:t>农村公路建设从业单位信用评价等级</w:t>
            </w:r>
          </w:p>
        </w:tc>
        <w:tc>
          <w:tcPr>
            <w:tcW w:w="4040" w:type="dxa"/>
            <w:vAlign w:val="center"/>
          </w:tcPr>
          <w:p w14:paraId="52A90895">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信用等级：□</w:t>
            </w:r>
            <w:r>
              <w:rPr>
                <w:rFonts w:ascii="宋体" w:hAnsi="宋体" w:cs="宋体"/>
                <w:color w:val="auto"/>
                <w:szCs w:val="21"/>
                <w:highlight w:val="none"/>
              </w:rPr>
              <w:t xml:space="preserve">AA+ </w:t>
            </w:r>
            <w:r>
              <w:rPr>
                <w:rFonts w:hint="eastAsia" w:ascii="宋体" w:hAnsi="宋体" w:cs="宋体"/>
                <w:color w:val="auto"/>
                <w:szCs w:val="21"/>
                <w:highlight w:val="none"/>
              </w:rPr>
              <w:t>□</w:t>
            </w:r>
            <w:r>
              <w:rPr>
                <w:rFonts w:ascii="宋体" w:hAnsi="宋体" w:cs="宋体"/>
                <w:color w:val="auto"/>
                <w:szCs w:val="21"/>
                <w:highlight w:val="none"/>
              </w:rPr>
              <w:t xml:space="preserve">AA  </w:t>
            </w:r>
            <w:r>
              <w:rPr>
                <w:rFonts w:hint="eastAsia" w:ascii="宋体" w:hAnsi="宋体" w:cs="宋体"/>
                <w:color w:val="auto"/>
                <w:szCs w:val="21"/>
                <w:highlight w:val="none"/>
              </w:rPr>
              <w:t>□</w:t>
            </w:r>
            <w:r>
              <w:rPr>
                <w:rFonts w:ascii="宋体" w:hAnsi="宋体" w:cs="宋体"/>
                <w:color w:val="auto"/>
                <w:szCs w:val="21"/>
                <w:highlight w:val="none"/>
              </w:rPr>
              <w:t xml:space="preserve">A </w:t>
            </w:r>
            <w:r>
              <w:rPr>
                <w:rFonts w:hint="eastAsia" w:ascii="宋体" w:hAnsi="宋体" w:cs="宋体"/>
                <w:color w:val="auto"/>
                <w:szCs w:val="21"/>
                <w:highlight w:val="none"/>
              </w:rPr>
              <w:t>□</w:t>
            </w:r>
            <w:r>
              <w:rPr>
                <w:rFonts w:ascii="宋体" w:hAnsi="宋体" w:cs="宋体"/>
                <w:color w:val="auto"/>
                <w:szCs w:val="21"/>
                <w:highlight w:val="none"/>
              </w:rPr>
              <w:t xml:space="preserve">B </w:t>
            </w:r>
            <w:r>
              <w:rPr>
                <w:rFonts w:hint="eastAsia" w:ascii="宋体" w:hAnsi="宋体" w:cs="宋体"/>
                <w:color w:val="auto"/>
                <w:szCs w:val="21"/>
                <w:highlight w:val="none"/>
              </w:rPr>
              <w:t>□</w:t>
            </w:r>
            <w:r>
              <w:rPr>
                <w:rFonts w:ascii="宋体" w:hAnsi="宋体" w:cs="宋体"/>
                <w:color w:val="auto"/>
                <w:szCs w:val="21"/>
                <w:highlight w:val="none"/>
              </w:rPr>
              <w:t>C</w:t>
            </w:r>
          </w:p>
        </w:tc>
        <w:tc>
          <w:tcPr>
            <w:tcW w:w="1184" w:type="dxa"/>
            <w:vAlign w:val="center"/>
          </w:tcPr>
          <w:p w14:paraId="27CA6138">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附件</w:t>
            </w:r>
            <w:r>
              <w:rPr>
                <w:rFonts w:ascii="宋体" w:hAnsi="宋体" w:cs="宋体"/>
                <w:color w:val="auto"/>
                <w:szCs w:val="21"/>
                <w:highlight w:val="none"/>
              </w:rPr>
              <w:t>H1</w:t>
            </w:r>
          </w:p>
        </w:tc>
      </w:tr>
      <w:tr w14:paraId="67155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3681" w:type="dxa"/>
            <w:vAlign w:val="center"/>
          </w:tcPr>
          <w:p w14:paraId="1E454069">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国家企业信用信息公示系统网页截图（事业单位不提供）</w:t>
            </w:r>
          </w:p>
        </w:tc>
        <w:tc>
          <w:tcPr>
            <w:tcW w:w="4040" w:type="dxa"/>
            <w:vAlign w:val="center"/>
          </w:tcPr>
          <w:p w14:paraId="53E3EB86">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未列入严重违法失信企业</w:t>
            </w:r>
          </w:p>
        </w:tc>
        <w:tc>
          <w:tcPr>
            <w:tcW w:w="1184" w:type="dxa"/>
            <w:vAlign w:val="center"/>
          </w:tcPr>
          <w:p w14:paraId="6DF350FA">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附件</w:t>
            </w:r>
            <w:r>
              <w:rPr>
                <w:rFonts w:ascii="宋体" w:hAnsi="宋体" w:cs="宋体"/>
                <w:color w:val="auto"/>
                <w:szCs w:val="21"/>
                <w:highlight w:val="none"/>
              </w:rPr>
              <w:t>H2</w:t>
            </w:r>
          </w:p>
        </w:tc>
      </w:tr>
      <w:tr w14:paraId="5CC3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3681" w:type="dxa"/>
            <w:tcBorders>
              <w:bottom w:val="single" w:color="auto" w:sz="4" w:space="0"/>
            </w:tcBorders>
            <w:vAlign w:val="center"/>
          </w:tcPr>
          <w:p w14:paraId="41825801">
            <w:pPr>
              <w:spacing w:line="400" w:lineRule="exact"/>
              <w:rPr>
                <w:rFonts w:ascii="宋体" w:hAnsi="宋体" w:cs="宋体"/>
                <w:color w:val="auto"/>
                <w:szCs w:val="21"/>
                <w:highlight w:val="none"/>
              </w:rPr>
            </w:pPr>
            <w:r>
              <w:rPr>
                <w:rFonts w:hint="eastAsia" w:asciiTheme="minorEastAsia" w:hAnsiTheme="minorEastAsia" w:eastAsiaTheme="minorEastAsia"/>
                <w:color w:val="auto"/>
                <w:spacing w:val="-4"/>
                <w:highlight w:val="none"/>
              </w:rPr>
              <w:t>通过“信用中国”</w:t>
            </w:r>
            <w:r>
              <w:rPr>
                <w:rFonts w:hint="eastAsia" w:asciiTheme="minorEastAsia" w:hAnsiTheme="minorEastAsia" w:eastAsiaTheme="minorEastAsia"/>
                <w:color w:val="auto"/>
                <w:highlight w:val="none"/>
              </w:rPr>
              <w:t>查询</w:t>
            </w:r>
            <w:r>
              <w:rPr>
                <w:rFonts w:asciiTheme="minorEastAsia" w:hAnsiTheme="minorEastAsia" w:eastAsiaTheme="minorEastAsia"/>
                <w:color w:val="auto"/>
                <w:highlight w:val="none"/>
              </w:rPr>
              <w:t>“失信被执行人”链接</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中国执行信息公开网</w:t>
            </w:r>
            <w:r>
              <w:rPr>
                <w:rFonts w:hint="eastAsia" w:asciiTheme="minorEastAsia" w:hAnsiTheme="minorEastAsia" w:eastAsiaTheme="minorEastAsia"/>
                <w:color w:val="auto"/>
                <w:szCs w:val="21"/>
                <w:highlight w:val="none"/>
              </w:rPr>
              <w:t>”网页截图</w:t>
            </w:r>
          </w:p>
        </w:tc>
        <w:tc>
          <w:tcPr>
            <w:tcW w:w="4040" w:type="dxa"/>
            <w:tcBorders>
              <w:bottom w:val="single" w:color="auto" w:sz="4" w:space="0"/>
            </w:tcBorders>
            <w:vAlign w:val="center"/>
          </w:tcPr>
          <w:p w14:paraId="0138E85C">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未列入失信被执行人名单</w:t>
            </w:r>
          </w:p>
        </w:tc>
        <w:tc>
          <w:tcPr>
            <w:tcW w:w="1184" w:type="dxa"/>
            <w:tcBorders>
              <w:bottom w:val="single" w:color="auto" w:sz="4" w:space="0"/>
            </w:tcBorders>
            <w:vAlign w:val="center"/>
          </w:tcPr>
          <w:p w14:paraId="0B6CBA6B">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附件</w:t>
            </w:r>
            <w:r>
              <w:rPr>
                <w:rFonts w:ascii="宋体" w:hAnsi="宋体" w:cs="宋体"/>
                <w:color w:val="auto"/>
                <w:szCs w:val="21"/>
                <w:highlight w:val="none"/>
              </w:rPr>
              <w:t>H3</w:t>
            </w:r>
          </w:p>
        </w:tc>
      </w:tr>
      <w:tr w14:paraId="166DC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3681" w:type="dxa"/>
            <w:tcBorders>
              <w:top w:val="single" w:color="auto" w:sz="4" w:space="0"/>
              <w:left w:val="single" w:color="auto" w:sz="4" w:space="0"/>
              <w:bottom w:val="single" w:color="auto" w:sz="4" w:space="0"/>
              <w:right w:val="single" w:color="auto" w:sz="4" w:space="0"/>
            </w:tcBorders>
            <w:vAlign w:val="center"/>
          </w:tcPr>
          <w:p w14:paraId="072DE775">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无行贿犯罪的承诺函</w:t>
            </w:r>
          </w:p>
        </w:tc>
        <w:tc>
          <w:tcPr>
            <w:tcW w:w="4040" w:type="dxa"/>
            <w:tcBorders>
              <w:top w:val="single" w:color="auto" w:sz="4" w:space="0"/>
              <w:left w:val="single" w:color="auto" w:sz="4" w:space="0"/>
              <w:bottom w:val="single" w:color="auto" w:sz="4" w:space="0"/>
              <w:right w:val="single" w:color="auto" w:sz="4" w:space="0"/>
            </w:tcBorders>
            <w:vAlign w:val="center"/>
          </w:tcPr>
          <w:p w14:paraId="082646B5">
            <w:pPr>
              <w:spacing w:line="400" w:lineRule="exact"/>
              <w:jc w:val="left"/>
              <w:rPr>
                <w:rFonts w:ascii="宋体" w:hAnsi="宋体" w:cs="宋体"/>
                <w:color w:val="auto"/>
                <w:szCs w:val="21"/>
                <w:highlight w:val="none"/>
              </w:rPr>
            </w:pPr>
            <w:r>
              <w:rPr>
                <w:rFonts w:hint="eastAsia" w:ascii="宋体" w:hAnsi="宋体" w:cs="宋体"/>
                <w:color w:val="auto"/>
                <w:szCs w:val="21"/>
                <w:highlight w:val="none"/>
              </w:rPr>
              <w:t>没有被人民法院生效判决</w:t>
            </w:r>
            <w:r>
              <w:rPr>
                <w:rFonts w:hint="eastAsia" w:ascii="宋体" w:hAnsi="宋体" w:cs="宋体"/>
                <w:color w:val="auto"/>
                <w:szCs w:val="21"/>
                <w:highlight w:val="none"/>
                <w:lang w:val="en-US" w:eastAsia="zh-CN"/>
              </w:rPr>
              <w:t>或裁定认定</w:t>
            </w:r>
            <w:r>
              <w:rPr>
                <w:rFonts w:hint="eastAsia" w:ascii="宋体" w:hAnsi="宋体" w:cs="宋体"/>
                <w:color w:val="auto"/>
                <w:szCs w:val="21"/>
                <w:highlight w:val="none"/>
              </w:rPr>
              <w:t>为行贿犯罪（包括行贿罪、单位行贿罪、对单位行贿罪、介绍贿赂罪等）</w:t>
            </w:r>
          </w:p>
        </w:tc>
        <w:tc>
          <w:tcPr>
            <w:tcW w:w="1184" w:type="dxa"/>
            <w:tcBorders>
              <w:top w:val="single" w:color="auto" w:sz="4" w:space="0"/>
              <w:left w:val="single" w:color="auto" w:sz="4" w:space="0"/>
              <w:bottom w:val="single" w:color="auto" w:sz="4" w:space="0"/>
              <w:right w:val="single" w:color="auto" w:sz="4" w:space="0"/>
            </w:tcBorders>
            <w:vAlign w:val="center"/>
          </w:tcPr>
          <w:p w14:paraId="5CD39F9E">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附件</w:t>
            </w:r>
            <w:r>
              <w:rPr>
                <w:rFonts w:ascii="宋体" w:hAnsi="宋体" w:cs="宋体"/>
                <w:color w:val="auto"/>
                <w:szCs w:val="21"/>
                <w:highlight w:val="none"/>
              </w:rPr>
              <w:t>H4</w:t>
            </w:r>
          </w:p>
        </w:tc>
      </w:tr>
      <w:tr w14:paraId="17CAD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3681" w:type="dxa"/>
            <w:tcBorders>
              <w:top w:val="single" w:color="auto" w:sz="4" w:space="0"/>
              <w:left w:val="single" w:color="auto" w:sz="4" w:space="0"/>
              <w:bottom w:val="single" w:color="auto" w:sz="4" w:space="0"/>
              <w:right w:val="single" w:color="auto" w:sz="4" w:space="0"/>
            </w:tcBorders>
            <w:vAlign w:val="center"/>
          </w:tcPr>
          <w:p w14:paraId="76FE2C11">
            <w:pPr>
              <w:spacing w:line="400" w:lineRule="exact"/>
              <w:jc w:val="center"/>
              <w:rPr>
                <w:rFonts w:ascii="宋体" w:hAnsi="宋体" w:cs="宋体"/>
                <w:color w:val="auto"/>
                <w:szCs w:val="21"/>
                <w:highlight w:val="none"/>
              </w:rPr>
            </w:pPr>
            <w:r>
              <w:rPr>
                <w:rFonts w:hint="eastAsia" w:ascii="宋体" w:hAnsi="宋体" w:cs="宋体"/>
                <w:b/>
                <w:color w:val="auto"/>
                <w:szCs w:val="21"/>
                <w:highlight w:val="none"/>
              </w:rPr>
              <w:t>□</w:t>
            </w:r>
            <w:r>
              <w:rPr>
                <w:rFonts w:ascii="宋体" w:hAnsi="宋体" w:cs="宋体"/>
                <w:color w:val="auto"/>
                <w:szCs w:val="21"/>
                <w:highlight w:val="none"/>
              </w:rPr>
              <w:t xml:space="preserve"> 其他信誉条件</w:t>
            </w:r>
            <w:r>
              <w:rPr>
                <w:rStyle w:val="58"/>
                <w:rFonts w:ascii="宋体" w:hAnsi="宋体" w:cs="宋体"/>
                <w:color w:val="auto"/>
                <w:szCs w:val="21"/>
                <w:highlight w:val="none"/>
              </w:rPr>
              <w:footnoteReference w:id="142"/>
            </w:r>
          </w:p>
        </w:tc>
        <w:tc>
          <w:tcPr>
            <w:tcW w:w="4040" w:type="dxa"/>
            <w:tcBorders>
              <w:top w:val="single" w:color="auto" w:sz="4" w:space="0"/>
              <w:left w:val="single" w:color="auto" w:sz="4" w:space="0"/>
              <w:bottom w:val="single" w:color="auto" w:sz="4" w:space="0"/>
              <w:right w:val="single" w:color="auto" w:sz="4" w:space="0"/>
            </w:tcBorders>
            <w:vAlign w:val="center"/>
          </w:tcPr>
          <w:p w14:paraId="07C3CE91">
            <w:pPr>
              <w:spacing w:line="400" w:lineRule="exact"/>
              <w:rPr>
                <w:rFonts w:ascii="宋体" w:hAnsi="宋体" w:cs="宋体"/>
                <w:color w:val="auto"/>
                <w:szCs w:val="21"/>
                <w:highlight w:val="none"/>
              </w:rPr>
            </w:pPr>
            <w:r>
              <w:rPr>
                <w:rFonts w:hint="eastAsia" w:ascii="宋体" w:hAnsi="宋体" w:cs="宋体"/>
                <w:color w:val="auto"/>
                <w:szCs w:val="21"/>
                <w:highlight w:val="none"/>
              </w:rPr>
              <w:t>满足：</w:t>
            </w: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p>
        </w:tc>
        <w:tc>
          <w:tcPr>
            <w:tcW w:w="1184" w:type="dxa"/>
            <w:tcBorders>
              <w:top w:val="single" w:color="auto" w:sz="4" w:space="0"/>
              <w:left w:val="single" w:color="auto" w:sz="4" w:space="0"/>
              <w:bottom w:val="single" w:color="auto" w:sz="4" w:space="0"/>
              <w:right w:val="single" w:color="auto" w:sz="4" w:space="0"/>
            </w:tcBorders>
            <w:vAlign w:val="center"/>
          </w:tcPr>
          <w:p w14:paraId="5052EA59">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附件</w:t>
            </w:r>
            <w:r>
              <w:rPr>
                <w:rFonts w:ascii="宋体" w:hAnsi="宋体" w:cs="宋体"/>
                <w:color w:val="auto"/>
                <w:szCs w:val="21"/>
                <w:highlight w:val="none"/>
              </w:rPr>
              <w:t>H5</w:t>
            </w:r>
          </w:p>
        </w:tc>
      </w:tr>
    </w:tbl>
    <w:p w14:paraId="3266D213">
      <w:pPr>
        <w:pStyle w:val="276"/>
        <w:rPr>
          <w:rFonts w:ascii="宋体" w:hAnsi="宋体" w:cs="宋体"/>
          <w:color w:val="auto"/>
          <w:highlight w:val="none"/>
        </w:rPr>
      </w:pPr>
    </w:p>
    <w:p w14:paraId="197CEA07">
      <w:pPr>
        <w:spacing w:line="360" w:lineRule="auto"/>
        <w:ind w:left="630" w:hanging="630" w:hangingChars="300"/>
        <w:jc w:val="left"/>
        <w:rPr>
          <w:rFonts w:ascii="宋体" w:hAnsi="宋体" w:cs="宋体"/>
          <w:color w:val="auto"/>
          <w:szCs w:val="21"/>
          <w:highlight w:val="none"/>
        </w:rPr>
      </w:pPr>
      <w:bookmarkStart w:id="757" w:name="_Toc513555610"/>
      <w:bookmarkStart w:id="758" w:name="_Toc513556694"/>
      <w:bookmarkStart w:id="759" w:name="_Toc513555854"/>
      <w:bookmarkStart w:id="760" w:name="_Toc519778509"/>
      <w:bookmarkStart w:id="761" w:name="_Toc519777896"/>
      <w:bookmarkStart w:id="762" w:name="_Toc519601517"/>
      <w:bookmarkStart w:id="763" w:name="_Toc519777844"/>
      <w:r>
        <w:rPr>
          <w:rFonts w:hint="eastAsia" w:ascii="宋体" w:hAnsi="宋体" w:cs="宋体"/>
          <w:color w:val="auto"/>
          <w:szCs w:val="21"/>
          <w:highlight w:val="none"/>
        </w:rPr>
        <w:t>注：</w:t>
      </w:r>
      <w:r>
        <w:rPr>
          <w:rFonts w:ascii="宋体" w:hAnsi="宋体" w:cs="宋体"/>
          <w:color w:val="auto"/>
          <w:szCs w:val="21"/>
          <w:highlight w:val="none"/>
        </w:rPr>
        <w:t>1.投标人应按</w:t>
      </w:r>
      <w:r>
        <w:rPr>
          <w:rFonts w:hint="eastAsia" w:ascii="宋体" w:hAnsi="宋体" w:cs="宋体"/>
          <w:color w:val="auto"/>
          <w:szCs w:val="21"/>
          <w:highlight w:val="none"/>
          <w:lang w:val="en-US" w:eastAsia="zh-CN"/>
        </w:rPr>
        <w:t>第二章“</w:t>
      </w:r>
      <w:r>
        <w:rPr>
          <w:rFonts w:ascii="宋体" w:hAnsi="宋体" w:cs="宋体"/>
          <w:color w:val="auto"/>
          <w:szCs w:val="21"/>
          <w:highlight w:val="none"/>
        </w:rPr>
        <w:t>投标人须知</w:t>
      </w:r>
      <w:r>
        <w:rPr>
          <w:rFonts w:hint="eastAsia" w:ascii="宋体" w:hAnsi="宋体" w:cs="宋体"/>
          <w:color w:val="auto"/>
          <w:szCs w:val="21"/>
          <w:highlight w:val="none"/>
          <w:lang w:val="en-US" w:eastAsia="zh-CN"/>
        </w:rPr>
        <w:t>”前附表</w:t>
      </w:r>
      <w:r>
        <w:rPr>
          <w:rFonts w:ascii="宋体" w:hAnsi="宋体" w:cs="宋体"/>
          <w:color w:val="auto"/>
          <w:szCs w:val="21"/>
          <w:highlight w:val="none"/>
        </w:rPr>
        <w:t>附录3资格审查条件（信誉最低要求）的要求</w:t>
      </w:r>
      <w:r>
        <w:rPr>
          <w:rFonts w:hint="eastAsia" w:ascii="宋体" w:hAnsi="宋体" w:cs="宋体"/>
          <w:color w:val="auto"/>
          <w:szCs w:val="21"/>
          <w:highlight w:val="none"/>
        </w:rPr>
        <w:t>提供</w:t>
      </w:r>
      <w:r>
        <w:rPr>
          <w:rFonts w:ascii="宋体" w:hAnsi="宋体" w:cs="宋体"/>
          <w:color w:val="auto"/>
          <w:szCs w:val="21"/>
          <w:highlight w:val="none"/>
        </w:rPr>
        <w:t>信誉情况相关结果查询网页截图、承诺函等证明材料附件H系列。其中附件H4</w:t>
      </w:r>
      <w:r>
        <w:rPr>
          <w:rFonts w:hint="eastAsia" w:ascii="宋体" w:hAnsi="宋体" w:cs="宋体"/>
          <w:color w:val="auto"/>
          <w:szCs w:val="21"/>
          <w:highlight w:val="none"/>
        </w:rPr>
        <w:t>无行贿犯罪的承诺函格式附后。</w:t>
      </w:r>
    </w:p>
    <w:p w14:paraId="71841773">
      <w:pPr>
        <w:spacing w:line="360" w:lineRule="auto"/>
        <w:ind w:left="609" w:leftChars="190" w:hanging="210" w:hangingChars="100"/>
        <w:jc w:val="left"/>
        <w:rPr>
          <w:rFonts w:ascii="宋体" w:hAnsi="宋体" w:cs="宋体"/>
          <w:szCs w:val="21"/>
        </w:rPr>
      </w:pPr>
      <w:r>
        <w:rPr>
          <w:rFonts w:hint="eastAsia" w:ascii="宋体" w:hAnsi="宋体" w:cs="宋体"/>
          <w:szCs w:val="21"/>
        </w:rPr>
        <w:t>2.允许联合体投标时，</w:t>
      </w:r>
      <w:r>
        <w:rPr>
          <w:rFonts w:hint="eastAsia" w:ascii="宋体" w:hAnsi="宋体" w:cs="宋体"/>
          <w:szCs w:val="21"/>
          <w:lang w:val="en-US" w:eastAsia="zh-CN"/>
        </w:rPr>
        <w:t>若</w:t>
      </w:r>
      <w:r>
        <w:rPr>
          <w:rFonts w:hint="eastAsia" w:ascii="宋体" w:hAnsi="宋体"/>
        </w:rPr>
        <w:t>以联合体形式投标的，联合体牵头人及所有成员方均应提供上述信誉情况资料。</w:t>
      </w:r>
      <w:r>
        <w:rPr>
          <w:rFonts w:hint="eastAsia" w:ascii="宋体" w:hAnsi="宋体"/>
          <w:lang w:val="en-US" w:eastAsia="zh-CN"/>
        </w:rPr>
        <w:t>无行贿犯罪的承诺函由联合体牵头人出具对联合体所有成员的共同承诺。</w:t>
      </w:r>
    </w:p>
    <w:p w14:paraId="1D882089">
      <w:pPr>
        <w:pStyle w:val="276"/>
        <w:rPr>
          <w:rFonts w:ascii="宋体" w:hAnsi="宋体" w:cs="宋体"/>
          <w:color w:val="auto"/>
          <w:highlight w:val="none"/>
        </w:rPr>
      </w:pPr>
    </w:p>
    <w:p w14:paraId="533A6366">
      <w:pPr>
        <w:spacing w:line="360" w:lineRule="auto"/>
        <w:jc w:val="center"/>
        <w:rPr>
          <w:rFonts w:ascii="黑体" w:hAnsi="黑体" w:eastAsia="黑体" w:cs="宋体"/>
          <w:color w:val="auto"/>
          <w:sz w:val="24"/>
          <w:highlight w:val="none"/>
        </w:rPr>
      </w:pPr>
      <w:r>
        <w:rPr>
          <w:rFonts w:ascii="宋体" w:hAnsi="宋体" w:cs="宋体"/>
          <w:b/>
          <w:color w:val="auto"/>
          <w:kern w:val="0"/>
          <w:sz w:val="28"/>
          <w:szCs w:val="28"/>
          <w:highlight w:val="none"/>
        </w:rPr>
        <w:br w:type="page"/>
      </w:r>
      <w:r>
        <w:rPr>
          <w:rFonts w:hint="eastAsia" w:ascii="黑体" w:hAnsi="黑体" w:eastAsia="黑体" w:cs="宋体"/>
          <w:color w:val="auto"/>
          <w:kern w:val="0"/>
          <w:sz w:val="24"/>
          <w:highlight w:val="none"/>
        </w:rPr>
        <w:t>附件</w:t>
      </w:r>
      <w:r>
        <w:rPr>
          <w:rFonts w:ascii="黑体" w:hAnsi="黑体" w:eastAsia="黑体" w:cs="宋体"/>
          <w:color w:val="auto"/>
          <w:kern w:val="0"/>
          <w:sz w:val="24"/>
          <w:highlight w:val="none"/>
        </w:rPr>
        <w:t>H4 无行贿犯罪的承诺函</w:t>
      </w:r>
    </w:p>
    <w:p w14:paraId="6D371173">
      <w:pPr>
        <w:spacing w:line="360" w:lineRule="auto"/>
        <w:ind w:firstLine="420" w:firstLineChars="200"/>
        <w:rPr>
          <w:rFonts w:ascii="宋体" w:hAnsi="宋体" w:cs="宋体"/>
          <w:color w:val="auto"/>
          <w:szCs w:val="21"/>
          <w:highlight w:val="none"/>
        </w:rPr>
      </w:pPr>
    </w:p>
    <w:p w14:paraId="0E80F4BD">
      <w:pPr>
        <w:spacing w:line="360" w:lineRule="auto"/>
        <w:ind w:firstLine="420" w:firstLineChars="200"/>
        <w:rPr>
          <w:rFonts w:ascii="宋体" w:hAnsi="宋体" w:cs="宋体"/>
          <w:color w:val="auto"/>
          <w:szCs w:val="21"/>
          <w:highlight w:val="none"/>
        </w:rPr>
      </w:pPr>
    </w:p>
    <w:p w14:paraId="3FEE1C9F">
      <w:pPr>
        <w:spacing w:line="360" w:lineRule="auto"/>
        <w:rPr>
          <w:rFonts w:ascii="宋体" w:hAnsi="宋体" w:cs="宋体"/>
          <w:color w:val="auto"/>
          <w:sz w:val="24"/>
          <w:highlight w:val="none"/>
        </w:rPr>
      </w:pPr>
      <w:r>
        <w:rPr>
          <w:rFonts w:ascii="宋体" w:hAnsi="宋体" w:cs="宋体"/>
          <w:color w:val="auto"/>
          <w:sz w:val="24"/>
          <w:highlight w:val="none"/>
          <w:u w:val="single"/>
        </w:rPr>
        <w:t xml:space="preserve">   （招标人名称）   </w:t>
      </w:r>
      <w:r>
        <w:rPr>
          <w:rFonts w:hint="eastAsia" w:ascii="宋体" w:hAnsi="宋体" w:cs="宋体"/>
          <w:color w:val="auto"/>
          <w:sz w:val="24"/>
          <w:highlight w:val="none"/>
        </w:rPr>
        <w:t>：</w:t>
      </w:r>
    </w:p>
    <w:p w14:paraId="17FFA586">
      <w:pPr>
        <w:pStyle w:val="267"/>
        <w:spacing w:line="360" w:lineRule="auto"/>
        <w:jc w:val="left"/>
        <w:rPr>
          <w:color w:val="auto"/>
          <w:sz w:val="24"/>
          <w:highlight w:val="none"/>
        </w:rPr>
      </w:pPr>
    </w:p>
    <w:p w14:paraId="1E0A4B8C">
      <w:pPr>
        <w:pStyle w:val="267"/>
        <w:spacing w:line="360" w:lineRule="auto"/>
        <w:ind w:firstLine="480" w:firstLineChars="200"/>
        <w:rPr>
          <w:color w:val="auto"/>
          <w:sz w:val="24"/>
          <w:highlight w:val="none"/>
        </w:rPr>
      </w:pPr>
      <w:r>
        <w:rPr>
          <w:rFonts w:hint="eastAsia"/>
          <w:color w:val="auto"/>
          <w:sz w:val="24"/>
          <w:highlight w:val="none"/>
        </w:rPr>
        <w:t>我公司</w:t>
      </w:r>
      <w:r>
        <w:rPr>
          <w:color w:val="auto"/>
          <w:sz w:val="24"/>
          <w:highlight w:val="none"/>
          <w:u w:val="single"/>
        </w:rPr>
        <w:t xml:space="preserve">   （投标人名称）（单位统一社会信用代码）</w:t>
      </w:r>
      <w:r>
        <w:rPr>
          <w:rFonts w:hint="eastAsia"/>
          <w:color w:val="auto"/>
          <w:sz w:val="24"/>
          <w:highlight w:val="none"/>
        </w:rPr>
        <w:t>、法定代表人</w:t>
      </w:r>
      <w:r>
        <w:rPr>
          <w:color w:val="auto"/>
          <w:sz w:val="24"/>
          <w:highlight w:val="none"/>
          <w:u w:val="single"/>
        </w:rPr>
        <w:t xml:space="preserve">  （姓名）（身份证号）</w:t>
      </w:r>
      <w:r>
        <w:rPr>
          <w:rStyle w:val="58"/>
          <w:color w:val="auto"/>
          <w:sz w:val="24"/>
          <w:highlight w:val="none"/>
          <w:u w:val="single"/>
        </w:rPr>
        <w:footnoteReference w:id="143"/>
      </w:r>
      <w:r>
        <w:rPr>
          <w:rFonts w:hint="eastAsia"/>
          <w:color w:val="auto"/>
          <w:sz w:val="24"/>
          <w:highlight w:val="none"/>
        </w:rPr>
        <w:t>、</w:t>
      </w:r>
      <w:bookmarkStart w:id="764" w:name="_Hlk100760266"/>
      <w:r>
        <w:rPr>
          <w:rFonts w:hint="eastAsia"/>
          <w:color w:val="auto"/>
          <w:sz w:val="24"/>
          <w:highlight w:val="none"/>
          <w:lang w:val="en-US" w:eastAsia="zh-CN"/>
        </w:rPr>
        <w:t>主要人员</w:t>
      </w:r>
      <w:r>
        <w:rPr>
          <w:rFonts w:hint="eastAsia" w:ascii="宋体" w:hAnsi="宋体" w:eastAsia="宋体" w:cs="宋体"/>
          <w:color w:val="auto"/>
          <w:sz w:val="24"/>
          <w:highlight w:val="none"/>
          <w:lang w:val="en-US" w:eastAsia="zh-CN"/>
        </w:rPr>
        <w:t>〔</w:t>
      </w:r>
      <w:r>
        <w:rPr>
          <w:rFonts w:hint="eastAsia"/>
          <w:color w:val="auto"/>
          <w:sz w:val="24"/>
          <w:highlight w:val="none"/>
        </w:rPr>
        <w:t>试验室主任</w:t>
      </w:r>
      <w:r>
        <w:rPr>
          <w:rFonts w:hint="eastAsia"/>
          <w:color w:val="auto"/>
          <w:sz w:val="24"/>
          <w:highlight w:val="none"/>
          <w:u w:val="single"/>
        </w:rPr>
        <w:t>（姓名）（身份证号）</w:t>
      </w:r>
      <w:bookmarkEnd w:id="764"/>
      <w:r>
        <w:rPr>
          <w:rFonts w:hint="eastAsia"/>
          <w:color w:val="auto"/>
          <w:sz w:val="24"/>
          <w:highlight w:val="none"/>
        </w:rPr>
        <w:t>、□技术负责人</w:t>
      </w:r>
      <w:r>
        <w:rPr>
          <w:rFonts w:hint="eastAsia"/>
          <w:color w:val="auto"/>
          <w:sz w:val="24"/>
          <w:highlight w:val="none"/>
          <w:u w:val="single"/>
        </w:rPr>
        <w:t>（姓名）（身份证号）</w:t>
      </w:r>
      <w:bookmarkStart w:id="765" w:name="_Hlk100742810"/>
      <w:r>
        <w:rPr>
          <w:rFonts w:hint="eastAsia" w:ascii="宋体" w:hAnsi="宋体" w:eastAsia="宋体" w:cs="宋体"/>
          <w:color w:val="auto"/>
          <w:sz w:val="24"/>
          <w:highlight w:val="none"/>
          <w:lang w:val="en-US" w:eastAsia="zh-CN"/>
        </w:rPr>
        <w:t>〕</w:t>
      </w:r>
      <w:r>
        <w:rPr>
          <w:rStyle w:val="58"/>
          <w:rFonts w:asciiTheme="minorEastAsia" w:hAnsiTheme="minorEastAsia" w:eastAsiaTheme="minorEastAsia"/>
          <w:color w:val="auto"/>
          <w:szCs w:val="21"/>
          <w:highlight w:val="none"/>
        </w:rPr>
        <w:footnoteReference w:id="144"/>
      </w:r>
      <w:bookmarkEnd w:id="765"/>
      <w:r>
        <w:rPr>
          <w:rFonts w:hint="eastAsia"/>
          <w:color w:val="auto"/>
          <w:sz w:val="24"/>
          <w:highlight w:val="none"/>
        </w:rPr>
        <w:t>在</w:t>
      </w:r>
      <w:r>
        <w:rPr>
          <w:color w:val="auto"/>
          <w:sz w:val="24"/>
          <w:highlight w:val="none"/>
          <w:u w:val="single"/>
        </w:rPr>
        <w:t xml:space="preserve">      </w:t>
      </w:r>
      <w:r>
        <w:rPr>
          <w:rFonts w:hint="eastAsia"/>
          <w:color w:val="auto"/>
          <w:sz w:val="24"/>
          <w:highlight w:val="none"/>
        </w:rPr>
        <w:t>年</w:t>
      </w:r>
      <w:r>
        <w:rPr>
          <w:color w:val="auto"/>
          <w:sz w:val="24"/>
          <w:highlight w:val="none"/>
          <w:u w:val="single"/>
        </w:rPr>
        <w:t xml:space="preserve">    </w:t>
      </w:r>
      <w:r>
        <w:rPr>
          <w:rFonts w:hint="eastAsia"/>
          <w:color w:val="auto"/>
          <w:sz w:val="24"/>
          <w:highlight w:val="none"/>
        </w:rPr>
        <w:t>月</w:t>
      </w:r>
      <w:r>
        <w:rPr>
          <w:color w:val="auto"/>
          <w:sz w:val="24"/>
          <w:highlight w:val="none"/>
          <w:u w:val="single"/>
        </w:rPr>
        <w:t xml:space="preserve">    </w:t>
      </w:r>
      <w:r>
        <w:rPr>
          <w:rFonts w:hint="eastAsia"/>
          <w:color w:val="auto"/>
          <w:sz w:val="24"/>
          <w:highlight w:val="none"/>
        </w:rPr>
        <w:t>日至本项目投标截止日期间，没有被人民法院生效判决</w:t>
      </w:r>
      <w:r>
        <w:rPr>
          <w:rFonts w:hint="eastAsia"/>
          <w:color w:val="auto"/>
          <w:sz w:val="24"/>
          <w:highlight w:val="none"/>
          <w:lang w:val="en-US" w:eastAsia="zh-CN"/>
        </w:rPr>
        <w:t>或裁定认定</w:t>
      </w:r>
      <w:r>
        <w:rPr>
          <w:rFonts w:hint="eastAsia"/>
          <w:color w:val="auto"/>
          <w:sz w:val="24"/>
          <w:highlight w:val="none"/>
        </w:rPr>
        <w:t>为行贿犯罪（包括行贿罪、单位行贿罪、对单位行贿罪、介绍贿赂罪等）。若在中标合同签订之前发现我单位或承诺人员在上述期间存在行贿犯罪的，可取消我单位中标候选人或中标人资格。若在合同执行期间发现我单位或承诺人员在上述期间存在行贿犯罪的，可从合同款或履约保证金中扣除签约合同价的</w:t>
      </w:r>
      <w:r>
        <w:rPr>
          <w:color w:val="auto"/>
          <w:sz w:val="24"/>
          <w:highlight w:val="none"/>
          <w:u w:val="single"/>
        </w:rPr>
        <w:t xml:space="preserve">    </w:t>
      </w:r>
      <w:r>
        <w:rPr>
          <w:rFonts w:hint="eastAsia"/>
          <w:color w:val="auto"/>
          <w:sz w:val="24"/>
          <w:highlight w:val="none"/>
          <w:u w:val="single"/>
        </w:rPr>
        <w:t>%</w:t>
      </w:r>
      <w:r>
        <w:rPr>
          <w:rStyle w:val="58"/>
          <w:color w:val="auto"/>
          <w:sz w:val="24"/>
          <w:highlight w:val="none"/>
        </w:rPr>
        <w:footnoteReference w:id="145"/>
      </w:r>
      <w:r>
        <w:rPr>
          <w:rFonts w:hint="eastAsia"/>
          <w:color w:val="auto"/>
          <w:sz w:val="24"/>
          <w:highlight w:val="none"/>
        </w:rPr>
        <w:t>作为违约金。</w:t>
      </w:r>
      <w:bookmarkEnd w:id="757"/>
      <w:bookmarkEnd w:id="758"/>
      <w:bookmarkEnd w:id="759"/>
      <w:bookmarkEnd w:id="760"/>
      <w:bookmarkEnd w:id="761"/>
      <w:bookmarkEnd w:id="762"/>
      <w:bookmarkEnd w:id="763"/>
    </w:p>
    <w:p w14:paraId="0611DC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021E05FA">
      <w:pPr>
        <w:spacing w:line="360" w:lineRule="auto"/>
        <w:ind w:firstLine="420" w:firstLineChars="200"/>
        <w:rPr>
          <w:rFonts w:ascii="宋体" w:hAnsi="宋体" w:cs="宋体"/>
          <w:color w:val="auto"/>
          <w:highlight w:val="none"/>
        </w:rPr>
      </w:pPr>
    </w:p>
    <w:p w14:paraId="10D67EFB">
      <w:pPr>
        <w:spacing w:line="360" w:lineRule="auto"/>
        <w:ind w:firstLine="420" w:firstLineChars="200"/>
        <w:rPr>
          <w:rFonts w:ascii="宋体" w:hAnsi="宋体" w:cs="宋体"/>
          <w:color w:val="auto"/>
          <w:highlight w:val="none"/>
        </w:rPr>
      </w:pPr>
    </w:p>
    <w:p w14:paraId="089C1256">
      <w:pPr>
        <w:spacing w:line="360" w:lineRule="auto"/>
        <w:ind w:firstLine="420" w:firstLineChars="200"/>
        <w:rPr>
          <w:rFonts w:ascii="宋体" w:hAnsi="宋体" w:cs="宋体"/>
          <w:color w:val="auto"/>
          <w:highlight w:val="none"/>
        </w:rPr>
      </w:pPr>
    </w:p>
    <w:p w14:paraId="43BF8C81">
      <w:pPr>
        <w:pStyle w:val="26"/>
        <w:spacing w:line="360" w:lineRule="auto"/>
        <w:ind w:firstLine="1200" w:firstLineChars="500"/>
        <w:rPr>
          <w:rFonts w:hAnsi="宋体" w:cs="宋体"/>
          <w:color w:val="auto"/>
          <w:sz w:val="24"/>
          <w:szCs w:val="24"/>
          <w:highlight w:val="none"/>
          <w:u w:val="single"/>
        </w:rPr>
      </w:pPr>
      <w:r>
        <w:rPr>
          <w:rFonts w:hint="eastAsia" w:hAnsi="宋体" w:cs="宋体"/>
          <w:color w:val="auto"/>
          <w:sz w:val="24"/>
          <w:szCs w:val="24"/>
          <w:highlight w:val="none"/>
        </w:rPr>
        <w:t>投标人：</w:t>
      </w:r>
      <w:r>
        <w:rPr>
          <w:rFonts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Ansi="宋体" w:cs="宋体"/>
          <w:color w:val="auto"/>
          <w:sz w:val="24"/>
          <w:szCs w:val="24"/>
          <w:highlight w:val="none"/>
          <w:u w:val="single"/>
        </w:rPr>
        <w:t xml:space="preserve">      </w:t>
      </w:r>
      <w:r>
        <w:rPr>
          <w:rFonts w:hAnsi="宋体" w:cs="宋体"/>
          <w:color w:val="auto"/>
          <w:sz w:val="24"/>
          <w:szCs w:val="24"/>
          <w:highlight w:val="none"/>
          <w:u w:val="none"/>
        </w:rPr>
        <w:t>（</w:t>
      </w:r>
      <w:r>
        <w:rPr>
          <w:rFonts w:hint="eastAsia" w:hAnsi="宋体" w:cs="宋体"/>
          <w:color w:val="auto"/>
          <w:sz w:val="24"/>
          <w:szCs w:val="24"/>
          <w:highlight w:val="none"/>
        </w:rPr>
        <w:t>盖单位电子印章）</w:t>
      </w:r>
      <w:r>
        <w:rPr>
          <w:rStyle w:val="58"/>
          <w:rFonts w:hAnsi="宋体" w:cs="宋体"/>
          <w:color w:val="auto"/>
          <w:sz w:val="24"/>
          <w:szCs w:val="24"/>
          <w:highlight w:val="none"/>
        </w:rPr>
        <w:footnoteReference w:id="146"/>
      </w:r>
    </w:p>
    <w:p w14:paraId="54592435">
      <w:pPr>
        <w:spacing w:line="360" w:lineRule="auto"/>
        <w:ind w:firstLine="1200" w:firstLineChars="500"/>
        <w:rPr>
          <w:rFonts w:ascii="宋体" w:hAnsi="宋体" w:cs="宋体"/>
          <w:color w:val="auto"/>
          <w:sz w:val="24"/>
          <w:highlight w:val="none"/>
        </w:rPr>
      </w:pPr>
      <w:r>
        <w:rPr>
          <w:rFonts w:hint="eastAsia" w:ascii="宋体" w:hAnsi="宋体" w:cs="宋体"/>
          <w:color w:val="auto"/>
          <w:sz w:val="24"/>
          <w:highlight w:val="none"/>
        </w:rPr>
        <w:t>法定代表人</w:t>
      </w:r>
    </w:p>
    <w:p w14:paraId="49605D98">
      <w:pPr>
        <w:pStyle w:val="26"/>
        <w:spacing w:line="360" w:lineRule="auto"/>
        <w:ind w:firstLine="1200" w:firstLineChars="500"/>
        <w:rPr>
          <w:rFonts w:hint="eastAsia" w:hAnsi="宋体" w:cs="宋体"/>
          <w:color w:val="auto"/>
          <w:sz w:val="24"/>
          <w:highlight w:val="none"/>
        </w:rPr>
      </w:pPr>
      <w:r>
        <w:rPr>
          <w:rFonts w:hint="eastAsia" w:hAnsi="宋体" w:cs="宋体"/>
          <w:color w:val="auto"/>
          <w:sz w:val="24"/>
          <w:highlight w:val="none"/>
        </w:rPr>
        <w:t>或委托代理人：</w:t>
      </w:r>
      <w:r>
        <w:rPr>
          <w:rFonts w:hint="eastAsia" w:hAnsi="宋体" w:cs="宋体"/>
          <w:color w:val="auto"/>
          <w:sz w:val="24"/>
          <w:highlight w:val="none"/>
          <w:u w:val="single"/>
        </w:rPr>
        <w:t>（职务、姓名）</w:t>
      </w:r>
      <w:r>
        <w:rPr>
          <w:rFonts w:hAnsi="宋体" w:cs="宋体"/>
          <w:color w:val="auto"/>
          <w:sz w:val="24"/>
          <w:highlight w:val="none"/>
          <w:u w:val="single"/>
        </w:rPr>
        <w:t xml:space="preserve"> </w:t>
      </w:r>
      <w:r>
        <w:rPr>
          <w:rFonts w:hint="eastAsia" w:hAnsi="宋体" w:cs="宋体"/>
          <w:color w:val="auto"/>
          <w:sz w:val="24"/>
          <w:highlight w:val="none"/>
        </w:rPr>
        <w:t>（个人电子签名章或</w:t>
      </w:r>
      <w:r>
        <w:rPr>
          <w:rFonts w:hAnsi="宋体" w:cs="宋体"/>
          <w:color w:val="auto"/>
          <w:sz w:val="24"/>
          <w:highlight w:val="none"/>
        </w:rPr>
        <w:t>个人电子印章</w:t>
      </w:r>
      <w:r>
        <w:rPr>
          <w:rFonts w:hint="eastAsia" w:hAnsi="宋体" w:cs="宋体"/>
          <w:color w:val="auto"/>
          <w:sz w:val="24"/>
          <w:highlight w:val="none"/>
        </w:rPr>
        <w:t>）</w:t>
      </w:r>
      <w:r>
        <w:rPr>
          <w:rStyle w:val="58"/>
          <w:rFonts w:hAnsi="宋体" w:cs="宋体"/>
          <w:color w:val="auto"/>
          <w:sz w:val="24"/>
          <w:highlight w:val="none"/>
        </w:rPr>
        <w:footnoteReference w:id="147"/>
      </w:r>
    </w:p>
    <w:p w14:paraId="4AE6AB26">
      <w:pPr>
        <w:pStyle w:val="26"/>
        <w:spacing w:line="360" w:lineRule="auto"/>
        <w:ind w:firstLine="5040" w:firstLineChars="2100"/>
        <w:rPr>
          <w:rFonts w:hint="eastAsia" w:hAnsi="宋体" w:cs="宋体"/>
          <w:color w:val="auto"/>
          <w:sz w:val="24"/>
          <w:highlight w:val="none"/>
        </w:rPr>
      </w:pP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年</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月</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日</w:t>
      </w:r>
    </w:p>
    <w:p w14:paraId="26A0AB4B">
      <w:pPr>
        <w:pStyle w:val="5"/>
        <w:spacing w:line="240" w:lineRule="auto"/>
        <w:jc w:val="center"/>
        <w:rPr>
          <w:rFonts w:hint="eastAsia" w:ascii="黑体" w:hAnsi="黑体" w:eastAsia="黑体" w:cs="宋体"/>
          <w:b w:val="0"/>
          <w:color w:val="auto"/>
          <w:highlight w:val="none"/>
        </w:rPr>
        <w:sectPr>
          <w:footnotePr>
            <w:numFmt w:val="decimalEnclosedCircleChinese"/>
            <w:numRestart w:val="eachPage"/>
          </w:footnotePr>
          <w:pgSz w:w="11907" w:h="16839"/>
          <w:pgMar w:top="1418" w:right="1418" w:bottom="1418" w:left="1701" w:header="720" w:footer="720" w:gutter="0"/>
          <w:cols w:space="720" w:num="1"/>
          <w:docGrid w:linePitch="286" w:charSpace="0"/>
        </w:sectPr>
      </w:pPr>
      <w:bookmarkStart w:id="766" w:name="_Toc74760939"/>
    </w:p>
    <w:p w14:paraId="09298E1C">
      <w:pPr>
        <w:pStyle w:val="6"/>
        <w:ind w:firstLine="4760" w:firstLineChars="1700"/>
        <w:rPr>
          <w:b w:val="0"/>
          <w:bCs w:val="0"/>
        </w:rPr>
      </w:pPr>
      <w:r>
        <w:rPr>
          <w:rFonts w:hint="eastAsia"/>
          <w:b w:val="0"/>
          <w:bCs w:val="0"/>
        </w:rPr>
        <w:t>（四）拟委任的主要人员</w:t>
      </w:r>
      <w:r>
        <w:rPr>
          <w:rFonts w:hint="eastAsia"/>
          <w:b w:val="0"/>
          <w:bCs w:val="0"/>
          <w:lang w:val="en-US" w:eastAsia="zh-CN"/>
        </w:rPr>
        <w:t>资历</w:t>
      </w:r>
      <w:r>
        <w:rPr>
          <w:rFonts w:hint="eastAsia"/>
          <w:b w:val="0"/>
          <w:bCs w:val="0"/>
        </w:rPr>
        <w:t>表</w:t>
      </w:r>
      <w:bookmarkEnd w:id="766"/>
      <w:r>
        <w:rPr>
          <w:rStyle w:val="58"/>
          <w:rFonts w:hint="eastAsia" w:ascii="黑体" w:hAnsi="黑体" w:eastAsia="黑体" w:cs="黑体"/>
          <w:b w:val="0"/>
          <w:bCs w:val="0"/>
          <w:color w:val="auto"/>
          <w:szCs w:val="28"/>
          <w:highlight w:val="none"/>
        </w:rPr>
        <w:footnoteReference w:id="148"/>
      </w:r>
    </w:p>
    <w:p w14:paraId="1DB63654">
      <w:pPr>
        <w:pStyle w:val="43"/>
        <w:shd w:val="clear" w:color="auto" w:fill="FFFFFF"/>
        <w:spacing w:line="240" w:lineRule="auto"/>
        <w:jc w:val="center"/>
        <w:rPr>
          <w:rFonts w:ascii="黑体" w:hAnsi="黑体" w:eastAsia="黑体" w:cs="宋体"/>
          <w:bCs/>
          <w:color w:val="auto"/>
          <w:highlight w:val="none"/>
        </w:rPr>
      </w:pPr>
      <w:r>
        <w:rPr>
          <w:rFonts w:ascii="黑体" w:hAnsi="黑体" w:eastAsia="黑体" w:cs="宋体"/>
          <w:bCs/>
          <w:color w:val="auto"/>
          <w:highlight w:val="none"/>
        </w:rPr>
        <w:t xml:space="preserve">                                           </w:t>
      </w:r>
      <w:r>
        <w:rPr>
          <w:rFonts w:hint="eastAsia" w:ascii="黑体" w:hAnsi="黑体" w:eastAsia="黑体" w:cs="宋体"/>
          <w:b/>
          <w:bCs w:val="0"/>
          <w:color w:val="auto"/>
          <w:highlight w:val="none"/>
        </w:rPr>
        <w:t>□</w:t>
      </w:r>
      <w:r>
        <w:rPr>
          <w:rFonts w:ascii="黑体" w:hAnsi="黑体" w:eastAsia="黑体" w:cs="宋体"/>
          <w:bCs/>
          <w:color w:val="auto"/>
          <w:highlight w:val="none"/>
        </w:rPr>
        <w:t xml:space="preserve"> 试验室主任资历</w:t>
      </w:r>
      <w:r>
        <w:rPr>
          <w:rFonts w:hint="eastAsia" w:ascii="黑体" w:hAnsi="黑体" w:eastAsia="黑体" w:cs="宋体"/>
          <w:bCs/>
          <w:color w:val="auto"/>
          <w:highlight w:val="none"/>
          <w:lang w:val="en-US" w:eastAsia="zh-CN"/>
        </w:rPr>
        <w:t xml:space="preserve">表    </w:t>
      </w:r>
      <w:r>
        <w:rPr>
          <w:rFonts w:ascii="黑体" w:hAnsi="黑体" w:eastAsia="黑体" w:cs="宋体"/>
          <w:bCs/>
          <w:color w:val="auto"/>
          <w:highlight w:val="none"/>
        </w:rPr>
        <w:t xml:space="preserve">                                     </w:t>
      </w:r>
      <w:r>
        <w:rPr>
          <w:rFonts w:hint="eastAsia" w:ascii="黑体" w:hAnsi="黑体" w:eastAsia="黑体" w:cs="宋体"/>
          <w:bCs/>
          <w:color w:val="auto"/>
          <w:highlight w:val="none"/>
        </w:rPr>
        <w:t>表</w:t>
      </w:r>
      <w:r>
        <w:rPr>
          <w:rFonts w:hint="eastAsia" w:ascii="黑体" w:hAnsi="黑体" w:eastAsia="黑体" w:cs="宋体"/>
          <w:bCs/>
          <w:color w:val="auto"/>
          <w:highlight w:val="none"/>
          <w:lang w:val="en-US" w:eastAsia="zh-CN"/>
        </w:rPr>
        <w:t>4.</w:t>
      </w:r>
      <w:r>
        <w:rPr>
          <w:rFonts w:ascii="黑体" w:hAnsi="黑体" w:eastAsia="黑体" w:cs="宋体"/>
          <w:bCs/>
          <w:color w:val="auto"/>
          <w:highlight w:val="none"/>
        </w:rPr>
        <w:t>1</w:t>
      </w:r>
    </w:p>
    <w:tbl>
      <w:tblPr>
        <w:tblStyle w:val="48"/>
        <w:tblW w:w="13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2940"/>
        <w:gridCol w:w="1123"/>
        <w:gridCol w:w="701"/>
        <w:gridCol w:w="634"/>
        <w:gridCol w:w="768"/>
        <w:gridCol w:w="1806"/>
        <w:gridCol w:w="13"/>
        <w:gridCol w:w="2386"/>
        <w:gridCol w:w="1330"/>
      </w:tblGrid>
      <w:tr w14:paraId="749AC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2469" w:type="dxa"/>
            <w:gridSpan w:val="9"/>
            <w:vAlign w:val="center"/>
          </w:tcPr>
          <w:p w14:paraId="07A1D009">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基本信息</w:t>
            </w:r>
          </w:p>
        </w:tc>
        <w:tc>
          <w:tcPr>
            <w:tcW w:w="1330" w:type="dxa"/>
            <w:vAlign w:val="center"/>
          </w:tcPr>
          <w:p w14:paraId="14E7D883">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基本信息附件</w:t>
            </w:r>
          </w:p>
        </w:tc>
      </w:tr>
      <w:tr w14:paraId="2714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98" w:type="dxa"/>
            <w:vAlign w:val="center"/>
          </w:tcPr>
          <w:p w14:paraId="24B2055A">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姓名</w:t>
            </w:r>
          </w:p>
        </w:tc>
        <w:tc>
          <w:tcPr>
            <w:tcW w:w="4063" w:type="dxa"/>
            <w:gridSpan w:val="2"/>
            <w:vAlign w:val="center"/>
          </w:tcPr>
          <w:p w14:paraId="6FE73FC8">
            <w:pPr>
              <w:widowControl/>
              <w:jc w:val="center"/>
              <w:rPr>
                <w:rFonts w:ascii="宋体" w:hAnsi="宋体" w:cs="宋体"/>
                <w:bCs/>
                <w:color w:val="auto"/>
                <w:kern w:val="0"/>
                <w:sz w:val="18"/>
                <w:szCs w:val="18"/>
                <w:highlight w:val="none"/>
              </w:rPr>
            </w:pPr>
          </w:p>
        </w:tc>
        <w:tc>
          <w:tcPr>
            <w:tcW w:w="701" w:type="dxa"/>
            <w:vAlign w:val="center"/>
          </w:tcPr>
          <w:p w14:paraId="21898CCB">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年龄</w:t>
            </w:r>
          </w:p>
        </w:tc>
        <w:tc>
          <w:tcPr>
            <w:tcW w:w="1402" w:type="dxa"/>
            <w:gridSpan w:val="2"/>
            <w:vAlign w:val="center"/>
          </w:tcPr>
          <w:p w14:paraId="42FCF342">
            <w:pPr>
              <w:widowControl/>
              <w:jc w:val="center"/>
              <w:rPr>
                <w:rFonts w:ascii="宋体" w:hAnsi="宋体" w:cs="宋体"/>
                <w:bCs/>
                <w:color w:val="auto"/>
                <w:kern w:val="0"/>
                <w:sz w:val="18"/>
                <w:szCs w:val="18"/>
                <w:highlight w:val="none"/>
              </w:rPr>
            </w:pPr>
          </w:p>
        </w:tc>
        <w:tc>
          <w:tcPr>
            <w:tcW w:w="1819" w:type="dxa"/>
            <w:gridSpan w:val="2"/>
            <w:vAlign w:val="center"/>
          </w:tcPr>
          <w:p w14:paraId="610F4EB4">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身份证号码</w:t>
            </w:r>
          </w:p>
        </w:tc>
        <w:tc>
          <w:tcPr>
            <w:tcW w:w="2386" w:type="dxa"/>
            <w:vAlign w:val="center"/>
          </w:tcPr>
          <w:p w14:paraId="65B1C569">
            <w:pPr>
              <w:widowControl/>
              <w:jc w:val="center"/>
              <w:rPr>
                <w:rFonts w:ascii="宋体" w:hAnsi="宋体" w:cs="宋体"/>
                <w:bCs/>
                <w:color w:val="auto"/>
                <w:kern w:val="0"/>
                <w:sz w:val="18"/>
                <w:szCs w:val="18"/>
                <w:highlight w:val="none"/>
              </w:rPr>
            </w:pPr>
          </w:p>
        </w:tc>
        <w:tc>
          <w:tcPr>
            <w:tcW w:w="1330" w:type="dxa"/>
            <w:vAlign w:val="center"/>
          </w:tcPr>
          <w:p w14:paraId="03266C03">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附件</w:t>
            </w:r>
            <w:r>
              <w:rPr>
                <w:rFonts w:ascii="宋体" w:hAnsi="宋体" w:cs="宋体"/>
                <w:bCs/>
                <w:color w:val="auto"/>
                <w:kern w:val="0"/>
                <w:sz w:val="18"/>
                <w:szCs w:val="18"/>
                <w:highlight w:val="none"/>
              </w:rPr>
              <w:t>B1.1</w:t>
            </w:r>
          </w:p>
        </w:tc>
      </w:tr>
      <w:tr w14:paraId="121F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098" w:type="dxa"/>
            <w:vAlign w:val="center"/>
          </w:tcPr>
          <w:p w14:paraId="10EA9F68">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技术职称</w:t>
            </w:r>
          </w:p>
        </w:tc>
        <w:tc>
          <w:tcPr>
            <w:tcW w:w="4063" w:type="dxa"/>
            <w:gridSpan w:val="2"/>
            <w:vAlign w:val="center"/>
          </w:tcPr>
          <w:p w14:paraId="26B5E541">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□工程师</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□高级工程师</w:t>
            </w:r>
            <w:r>
              <w:rPr>
                <w:rFonts w:ascii="宋体" w:hAnsi="宋体" w:cs="宋体"/>
                <w:color w:val="auto"/>
                <w:kern w:val="0"/>
                <w:sz w:val="18"/>
                <w:szCs w:val="18"/>
                <w:highlight w:val="none"/>
              </w:rPr>
              <w:t xml:space="preserve">  </w:t>
            </w:r>
          </w:p>
          <w:p w14:paraId="1F0B2842">
            <w:pPr>
              <w:widowControl/>
              <w:jc w:val="left"/>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□正（教授级或研究员级）高级工程师</w:t>
            </w:r>
          </w:p>
        </w:tc>
        <w:tc>
          <w:tcPr>
            <w:tcW w:w="701" w:type="dxa"/>
            <w:vAlign w:val="center"/>
          </w:tcPr>
          <w:p w14:paraId="317A3A37">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专业</w:t>
            </w:r>
          </w:p>
        </w:tc>
        <w:tc>
          <w:tcPr>
            <w:tcW w:w="1402" w:type="dxa"/>
            <w:gridSpan w:val="2"/>
            <w:vAlign w:val="center"/>
          </w:tcPr>
          <w:p w14:paraId="6C7C5193">
            <w:pPr>
              <w:widowControl/>
              <w:jc w:val="center"/>
              <w:rPr>
                <w:rFonts w:ascii="宋体" w:hAnsi="宋体" w:cs="宋体"/>
                <w:bCs/>
                <w:color w:val="auto"/>
                <w:kern w:val="0"/>
                <w:sz w:val="18"/>
                <w:szCs w:val="18"/>
                <w:highlight w:val="none"/>
              </w:rPr>
            </w:pPr>
          </w:p>
        </w:tc>
        <w:tc>
          <w:tcPr>
            <w:tcW w:w="1819" w:type="dxa"/>
            <w:gridSpan w:val="2"/>
            <w:vAlign w:val="center"/>
          </w:tcPr>
          <w:p w14:paraId="266C7857">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证书编号</w:t>
            </w:r>
          </w:p>
        </w:tc>
        <w:tc>
          <w:tcPr>
            <w:tcW w:w="2386" w:type="dxa"/>
            <w:vAlign w:val="center"/>
          </w:tcPr>
          <w:p w14:paraId="798BAB14">
            <w:pPr>
              <w:widowControl/>
              <w:jc w:val="center"/>
              <w:rPr>
                <w:rFonts w:ascii="宋体" w:hAnsi="宋体" w:cs="宋体"/>
                <w:bCs/>
                <w:color w:val="auto"/>
                <w:kern w:val="0"/>
                <w:sz w:val="18"/>
                <w:szCs w:val="18"/>
                <w:highlight w:val="none"/>
              </w:rPr>
            </w:pPr>
          </w:p>
        </w:tc>
        <w:tc>
          <w:tcPr>
            <w:tcW w:w="1330" w:type="dxa"/>
            <w:vAlign w:val="center"/>
          </w:tcPr>
          <w:p w14:paraId="5FF5E8BE">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附件</w:t>
            </w:r>
            <w:r>
              <w:rPr>
                <w:rFonts w:ascii="宋体" w:hAnsi="宋体" w:cs="宋体"/>
                <w:bCs/>
                <w:color w:val="auto"/>
                <w:kern w:val="0"/>
                <w:sz w:val="18"/>
                <w:szCs w:val="18"/>
                <w:highlight w:val="none"/>
              </w:rPr>
              <w:t>B1.2</w:t>
            </w:r>
          </w:p>
        </w:tc>
      </w:tr>
      <w:tr w14:paraId="50B7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098" w:type="dxa"/>
            <w:vAlign w:val="center"/>
          </w:tcPr>
          <w:p w14:paraId="68FDB23D">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执业资格证书</w:t>
            </w:r>
          </w:p>
        </w:tc>
        <w:tc>
          <w:tcPr>
            <w:tcW w:w="6166" w:type="dxa"/>
            <w:gridSpan w:val="5"/>
            <w:vAlign w:val="center"/>
          </w:tcPr>
          <w:p w14:paraId="080A2BCE">
            <w:pPr>
              <w:widowControl/>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□试验检测工程师</w:t>
            </w:r>
            <w:r>
              <w:rPr>
                <w:rStyle w:val="58"/>
                <w:rFonts w:ascii="宋体" w:hAnsi="宋体" w:cs="宋体"/>
                <w:color w:val="auto"/>
                <w:szCs w:val="21"/>
                <w:highlight w:val="none"/>
              </w:rPr>
              <w:footnoteReference w:id="149"/>
            </w:r>
            <w:r>
              <w:rPr>
                <w:rFonts w:ascii="宋体" w:hAnsi="宋体" w:cs="宋体"/>
                <w:color w:val="auto"/>
                <w:kern w:val="0"/>
                <w:sz w:val="18"/>
                <w:szCs w:val="18"/>
                <w:highlight w:val="none"/>
              </w:rPr>
              <w:t xml:space="preserve">      □其他：</w:t>
            </w:r>
            <w:r>
              <w:rPr>
                <w:rFonts w:ascii="宋体" w:hAnsi="宋体" w:cs="宋体"/>
                <w:color w:val="auto"/>
                <w:kern w:val="0"/>
                <w:sz w:val="18"/>
                <w:szCs w:val="18"/>
                <w:highlight w:val="none"/>
                <w:u w:val="single"/>
              </w:rPr>
              <w:t xml:space="preserve">       </w:t>
            </w:r>
          </w:p>
        </w:tc>
        <w:tc>
          <w:tcPr>
            <w:tcW w:w="1819" w:type="dxa"/>
            <w:gridSpan w:val="2"/>
            <w:vAlign w:val="center"/>
          </w:tcPr>
          <w:p w14:paraId="46C34DD0">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证书编号</w:t>
            </w:r>
          </w:p>
        </w:tc>
        <w:tc>
          <w:tcPr>
            <w:tcW w:w="2386" w:type="dxa"/>
            <w:vAlign w:val="center"/>
          </w:tcPr>
          <w:p w14:paraId="4012F92D">
            <w:pPr>
              <w:widowControl/>
              <w:jc w:val="center"/>
              <w:rPr>
                <w:rFonts w:ascii="宋体" w:hAnsi="宋体" w:cs="宋体"/>
                <w:bCs/>
                <w:color w:val="auto"/>
                <w:kern w:val="0"/>
                <w:sz w:val="18"/>
                <w:szCs w:val="18"/>
                <w:highlight w:val="none"/>
              </w:rPr>
            </w:pPr>
          </w:p>
        </w:tc>
        <w:tc>
          <w:tcPr>
            <w:tcW w:w="1330" w:type="dxa"/>
            <w:vAlign w:val="center"/>
          </w:tcPr>
          <w:p w14:paraId="23F19783">
            <w:pPr>
              <w:widowControl/>
              <w:jc w:val="center"/>
              <w:rPr>
                <w:rFonts w:ascii="宋体" w:hAnsi="宋体" w:cs="宋体"/>
                <w:bCs/>
                <w:color w:val="auto"/>
                <w:kern w:val="0"/>
                <w:sz w:val="18"/>
                <w:szCs w:val="18"/>
                <w:highlight w:val="none"/>
              </w:rPr>
            </w:pPr>
            <w:bookmarkStart w:id="767" w:name="_Toc523921870"/>
            <w:r>
              <w:rPr>
                <w:rFonts w:hint="eastAsia" w:ascii="宋体" w:hAnsi="宋体" w:cs="宋体"/>
                <w:bCs/>
                <w:color w:val="auto"/>
                <w:kern w:val="0"/>
                <w:sz w:val="18"/>
                <w:szCs w:val="18"/>
                <w:highlight w:val="none"/>
              </w:rPr>
              <w:t>附件</w:t>
            </w:r>
            <w:r>
              <w:rPr>
                <w:rFonts w:ascii="宋体" w:hAnsi="宋体" w:cs="宋体"/>
                <w:bCs/>
                <w:color w:val="auto"/>
                <w:kern w:val="0"/>
                <w:sz w:val="18"/>
                <w:szCs w:val="18"/>
                <w:highlight w:val="none"/>
              </w:rPr>
              <w:t>B1.3</w:t>
            </w:r>
          </w:p>
        </w:tc>
      </w:tr>
      <w:tr w14:paraId="3823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98" w:type="dxa"/>
            <w:vAlign w:val="center"/>
          </w:tcPr>
          <w:p w14:paraId="021C9929">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是否要求提供社保资料</w:t>
            </w:r>
          </w:p>
        </w:tc>
        <w:tc>
          <w:tcPr>
            <w:tcW w:w="4063" w:type="dxa"/>
            <w:gridSpan w:val="2"/>
            <w:vAlign w:val="center"/>
          </w:tcPr>
          <w:p w14:paraId="59F9EACA">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□是</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□否</w:t>
            </w:r>
          </w:p>
        </w:tc>
        <w:tc>
          <w:tcPr>
            <w:tcW w:w="2103" w:type="dxa"/>
            <w:gridSpan w:val="3"/>
            <w:vAlign w:val="center"/>
          </w:tcPr>
          <w:p w14:paraId="56C30AB4">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提供社保时间段</w:t>
            </w:r>
          </w:p>
        </w:tc>
        <w:tc>
          <w:tcPr>
            <w:tcW w:w="4205" w:type="dxa"/>
            <w:gridSpan w:val="3"/>
            <w:vAlign w:val="center"/>
          </w:tcPr>
          <w:p w14:paraId="485AAEBA">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年</w:t>
            </w:r>
            <w:r>
              <w:rPr>
                <w:rFonts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月</w:t>
            </w:r>
            <w:r>
              <w:rPr>
                <w:rFonts w:ascii="宋体" w:hAnsi="宋体" w:cs="宋体"/>
                <w:bCs/>
                <w:color w:val="auto"/>
                <w:kern w:val="0"/>
                <w:sz w:val="18"/>
                <w:szCs w:val="18"/>
                <w:highlight w:val="none"/>
              </w:rPr>
              <w:t xml:space="preserve"> </w:t>
            </w:r>
            <w:r>
              <w:rPr>
                <w:rFonts w:hint="eastAsia" w:ascii="宋体" w:hAnsi="宋体" w:cs="宋体"/>
                <w:bCs/>
                <w:color w:val="auto"/>
                <w:kern w:val="0"/>
                <w:sz w:val="18"/>
                <w:szCs w:val="18"/>
                <w:highlight w:val="none"/>
              </w:rPr>
              <w:t>～</w:t>
            </w:r>
            <w:r>
              <w:rPr>
                <w:rFonts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年</w:t>
            </w:r>
            <w:r>
              <w:rPr>
                <w:rFonts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月</w:t>
            </w:r>
          </w:p>
        </w:tc>
        <w:tc>
          <w:tcPr>
            <w:tcW w:w="1330" w:type="dxa"/>
            <w:vAlign w:val="center"/>
          </w:tcPr>
          <w:p w14:paraId="6A28EA96">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附件</w:t>
            </w:r>
            <w:r>
              <w:rPr>
                <w:rFonts w:ascii="宋体" w:hAnsi="宋体" w:cs="宋体"/>
                <w:color w:val="auto"/>
                <w:kern w:val="0"/>
                <w:sz w:val="18"/>
                <w:szCs w:val="18"/>
                <w:highlight w:val="none"/>
              </w:rPr>
              <w:t>B1.4</w:t>
            </w:r>
          </w:p>
        </w:tc>
      </w:tr>
      <w:tr w14:paraId="18CE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98" w:type="dxa"/>
            <w:vAlign w:val="center"/>
          </w:tcPr>
          <w:p w14:paraId="28FA38B1">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是否在岗</w:t>
            </w:r>
          </w:p>
        </w:tc>
        <w:tc>
          <w:tcPr>
            <w:tcW w:w="10371" w:type="dxa"/>
            <w:gridSpan w:val="8"/>
            <w:vAlign w:val="center"/>
          </w:tcPr>
          <w:p w14:paraId="120E104D">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□是</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□否</w:t>
            </w:r>
          </w:p>
        </w:tc>
        <w:tc>
          <w:tcPr>
            <w:tcW w:w="1330" w:type="dxa"/>
            <w:vAlign w:val="center"/>
          </w:tcPr>
          <w:p w14:paraId="2515880B">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承诺</w:t>
            </w:r>
            <w:r>
              <w:rPr>
                <w:rFonts w:ascii="宋体" w:hAnsi="宋体" w:cs="宋体"/>
                <w:color w:val="auto"/>
                <w:kern w:val="0"/>
                <w:sz w:val="18"/>
                <w:szCs w:val="18"/>
                <w:highlight w:val="none"/>
              </w:rPr>
              <w:t>见投标函</w:t>
            </w:r>
          </w:p>
        </w:tc>
      </w:tr>
      <w:tr w14:paraId="78A2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3799" w:type="dxa"/>
            <w:gridSpan w:val="10"/>
            <w:vAlign w:val="center"/>
          </w:tcPr>
          <w:p w14:paraId="269211BE">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担任资格审查要求职务完成业绩情况（如有）</w:t>
            </w:r>
          </w:p>
        </w:tc>
      </w:tr>
      <w:tr w14:paraId="1B7D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98" w:type="dxa"/>
            <w:vAlign w:val="center"/>
          </w:tcPr>
          <w:p w14:paraId="51C30BC4">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项目业主</w:t>
            </w:r>
          </w:p>
        </w:tc>
        <w:tc>
          <w:tcPr>
            <w:tcW w:w="2940" w:type="dxa"/>
            <w:vAlign w:val="center"/>
          </w:tcPr>
          <w:p w14:paraId="777AA9FA">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项目名称</w:t>
            </w:r>
          </w:p>
        </w:tc>
        <w:tc>
          <w:tcPr>
            <w:tcW w:w="1123" w:type="dxa"/>
            <w:vAlign w:val="center"/>
          </w:tcPr>
          <w:p w14:paraId="447C4F17">
            <w:pPr>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公路等级</w:t>
            </w:r>
          </w:p>
        </w:tc>
        <w:tc>
          <w:tcPr>
            <w:tcW w:w="1335" w:type="dxa"/>
            <w:gridSpan w:val="2"/>
            <w:vAlign w:val="center"/>
          </w:tcPr>
          <w:p w14:paraId="079D8A9A">
            <w:pPr>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标段号</w:t>
            </w:r>
          </w:p>
        </w:tc>
        <w:tc>
          <w:tcPr>
            <w:tcW w:w="2574" w:type="dxa"/>
            <w:gridSpan w:val="2"/>
            <w:vAlign w:val="center"/>
          </w:tcPr>
          <w:p w14:paraId="2E3CB634">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试验室主任</w:t>
            </w:r>
            <w:r>
              <w:rPr>
                <w:rFonts w:ascii="宋体" w:hAnsi="宋体" w:cs="宋体"/>
                <w:bCs/>
                <w:color w:val="auto"/>
                <w:kern w:val="0"/>
                <w:sz w:val="18"/>
                <w:szCs w:val="18"/>
                <w:highlight w:val="none"/>
              </w:rPr>
              <w:t>/技术负责人</w:t>
            </w:r>
          </w:p>
        </w:tc>
        <w:tc>
          <w:tcPr>
            <w:tcW w:w="2399" w:type="dxa"/>
            <w:gridSpan w:val="2"/>
            <w:vAlign w:val="center"/>
          </w:tcPr>
          <w:p w14:paraId="3D813F65">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承担标段路线长度（</w:t>
            </w:r>
            <w:r>
              <w:rPr>
                <w:rFonts w:ascii="宋体" w:hAnsi="宋体" w:cs="宋体"/>
                <w:bCs/>
                <w:color w:val="auto"/>
                <w:kern w:val="0"/>
                <w:sz w:val="18"/>
                <w:szCs w:val="18"/>
                <w:highlight w:val="none"/>
              </w:rPr>
              <w:t>km）</w:t>
            </w:r>
          </w:p>
        </w:tc>
        <w:tc>
          <w:tcPr>
            <w:tcW w:w="1330" w:type="dxa"/>
            <w:vAlign w:val="center"/>
          </w:tcPr>
          <w:p w14:paraId="49E96EFB">
            <w:pPr>
              <w:widowControl/>
              <w:jc w:val="center"/>
              <w:rPr>
                <w:rFonts w:ascii="宋体" w:hAnsi="宋体" w:cs="宋体"/>
                <w:b/>
                <w:bCs/>
                <w:color w:val="auto"/>
                <w:kern w:val="0"/>
                <w:sz w:val="18"/>
                <w:szCs w:val="18"/>
                <w:highlight w:val="none"/>
              </w:rPr>
            </w:pPr>
            <w:r>
              <w:rPr>
                <w:rFonts w:hint="eastAsia" w:ascii="宋体" w:hAnsi="宋体" w:cs="宋体"/>
                <w:bCs/>
                <w:color w:val="auto"/>
                <w:kern w:val="0"/>
                <w:sz w:val="18"/>
                <w:szCs w:val="18"/>
                <w:highlight w:val="none"/>
              </w:rPr>
              <w:t>业绩情况附件</w:t>
            </w:r>
          </w:p>
        </w:tc>
      </w:tr>
      <w:tr w14:paraId="68CA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98" w:type="dxa"/>
            <w:vAlign w:val="center"/>
          </w:tcPr>
          <w:p w14:paraId="2F43F4B1">
            <w:pPr>
              <w:widowControl/>
              <w:jc w:val="center"/>
              <w:rPr>
                <w:rFonts w:ascii="宋体" w:hAnsi="宋体" w:cs="宋体"/>
                <w:color w:val="auto"/>
                <w:kern w:val="0"/>
                <w:sz w:val="18"/>
                <w:szCs w:val="18"/>
                <w:highlight w:val="none"/>
              </w:rPr>
            </w:pPr>
          </w:p>
        </w:tc>
        <w:tc>
          <w:tcPr>
            <w:tcW w:w="2940" w:type="dxa"/>
            <w:vAlign w:val="center"/>
          </w:tcPr>
          <w:p w14:paraId="2376E3D2">
            <w:pPr>
              <w:jc w:val="center"/>
              <w:rPr>
                <w:rFonts w:ascii="宋体" w:hAnsi="宋体" w:cs="宋体"/>
                <w:color w:val="auto"/>
                <w:kern w:val="0"/>
                <w:sz w:val="18"/>
                <w:szCs w:val="18"/>
                <w:highlight w:val="none"/>
              </w:rPr>
            </w:pPr>
          </w:p>
        </w:tc>
        <w:tc>
          <w:tcPr>
            <w:tcW w:w="1123" w:type="dxa"/>
            <w:vAlign w:val="center"/>
          </w:tcPr>
          <w:p w14:paraId="61C79D18">
            <w:pPr>
              <w:jc w:val="center"/>
              <w:rPr>
                <w:rFonts w:ascii="宋体" w:hAnsi="宋体" w:cs="宋体"/>
                <w:color w:val="auto"/>
                <w:kern w:val="0"/>
                <w:sz w:val="18"/>
                <w:szCs w:val="18"/>
                <w:highlight w:val="none"/>
              </w:rPr>
            </w:pPr>
          </w:p>
        </w:tc>
        <w:tc>
          <w:tcPr>
            <w:tcW w:w="1335" w:type="dxa"/>
            <w:gridSpan w:val="2"/>
            <w:vAlign w:val="center"/>
          </w:tcPr>
          <w:p w14:paraId="77B6BA24">
            <w:pPr>
              <w:widowControl/>
              <w:jc w:val="center"/>
              <w:rPr>
                <w:rFonts w:ascii="宋体" w:hAnsi="宋体" w:cs="宋体"/>
                <w:color w:val="auto"/>
                <w:kern w:val="0"/>
                <w:sz w:val="18"/>
                <w:szCs w:val="18"/>
                <w:highlight w:val="none"/>
              </w:rPr>
            </w:pPr>
          </w:p>
        </w:tc>
        <w:tc>
          <w:tcPr>
            <w:tcW w:w="2574" w:type="dxa"/>
            <w:gridSpan w:val="2"/>
            <w:vAlign w:val="center"/>
          </w:tcPr>
          <w:p w14:paraId="4B1D5677">
            <w:pPr>
              <w:jc w:val="center"/>
              <w:rPr>
                <w:rFonts w:ascii="宋体" w:hAnsi="宋体" w:cs="宋体"/>
                <w:color w:val="auto"/>
                <w:sz w:val="18"/>
                <w:szCs w:val="18"/>
                <w:highlight w:val="none"/>
              </w:rPr>
            </w:pPr>
          </w:p>
        </w:tc>
        <w:tc>
          <w:tcPr>
            <w:tcW w:w="2399" w:type="dxa"/>
            <w:gridSpan w:val="2"/>
            <w:vAlign w:val="center"/>
          </w:tcPr>
          <w:p w14:paraId="70078364">
            <w:pPr>
              <w:jc w:val="center"/>
              <w:rPr>
                <w:rFonts w:ascii="宋体" w:hAnsi="宋体" w:cs="宋体"/>
                <w:color w:val="auto"/>
                <w:kern w:val="0"/>
                <w:sz w:val="18"/>
                <w:szCs w:val="18"/>
                <w:highlight w:val="none"/>
              </w:rPr>
            </w:pPr>
          </w:p>
        </w:tc>
        <w:tc>
          <w:tcPr>
            <w:tcW w:w="1330" w:type="dxa"/>
            <w:vAlign w:val="center"/>
          </w:tcPr>
          <w:p w14:paraId="4EA46CA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附件</w:t>
            </w:r>
            <w:r>
              <w:rPr>
                <w:rFonts w:ascii="宋体" w:hAnsi="宋体" w:cs="宋体"/>
                <w:color w:val="auto"/>
                <w:kern w:val="0"/>
                <w:sz w:val="18"/>
                <w:szCs w:val="18"/>
                <w:highlight w:val="none"/>
              </w:rPr>
              <w:t>B1.5</w:t>
            </w:r>
          </w:p>
        </w:tc>
      </w:tr>
      <w:tr w14:paraId="555D5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98" w:type="dxa"/>
            <w:vAlign w:val="center"/>
          </w:tcPr>
          <w:p w14:paraId="020D28D9">
            <w:pPr>
              <w:widowControl/>
              <w:jc w:val="center"/>
              <w:rPr>
                <w:rFonts w:ascii="宋体" w:hAnsi="宋体" w:cs="宋体"/>
                <w:color w:val="auto"/>
                <w:kern w:val="0"/>
                <w:sz w:val="18"/>
                <w:szCs w:val="18"/>
                <w:highlight w:val="none"/>
              </w:rPr>
            </w:pPr>
          </w:p>
        </w:tc>
        <w:tc>
          <w:tcPr>
            <w:tcW w:w="2940" w:type="dxa"/>
            <w:vAlign w:val="center"/>
          </w:tcPr>
          <w:p w14:paraId="3BBBC8F3">
            <w:pPr>
              <w:jc w:val="center"/>
              <w:rPr>
                <w:rFonts w:ascii="宋体" w:hAnsi="宋体" w:cs="宋体"/>
                <w:color w:val="auto"/>
                <w:kern w:val="0"/>
                <w:sz w:val="18"/>
                <w:szCs w:val="18"/>
                <w:highlight w:val="none"/>
              </w:rPr>
            </w:pPr>
          </w:p>
        </w:tc>
        <w:tc>
          <w:tcPr>
            <w:tcW w:w="1123" w:type="dxa"/>
            <w:vAlign w:val="center"/>
          </w:tcPr>
          <w:p w14:paraId="525B5F1B">
            <w:pPr>
              <w:jc w:val="center"/>
              <w:rPr>
                <w:rFonts w:ascii="宋体" w:hAnsi="宋体" w:cs="宋体"/>
                <w:color w:val="auto"/>
                <w:kern w:val="0"/>
                <w:sz w:val="18"/>
                <w:szCs w:val="18"/>
                <w:highlight w:val="none"/>
              </w:rPr>
            </w:pPr>
          </w:p>
        </w:tc>
        <w:tc>
          <w:tcPr>
            <w:tcW w:w="1335" w:type="dxa"/>
            <w:gridSpan w:val="2"/>
            <w:vAlign w:val="center"/>
          </w:tcPr>
          <w:p w14:paraId="6C1D3846">
            <w:pPr>
              <w:widowControl/>
              <w:jc w:val="center"/>
              <w:rPr>
                <w:rFonts w:ascii="宋体" w:hAnsi="宋体" w:cs="宋体"/>
                <w:color w:val="auto"/>
                <w:kern w:val="0"/>
                <w:sz w:val="18"/>
                <w:szCs w:val="18"/>
                <w:highlight w:val="none"/>
              </w:rPr>
            </w:pPr>
          </w:p>
        </w:tc>
        <w:tc>
          <w:tcPr>
            <w:tcW w:w="2574" w:type="dxa"/>
            <w:gridSpan w:val="2"/>
            <w:vAlign w:val="center"/>
          </w:tcPr>
          <w:p w14:paraId="3AEAAC09">
            <w:pPr>
              <w:jc w:val="center"/>
              <w:rPr>
                <w:rFonts w:ascii="宋体" w:hAnsi="宋体" w:cs="宋体"/>
                <w:color w:val="auto"/>
                <w:sz w:val="18"/>
                <w:szCs w:val="18"/>
                <w:highlight w:val="none"/>
              </w:rPr>
            </w:pPr>
          </w:p>
        </w:tc>
        <w:tc>
          <w:tcPr>
            <w:tcW w:w="2399" w:type="dxa"/>
            <w:gridSpan w:val="2"/>
            <w:vAlign w:val="center"/>
          </w:tcPr>
          <w:p w14:paraId="3CACBACB">
            <w:pPr>
              <w:jc w:val="center"/>
              <w:rPr>
                <w:rFonts w:ascii="宋体" w:hAnsi="宋体" w:cs="宋体"/>
                <w:color w:val="auto"/>
                <w:kern w:val="0"/>
                <w:sz w:val="18"/>
                <w:szCs w:val="18"/>
                <w:highlight w:val="none"/>
              </w:rPr>
            </w:pPr>
          </w:p>
        </w:tc>
        <w:tc>
          <w:tcPr>
            <w:tcW w:w="1330" w:type="dxa"/>
            <w:vAlign w:val="center"/>
          </w:tcPr>
          <w:p w14:paraId="4C573778">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附件</w:t>
            </w:r>
            <w:r>
              <w:rPr>
                <w:rFonts w:ascii="宋体" w:hAnsi="宋体" w:cs="宋体"/>
                <w:color w:val="auto"/>
                <w:kern w:val="0"/>
                <w:sz w:val="18"/>
                <w:szCs w:val="18"/>
                <w:highlight w:val="none"/>
              </w:rPr>
              <w:t>B1.6</w:t>
            </w:r>
          </w:p>
        </w:tc>
      </w:tr>
      <w:tr w14:paraId="0F14E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098" w:type="dxa"/>
            <w:vAlign w:val="center"/>
          </w:tcPr>
          <w:p w14:paraId="125F19B2">
            <w:pPr>
              <w:widowControl/>
              <w:jc w:val="center"/>
              <w:rPr>
                <w:rFonts w:ascii="宋体" w:hAnsi="宋体" w:cs="宋体"/>
                <w:color w:val="auto"/>
                <w:kern w:val="0"/>
                <w:sz w:val="18"/>
                <w:szCs w:val="18"/>
                <w:highlight w:val="none"/>
              </w:rPr>
            </w:pPr>
          </w:p>
        </w:tc>
        <w:tc>
          <w:tcPr>
            <w:tcW w:w="2940" w:type="dxa"/>
            <w:vAlign w:val="center"/>
          </w:tcPr>
          <w:p w14:paraId="6811E2C8">
            <w:pPr>
              <w:jc w:val="center"/>
              <w:rPr>
                <w:rFonts w:ascii="宋体" w:hAnsi="宋体" w:cs="宋体"/>
                <w:color w:val="auto"/>
                <w:kern w:val="0"/>
                <w:sz w:val="18"/>
                <w:szCs w:val="18"/>
                <w:highlight w:val="none"/>
              </w:rPr>
            </w:pPr>
          </w:p>
        </w:tc>
        <w:tc>
          <w:tcPr>
            <w:tcW w:w="1123" w:type="dxa"/>
            <w:vAlign w:val="center"/>
          </w:tcPr>
          <w:p w14:paraId="51F5E727">
            <w:pPr>
              <w:jc w:val="center"/>
              <w:rPr>
                <w:rFonts w:ascii="宋体" w:hAnsi="宋体" w:cs="宋体"/>
                <w:color w:val="auto"/>
                <w:kern w:val="0"/>
                <w:sz w:val="18"/>
                <w:szCs w:val="18"/>
                <w:highlight w:val="none"/>
              </w:rPr>
            </w:pPr>
          </w:p>
        </w:tc>
        <w:tc>
          <w:tcPr>
            <w:tcW w:w="1335" w:type="dxa"/>
            <w:gridSpan w:val="2"/>
            <w:vAlign w:val="center"/>
          </w:tcPr>
          <w:p w14:paraId="357000F5">
            <w:pPr>
              <w:widowControl/>
              <w:jc w:val="center"/>
              <w:rPr>
                <w:rFonts w:ascii="宋体" w:hAnsi="宋体" w:cs="宋体"/>
                <w:color w:val="auto"/>
                <w:kern w:val="0"/>
                <w:sz w:val="18"/>
                <w:szCs w:val="18"/>
                <w:highlight w:val="none"/>
              </w:rPr>
            </w:pPr>
          </w:p>
        </w:tc>
        <w:tc>
          <w:tcPr>
            <w:tcW w:w="2574" w:type="dxa"/>
            <w:gridSpan w:val="2"/>
            <w:vAlign w:val="center"/>
          </w:tcPr>
          <w:p w14:paraId="451ECB70">
            <w:pPr>
              <w:jc w:val="center"/>
              <w:rPr>
                <w:rFonts w:ascii="宋体" w:hAnsi="宋体" w:cs="宋体"/>
                <w:color w:val="auto"/>
                <w:sz w:val="18"/>
                <w:szCs w:val="18"/>
                <w:highlight w:val="none"/>
              </w:rPr>
            </w:pPr>
          </w:p>
        </w:tc>
        <w:tc>
          <w:tcPr>
            <w:tcW w:w="2399" w:type="dxa"/>
            <w:gridSpan w:val="2"/>
            <w:vAlign w:val="center"/>
          </w:tcPr>
          <w:p w14:paraId="09242B3F">
            <w:pPr>
              <w:jc w:val="center"/>
              <w:rPr>
                <w:rFonts w:ascii="宋体" w:hAnsi="宋体" w:cs="宋体"/>
                <w:color w:val="auto"/>
                <w:kern w:val="0"/>
                <w:sz w:val="18"/>
                <w:szCs w:val="18"/>
                <w:highlight w:val="none"/>
              </w:rPr>
            </w:pPr>
          </w:p>
        </w:tc>
        <w:tc>
          <w:tcPr>
            <w:tcW w:w="1330" w:type="dxa"/>
            <w:vAlign w:val="center"/>
          </w:tcPr>
          <w:p w14:paraId="2225EC5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附件</w:t>
            </w:r>
            <w:r>
              <w:rPr>
                <w:rFonts w:ascii="宋体" w:hAnsi="宋体" w:cs="宋体"/>
                <w:color w:val="auto"/>
                <w:kern w:val="0"/>
                <w:sz w:val="18"/>
                <w:szCs w:val="18"/>
                <w:highlight w:val="none"/>
              </w:rPr>
              <w:t>B1.7</w:t>
            </w:r>
          </w:p>
        </w:tc>
      </w:tr>
      <w:tr w14:paraId="4489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2098" w:type="dxa"/>
            <w:vAlign w:val="center"/>
          </w:tcPr>
          <w:p w14:paraId="264ED59D">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2940" w:type="dxa"/>
            <w:vAlign w:val="center"/>
          </w:tcPr>
          <w:p w14:paraId="4BB7A764">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23" w:type="dxa"/>
            <w:vAlign w:val="center"/>
          </w:tcPr>
          <w:p w14:paraId="7EC24FCB">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335" w:type="dxa"/>
            <w:gridSpan w:val="2"/>
            <w:vAlign w:val="center"/>
          </w:tcPr>
          <w:p w14:paraId="2306B9E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574" w:type="dxa"/>
            <w:gridSpan w:val="2"/>
            <w:vAlign w:val="center"/>
          </w:tcPr>
          <w:p w14:paraId="132F3CB5">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399" w:type="dxa"/>
            <w:gridSpan w:val="2"/>
            <w:vAlign w:val="center"/>
          </w:tcPr>
          <w:p w14:paraId="0E105E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330" w:type="dxa"/>
            <w:vAlign w:val="center"/>
          </w:tcPr>
          <w:p w14:paraId="12D184BD">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bl>
    <w:p w14:paraId="3A189940">
      <w:pPr>
        <w:spacing w:line="260" w:lineRule="exact"/>
        <w:ind w:left="540" w:hanging="540" w:hangingChars="300"/>
        <w:rPr>
          <w:rFonts w:hint="eastAsia" w:cs="宋体" w:asciiTheme="minorEastAsia" w:hAnsiTheme="minorEastAsia" w:eastAsiaTheme="minorEastAsia"/>
          <w:color w:val="auto"/>
          <w:spacing w:val="-3"/>
          <w:sz w:val="18"/>
          <w:szCs w:val="18"/>
          <w:highlight w:val="none"/>
        </w:rPr>
      </w:pPr>
      <w:r>
        <w:rPr>
          <w:rFonts w:hint="eastAsia" w:ascii="宋体" w:hAnsi="宋体" w:cs="宋体"/>
          <w:color w:val="auto"/>
          <w:sz w:val="18"/>
          <w:szCs w:val="18"/>
          <w:highlight w:val="none"/>
        </w:rPr>
        <w:t>注：</w:t>
      </w:r>
      <w:r>
        <w:rPr>
          <w:rFonts w:ascii="宋体" w:hAnsi="宋体" w:cs="宋体"/>
          <w:color w:val="auto"/>
          <w:sz w:val="18"/>
          <w:szCs w:val="18"/>
          <w:highlight w:val="none"/>
        </w:rPr>
        <w:t>1.</w:t>
      </w:r>
      <w:r>
        <w:rPr>
          <w:rFonts w:cs="宋体" w:asciiTheme="minorEastAsia" w:hAnsiTheme="minorEastAsia" w:eastAsiaTheme="minorEastAsia"/>
          <w:color w:val="auto"/>
          <w:spacing w:val="-3"/>
          <w:sz w:val="18"/>
          <w:szCs w:val="18"/>
          <w:highlight w:val="none"/>
        </w:rPr>
        <w:t>投标人</w:t>
      </w:r>
      <w:r>
        <w:rPr>
          <w:rFonts w:hint="eastAsia" w:cs="宋体" w:asciiTheme="minorEastAsia" w:hAnsiTheme="minorEastAsia" w:eastAsiaTheme="minorEastAsia"/>
          <w:color w:val="auto"/>
          <w:spacing w:val="-3"/>
          <w:sz w:val="18"/>
          <w:szCs w:val="18"/>
          <w:highlight w:val="none"/>
          <w:lang w:val="en-US" w:eastAsia="zh-CN"/>
        </w:rPr>
        <w:t>应</w:t>
      </w:r>
      <w:r>
        <w:rPr>
          <w:rFonts w:cs="宋体" w:asciiTheme="minorEastAsia" w:hAnsiTheme="minorEastAsia" w:eastAsiaTheme="minorEastAsia"/>
          <w:color w:val="auto"/>
          <w:spacing w:val="-3"/>
          <w:sz w:val="18"/>
          <w:szCs w:val="18"/>
          <w:highlight w:val="none"/>
        </w:rPr>
        <w:t>在</w:t>
      </w:r>
      <w:r>
        <w:rPr>
          <w:rFonts w:hint="eastAsia" w:cs="宋体" w:asciiTheme="minorEastAsia" w:hAnsiTheme="minorEastAsia" w:eastAsiaTheme="minorEastAsia"/>
          <w:color w:val="auto"/>
          <w:spacing w:val="-3"/>
          <w:sz w:val="18"/>
          <w:szCs w:val="18"/>
          <w:highlight w:val="none"/>
          <w:lang w:val="en-US" w:eastAsia="zh-CN"/>
        </w:rPr>
        <w:t>本</w:t>
      </w:r>
      <w:r>
        <w:rPr>
          <w:rFonts w:cs="宋体" w:asciiTheme="minorEastAsia" w:hAnsiTheme="minorEastAsia" w:eastAsiaTheme="minorEastAsia"/>
          <w:color w:val="auto"/>
          <w:spacing w:val="-3"/>
          <w:sz w:val="18"/>
          <w:szCs w:val="18"/>
          <w:highlight w:val="none"/>
        </w:rPr>
        <w:t>表后提供相关证明材料（原件原色扫描件）附件B1</w:t>
      </w:r>
      <w:r>
        <w:rPr>
          <w:rFonts w:hint="eastAsia" w:cs="宋体" w:asciiTheme="minorEastAsia" w:hAnsiTheme="minorEastAsia" w:eastAsiaTheme="minorEastAsia"/>
          <w:color w:val="auto"/>
          <w:spacing w:val="-3"/>
          <w:sz w:val="18"/>
          <w:szCs w:val="18"/>
          <w:highlight w:val="none"/>
        </w:rPr>
        <w:t>系列（身份证、职称证、执业资格证</w:t>
      </w:r>
      <w:r>
        <w:rPr>
          <w:rFonts w:hint="eastAsia" w:cs="宋体" w:asciiTheme="minorEastAsia" w:hAnsiTheme="minorEastAsia" w:eastAsiaTheme="minorEastAsia"/>
          <w:color w:val="auto"/>
          <w:kern w:val="0"/>
          <w:sz w:val="18"/>
          <w:szCs w:val="18"/>
          <w:highlight w:val="none"/>
        </w:rPr>
        <w:t>、</w:t>
      </w:r>
      <w:r>
        <w:rPr>
          <w:rFonts w:hint="eastAsia" w:cs="宋体" w:asciiTheme="minorEastAsia" w:hAnsiTheme="minorEastAsia" w:eastAsiaTheme="minorEastAsia"/>
          <w:color w:val="auto"/>
          <w:spacing w:val="-3"/>
          <w:sz w:val="18"/>
          <w:szCs w:val="18"/>
          <w:highlight w:val="none"/>
        </w:rPr>
        <w:t>社保证明、个人业绩证明）。</w:t>
      </w:r>
      <w:r>
        <w:rPr>
          <w:rStyle w:val="58"/>
          <w:rFonts w:hint="eastAsia" w:ascii="宋体" w:hAnsi="宋体" w:cs="宋体"/>
          <w:color w:val="auto"/>
          <w:szCs w:val="21"/>
          <w:highlight w:val="none"/>
        </w:rPr>
        <w:footnoteReference w:id="150"/>
      </w:r>
    </w:p>
    <w:p w14:paraId="541A4984">
      <w:pPr>
        <w:spacing w:line="260" w:lineRule="exact"/>
        <w:ind w:left="0" w:leftChars="0" w:firstLine="348" w:firstLineChars="200"/>
        <w:rPr>
          <w:rFonts w:ascii="宋体" w:hAnsi="宋体" w:cs="宋体"/>
          <w:color w:val="auto"/>
          <w:sz w:val="18"/>
          <w:szCs w:val="18"/>
          <w:highlight w:val="none"/>
        </w:rPr>
      </w:pPr>
      <w:r>
        <w:rPr>
          <w:rFonts w:hint="eastAsia" w:cs="宋体" w:asciiTheme="minorEastAsia" w:hAnsiTheme="minorEastAsia" w:eastAsiaTheme="minorEastAsia"/>
          <w:color w:val="auto"/>
          <w:spacing w:val="-3"/>
          <w:sz w:val="18"/>
          <w:szCs w:val="18"/>
          <w:highlight w:val="none"/>
          <w:lang w:val="en-US" w:eastAsia="zh-CN"/>
        </w:rPr>
        <w:t>2.</w:t>
      </w:r>
      <w:r>
        <w:rPr>
          <w:rFonts w:hint="eastAsia" w:cs="宋体" w:asciiTheme="minorEastAsia" w:hAnsiTheme="minorEastAsia" w:eastAsiaTheme="minorEastAsia"/>
          <w:color w:val="auto"/>
          <w:spacing w:val="-3"/>
          <w:sz w:val="18"/>
          <w:szCs w:val="18"/>
          <w:highlight w:val="none"/>
        </w:rPr>
        <w:t>因投标人自身原因未提供附件或提供的附件不能与所证明的内容相匹配，造成业绩或其他内容不予认可时，投标人自行承担相关责任。</w:t>
      </w:r>
    </w:p>
    <w:p w14:paraId="7A64D4CF">
      <w:pPr>
        <w:spacing w:line="260" w:lineRule="exact"/>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lang w:val="en-US" w:eastAsia="zh-CN"/>
        </w:rPr>
        <w:t>3</w:t>
      </w:r>
      <w:r>
        <w:rPr>
          <w:rFonts w:ascii="宋体" w:hAnsi="宋体" w:cs="宋体"/>
          <w:color w:val="auto"/>
          <w:sz w:val="18"/>
          <w:szCs w:val="18"/>
          <w:highlight w:val="none"/>
        </w:rPr>
        <w:t>.个人业绩证明材料为：</w:t>
      </w:r>
    </w:p>
    <w:p w14:paraId="75486E17">
      <w:pPr>
        <w:spacing w:line="260" w:lineRule="exact"/>
        <w:ind w:firstLine="542" w:firstLineChars="300"/>
        <w:rPr>
          <w:rFonts w:ascii="宋体" w:hAnsi="宋体" w:cs="宋体"/>
          <w:color w:val="auto"/>
          <w:sz w:val="18"/>
          <w:szCs w:val="18"/>
          <w:highlight w:val="none"/>
        </w:rPr>
      </w:pPr>
      <w:r>
        <w:rPr>
          <w:rFonts w:hint="eastAsia" w:ascii="宋体" w:hAnsi="宋体" w:cs="宋体"/>
          <w:b/>
          <w:bCs/>
          <w:color w:val="auto"/>
          <w:sz w:val="18"/>
          <w:szCs w:val="18"/>
          <w:highlight w:val="none"/>
        </w:rPr>
        <w:t>□</w:t>
      </w:r>
      <w:r>
        <w:rPr>
          <w:rFonts w:hint="eastAsia" w:ascii="宋体" w:hAnsi="宋体" w:cs="宋体"/>
          <w:color w:val="auto"/>
          <w:sz w:val="18"/>
          <w:szCs w:val="18"/>
          <w:highlight w:val="none"/>
        </w:rPr>
        <w:t>交通运输部“全国公路建设市场监督管理系统”中载明的、能够证明该人员具有相关业绩的网页截图</w:t>
      </w:r>
      <w:bookmarkStart w:id="768" w:name="_Hlk94029643"/>
      <w:r>
        <w:rPr>
          <w:rStyle w:val="58"/>
          <w:rFonts w:ascii="宋体" w:hAnsi="宋体" w:cs="宋体"/>
          <w:color w:val="auto"/>
          <w:sz w:val="18"/>
          <w:szCs w:val="18"/>
          <w:highlight w:val="none"/>
        </w:rPr>
        <w:footnoteReference w:id="151"/>
      </w:r>
      <w:bookmarkEnd w:id="768"/>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rPr>
        <w:t>□</w:t>
      </w:r>
      <w:r>
        <w:rPr>
          <w:rFonts w:ascii="宋体" w:hAnsi="宋体" w:cs="宋体"/>
          <w:color w:val="auto"/>
          <w:sz w:val="18"/>
          <w:szCs w:val="18"/>
          <w:highlight w:val="none"/>
        </w:rPr>
        <w:t>或</w:t>
      </w:r>
    </w:p>
    <w:p w14:paraId="4F5E0928">
      <w:pPr>
        <w:spacing w:line="260" w:lineRule="exact"/>
        <w:ind w:firstLine="542" w:firstLineChars="300"/>
        <w:rPr>
          <w:rFonts w:ascii="宋体" w:hAnsi="宋体" w:cs="宋体"/>
          <w:color w:val="auto"/>
          <w:sz w:val="18"/>
          <w:szCs w:val="18"/>
          <w:highlight w:val="none"/>
        </w:rPr>
      </w:pPr>
      <w:r>
        <w:rPr>
          <w:rFonts w:hint="eastAsia" w:ascii="宋体" w:hAnsi="宋体" w:cs="宋体"/>
          <w:b/>
          <w:bCs/>
          <w:color w:val="auto"/>
          <w:sz w:val="18"/>
          <w:szCs w:val="18"/>
          <w:highlight w:val="none"/>
        </w:rPr>
        <w:t>□</w:t>
      </w:r>
      <w:r>
        <w:rPr>
          <w:rFonts w:hint="eastAsia" w:ascii="宋体" w:hAnsi="宋体" w:cs="宋体"/>
          <w:color w:val="auto"/>
          <w:sz w:val="18"/>
          <w:szCs w:val="18"/>
          <w:highlight w:val="none"/>
        </w:rPr>
        <w:t>合同协议书；和</w:t>
      </w:r>
    </w:p>
    <w:p w14:paraId="4C275EA3">
      <w:pPr>
        <w:spacing w:line="260" w:lineRule="exact"/>
        <w:ind w:firstLine="720" w:firstLineChars="400"/>
        <w:rPr>
          <w:rFonts w:ascii="宋体" w:hAnsi="宋体" w:cs="宋体"/>
          <w:color w:val="auto"/>
          <w:sz w:val="18"/>
          <w:szCs w:val="18"/>
          <w:highlight w:val="none"/>
        </w:rPr>
      </w:pPr>
      <w:r>
        <w:rPr>
          <w:rFonts w:hint="eastAsia" w:ascii="宋体" w:hAnsi="宋体" w:cs="宋体"/>
          <w:color w:val="auto"/>
          <w:sz w:val="18"/>
          <w:szCs w:val="18"/>
          <w:highlight w:val="none"/>
        </w:rPr>
        <w:t>项目评定书或交工验收证书或竣工验收委员会出具的公路工程竣工验收鉴定书或发包人出具的证明原件原色扫描件，其中应能够证明该人员具有相关业绩。</w:t>
      </w:r>
    </w:p>
    <w:p w14:paraId="71FDE4F4">
      <w:pPr>
        <w:numPr>
          <w:ilvl w:val="-1"/>
          <w:numId w:val="0"/>
        </w:numPr>
        <w:shd w:val="clear" w:color="auto" w:fill="FFFFFF"/>
        <w:tabs>
          <w:tab w:val="left" w:pos="312"/>
        </w:tabs>
        <w:adjustRightInd w:val="0"/>
        <w:snapToGrid w:val="0"/>
        <w:spacing w:line="260" w:lineRule="exact"/>
        <w:ind w:left="0" w:leftChars="0" w:firstLine="360" w:firstLineChars="200"/>
        <w:rPr>
          <w:rFonts w:hint="eastAsia" w:ascii="宋体" w:hAnsi="宋体" w:cs="宋体"/>
          <w:color w:val="auto"/>
          <w:sz w:val="18"/>
          <w:szCs w:val="18"/>
          <w:highlight w:val="none"/>
        </w:rPr>
      </w:pPr>
      <w:bookmarkStart w:id="769" w:name="_Hlk97908338"/>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rPr>
        <w:t>提供社保时间段要求：例如投标截止日所在月为“</w:t>
      </w:r>
      <w:r>
        <w:rPr>
          <w:rFonts w:ascii="宋体" w:hAnsi="宋体" w:cs="宋体"/>
          <w:color w:val="auto"/>
          <w:sz w:val="18"/>
          <w:szCs w:val="18"/>
          <w:highlight w:val="none"/>
        </w:rPr>
        <w:t>2021</w:t>
      </w:r>
      <w:r>
        <w:rPr>
          <w:rFonts w:hint="eastAsia" w:ascii="宋体" w:hAnsi="宋体" w:cs="宋体"/>
          <w:color w:val="auto"/>
          <w:sz w:val="18"/>
          <w:szCs w:val="18"/>
          <w:highlight w:val="none"/>
        </w:rPr>
        <w:t>年</w:t>
      </w:r>
      <w:r>
        <w:rPr>
          <w:rFonts w:ascii="宋体" w:hAnsi="宋体" w:cs="宋体"/>
          <w:color w:val="auto"/>
          <w:sz w:val="18"/>
          <w:szCs w:val="18"/>
          <w:highlight w:val="none"/>
        </w:rPr>
        <w:t>12</w:t>
      </w:r>
      <w:r>
        <w:rPr>
          <w:rFonts w:hint="eastAsia" w:ascii="宋体" w:hAnsi="宋体" w:cs="宋体"/>
          <w:color w:val="auto"/>
          <w:sz w:val="18"/>
          <w:szCs w:val="18"/>
          <w:highlight w:val="none"/>
        </w:rPr>
        <w:t>月”，则提供“</w:t>
      </w:r>
      <w:r>
        <w:rPr>
          <w:rFonts w:ascii="宋体" w:hAnsi="宋体" w:cs="宋体"/>
          <w:color w:val="auto"/>
          <w:sz w:val="18"/>
          <w:szCs w:val="18"/>
          <w:highlight w:val="none"/>
        </w:rPr>
        <w:t>2021</w:t>
      </w:r>
      <w:r>
        <w:rPr>
          <w:rFonts w:hint="eastAsia" w:ascii="宋体" w:hAnsi="宋体" w:cs="宋体"/>
          <w:color w:val="auto"/>
          <w:sz w:val="18"/>
          <w:szCs w:val="18"/>
          <w:highlight w:val="none"/>
        </w:rPr>
        <w:t>年</w:t>
      </w:r>
      <w:r>
        <w:rPr>
          <w:rFonts w:ascii="宋体" w:hAnsi="宋体" w:cs="宋体"/>
          <w:color w:val="auto"/>
          <w:sz w:val="18"/>
          <w:szCs w:val="18"/>
          <w:highlight w:val="none"/>
        </w:rPr>
        <w:t>6</w:t>
      </w:r>
      <w:r>
        <w:rPr>
          <w:rFonts w:hint="eastAsia" w:ascii="宋体" w:hAnsi="宋体" w:cs="宋体"/>
          <w:color w:val="auto"/>
          <w:sz w:val="18"/>
          <w:szCs w:val="18"/>
          <w:highlight w:val="none"/>
        </w:rPr>
        <w:t>～</w:t>
      </w:r>
      <w:r>
        <w:rPr>
          <w:rFonts w:ascii="宋体" w:hAnsi="宋体" w:cs="宋体"/>
          <w:color w:val="auto"/>
          <w:sz w:val="18"/>
          <w:szCs w:val="18"/>
          <w:highlight w:val="none"/>
        </w:rPr>
        <w:t>11</w:t>
      </w:r>
      <w:r>
        <w:rPr>
          <w:rFonts w:hint="eastAsia" w:ascii="宋体" w:hAnsi="宋体" w:cs="宋体"/>
          <w:color w:val="auto"/>
          <w:sz w:val="18"/>
          <w:szCs w:val="18"/>
          <w:highlight w:val="none"/>
        </w:rPr>
        <w:t>月”或“</w:t>
      </w:r>
      <w:r>
        <w:rPr>
          <w:rFonts w:ascii="宋体" w:hAnsi="宋体" w:cs="宋体"/>
          <w:color w:val="auto"/>
          <w:sz w:val="18"/>
          <w:szCs w:val="18"/>
          <w:highlight w:val="none"/>
        </w:rPr>
        <w:t>2021</w:t>
      </w:r>
      <w:r>
        <w:rPr>
          <w:rFonts w:hint="eastAsia" w:ascii="宋体" w:hAnsi="宋体" w:cs="宋体"/>
          <w:color w:val="auto"/>
          <w:sz w:val="18"/>
          <w:szCs w:val="18"/>
          <w:highlight w:val="none"/>
        </w:rPr>
        <w:t>年</w:t>
      </w:r>
      <w:r>
        <w:rPr>
          <w:rFonts w:ascii="宋体" w:hAnsi="宋体" w:cs="宋体"/>
          <w:color w:val="auto"/>
          <w:sz w:val="18"/>
          <w:szCs w:val="18"/>
          <w:highlight w:val="none"/>
        </w:rPr>
        <w:t>5</w:t>
      </w:r>
      <w:r>
        <w:rPr>
          <w:rFonts w:hint="eastAsia" w:ascii="宋体" w:hAnsi="宋体" w:cs="宋体"/>
          <w:color w:val="auto"/>
          <w:sz w:val="18"/>
          <w:szCs w:val="18"/>
          <w:highlight w:val="none"/>
        </w:rPr>
        <w:t>～</w:t>
      </w:r>
      <w:r>
        <w:rPr>
          <w:rFonts w:ascii="宋体" w:hAnsi="宋体" w:cs="宋体"/>
          <w:color w:val="auto"/>
          <w:sz w:val="18"/>
          <w:szCs w:val="18"/>
          <w:highlight w:val="none"/>
        </w:rPr>
        <w:t>10</w:t>
      </w:r>
      <w:r>
        <w:rPr>
          <w:rFonts w:hint="eastAsia" w:ascii="宋体" w:hAnsi="宋体" w:cs="宋体"/>
          <w:color w:val="auto"/>
          <w:sz w:val="18"/>
          <w:szCs w:val="18"/>
          <w:highlight w:val="none"/>
        </w:rPr>
        <w:t>月”在其投标单位连续</w:t>
      </w:r>
      <w:r>
        <w:rPr>
          <w:rFonts w:ascii="宋体" w:hAnsi="宋体" w:cs="宋体"/>
          <w:color w:val="auto"/>
          <w:sz w:val="18"/>
          <w:szCs w:val="18"/>
          <w:highlight w:val="none"/>
        </w:rPr>
        <w:t>6</w:t>
      </w:r>
      <w:r>
        <w:rPr>
          <w:rFonts w:hint="eastAsia" w:ascii="宋体" w:hAnsi="宋体" w:cs="宋体"/>
          <w:color w:val="auto"/>
          <w:sz w:val="18"/>
          <w:szCs w:val="18"/>
          <w:highlight w:val="none"/>
        </w:rPr>
        <w:t>个月参加社保的证明材料。</w:t>
      </w:r>
      <w:bookmarkEnd w:id="769"/>
    </w:p>
    <w:p w14:paraId="6879E28D">
      <w:pPr>
        <w:numPr>
          <w:ilvl w:val="-1"/>
          <w:numId w:val="0"/>
        </w:numPr>
        <w:shd w:val="clear" w:color="auto" w:fill="FFFFFF"/>
        <w:tabs>
          <w:tab w:val="left" w:pos="312"/>
        </w:tabs>
        <w:adjustRightInd w:val="0"/>
        <w:snapToGrid w:val="0"/>
        <w:spacing w:line="260" w:lineRule="exact"/>
        <w:ind w:left="537" w:leftChars="170" w:hanging="180" w:hangingChars="100"/>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5.</w:t>
      </w:r>
      <w:r>
        <w:rPr>
          <w:rFonts w:hint="eastAsia" w:ascii="宋体" w:hAnsi="宋体" w:cs="宋体"/>
          <w:color w:val="auto"/>
          <w:sz w:val="18"/>
          <w:szCs w:val="18"/>
          <w:highlight w:val="none"/>
        </w:rPr>
        <w:t>允许联合体投标时，</w:t>
      </w:r>
      <w:r>
        <w:rPr>
          <w:rFonts w:hint="eastAsia" w:ascii="宋体" w:hAnsi="宋体" w:cs="宋体"/>
          <w:color w:val="auto"/>
          <w:sz w:val="18"/>
          <w:szCs w:val="18"/>
          <w:highlight w:val="none"/>
          <w:lang w:val="en-US" w:eastAsia="zh-CN"/>
        </w:rPr>
        <w:t>若</w:t>
      </w:r>
      <w:r>
        <w:rPr>
          <w:rFonts w:hint="eastAsia" w:ascii="宋体" w:hAnsi="宋体" w:cs="宋体"/>
          <w:color w:val="auto"/>
          <w:sz w:val="18"/>
          <w:szCs w:val="18"/>
          <w:highlight w:val="none"/>
        </w:rPr>
        <w:t>以联合体形式投标的，</w:t>
      </w:r>
      <w:r>
        <w:rPr>
          <w:rFonts w:hint="eastAsia" w:ascii="宋体" w:hAnsi="宋体" w:cs="宋体"/>
          <w:color w:val="auto"/>
          <w:sz w:val="18"/>
          <w:szCs w:val="18"/>
          <w:highlight w:val="none"/>
          <w:lang w:val="en-US" w:eastAsia="zh-CN"/>
        </w:rPr>
        <w:t>试验室主任</w:t>
      </w:r>
      <w:r>
        <w:rPr>
          <w:rFonts w:hint="eastAsia" w:ascii="宋体" w:hAnsi="宋体" w:cs="宋体"/>
          <w:color w:val="auto"/>
          <w:sz w:val="18"/>
          <w:szCs w:val="18"/>
          <w:highlight w:val="none"/>
        </w:rPr>
        <w:t>应按照第二章“投标人须知”前附表附录</w:t>
      </w: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rPr>
        <w:t>资格审查条件</w:t>
      </w:r>
      <w:r>
        <w:rPr>
          <w:rFonts w:hint="eastAsia" w:ascii="宋体" w:hAnsi="宋体" w:cs="宋体"/>
          <w:color w:val="auto"/>
          <w:sz w:val="18"/>
          <w:szCs w:val="18"/>
          <w:highlight w:val="none"/>
          <w:lang w:val="en-US" w:eastAsia="zh-CN"/>
        </w:rPr>
        <w:t>的</w:t>
      </w:r>
      <w:r>
        <w:rPr>
          <w:rFonts w:hint="eastAsia" w:ascii="宋体" w:hAnsi="宋体" w:cs="宋体"/>
          <w:color w:val="auto"/>
          <w:sz w:val="18"/>
          <w:szCs w:val="18"/>
          <w:highlight w:val="none"/>
        </w:rPr>
        <w:t>要求及</w:t>
      </w:r>
      <w:r>
        <w:rPr>
          <w:rFonts w:hint="eastAsia" w:ascii="宋体" w:hAnsi="宋体" w:cs="宋体"/>
          <w:color w:val="auto"/>
          <w:sz w:val="18"/>
          <w:szCs w:val="18"/>
          <w:highlight w:val="none"/>
          <w:lang w:val="en-US" w:eastAsia="zh-CN"/>
        </w:rPr>
        <w:t>第三章“评标办法”</w:t>
      </w:r>
      <w:r>
        <w:rPr>
          <w:rFonts w:hint="eastAsia" w:ascii="宋体" w:hAnsi="宋体" w:cs="宋体"/>
          <w:color w:val="auto"/>
          <w:sz w:val="18"/>
          <w:szCs w:val="18"/>
          <w:highlight w:val="none"/>
        </w:rPr>
        <w:t>详细评审打分条件（如有）填写</w:t>
      </w:r>
      <w:r>
        <w:rPr>
          <w:rFonts w:hint="eastAsia" w:ascii="宋体" w:hAnsi="宋体" w:cs="宋体"/>
          <w:color w:val="auto"/>
          <w:sz w:val="18"/>
          <w:szCs w:val="18"/>
          <w:highlight w:val="none"/>
          <w:lang w:val="en-US" w:eastAsia="zh-CN"/>
        </w:rPr>
        <w:t>本表</w:t>
      </w:r>
      <w:r>
        <w:rPr>
          <w:rFonts w:hint="eastAsia" w:ascii="宋体" w:hAnsi="宋体" w:cs="宋体"/>
          <w:color w:val="auto"/>
          <w:sz w:val="18"/>
          <w:szCs w:val="18"/>
          <w:highlight w:val="none"/>
        </w:rPr>
        <w:t>。</w:t>
      </w:r>
    </w:p>
    <w:p w14:paraId="53E901DD">
      <w:pPr>
        <w:numPr>
          <w:ilvl w:val="0"/>
          <w:numId w:val="1"/>
        </w:numPr>
        <w:spacing w:line="360" w:lineRule="auto"/>
        <w:ind w:left="420" w:firstLine="0" w:firstLineChars="0"/>
        <w:rPr>
          <w:rFonts w:cs="宋体"/>
          <w:b/>
          <w:bCs/>
          <w:color w:val="auto"/>
          <w:sz w:val="30"/>
          <w:szCs w:val="30"/>
          <w:highlight w:val="none"/>
        </w:rPr>
      </w:pPr>
      <w:r>
        <w:rPr>
          <w:rFonts w:cs="宋体"/>
          <w:b/>
          <w:bCs/>
          <w:color w:val="auto"/>
          <w:sz w:val="30"/>
          <w:szCs w:val="30"/>
          <w:highlight w:val="none"/>
        </w:rPr>
        <w:br w:type="page"/>
      </w:r>
    </w:p>
    <w:p w14:paraId="0B0CF6B7">
      <w:pPr>
        <w:pStyle w:val="43"/>
        <w:shd w:val="clear" w:color="auto" w:fill="FFFFFF"/>
        <w:spacing w:line="360" w:lineRule="auto"/>
        <w:jc w:val="center"/>
        <w:rPr>
          <w:rFonts w:ascii="黑体" w:hAnsi="黑体" w:eastAsia="黑体" w:cs="宋体"/>
          <w:bCs/>
          <w:color w:val="auto"/>
          <w:highlight w:val="none"/>
        </w:rPr>
      </w:pPr>
      <w:r>
        <w:rPr>
          <w:rFonts w:ascii="黑体" w:hAnsi="黑体" w:eastAsia="黑体" w:cs="宋体"/>
          <w:bCs/>
          <w:color w:val="auto"/>
          <w:highlight w:val="none"/>
        </w:rPr>
        <w:t xml:space="preserve">                                         </w:t>
      </w:r>
      <w:r>
        <w:rPr>
          <w:rFonts w:hint="eastAsia" w:ascii="黑体" w:hAnsi="黑体" w:eastAsia="黑体" w:cs="宋体"/>
          <w:b/>
          <w:bCs w:val="0"/>
          <w:color w:val="auto"/>
          <w:highlight w:val="none"/>
        </w:rPr>
        <w:t>□</w:t>
      </w:r>
      <w:r>
        <w:rPr>
          <w:rFonts w:ascii="黑体" w:hAnsi="黑体" w:eastAsia="黑体" w:cs="宋体"/>
          <w:bCs/>
          <w:color w:val="auto"/>
          <w:highlight w:val="none"/>
        </w:rPr>
        <w:t xml:space="preserve"> 技术负责人资历</w:t>
      </w:r>
      <w:r>
        <w:rPr>
          <w:rFonts w:hint="eastAsia" w:ascii="黑体" w:hAnsi="黑体" w:eastAsia="黑体" w:cs="宋体"/>
          <w:bCs/>
          <w:color w:val="auto"/>
          <w:highlight w:val="none"/>
          <w:lang w:val="en-US" w:eastAsia="zh-CN"/>
        </w:rPr>
        <w:t>表</w:t>
      </w:r>
      <w:r>
        <w:rPr>
          <w:rFonts w:ascii="黑体" w:hAnsi="黑体" w:eastAsia="黑体" w:cs="宋体"/>
          <w:bCs/>
          <w:color w:val="auto"/>
          <w:highlight w:val="none"/>
        </w:rPr>
        <w:t xml:space="preserve">                                         </w:t>
      </w:r>
      <w:r>
        <w:rPr>
          <w:rFonts w:hint="eastAsia" w:ascii="黑体" w:hAnsi="黑体" w:eastAsia="黑体" w:cs="宋体"/>
          <w:bCs/>
          <w:color w:val="auto"/>
          <w:highlight w:val="none"/>
        </w:rPr>
        <w:t>表</w:t>
      </w:r>
      <w:r>
        <w:rPr>
          <w:rFonts w:hint="eastAsia" w:ascii="黑体" w:hAnsi="黑体" w:eastAsia="黑体" w:cs="宋体"/>
          <w:bCs/>
          <w:color w:val="auto"/>
          <w:highlight w:val="none"/>
          <w:lang w:val="en-US" w:eastAsia="zh-CN"/>
        </w:rPr>
        <w:t>4.</w:t>
      </w:r>
      <w:r>
        <w:rPr>
          <w:rFonts w:ascii="黑体" w:hAnsi="黑体" w:eastAsia="黑体" w:cs="宋体"/>
          <w:bCs/>
          <w:color w:val="auto"/>
          <w:highlight w:val="none"/>
        </w:rPr>
        <w:t>2</w:t>
      </w:r>
    </w:p>
    <w:tbl>
      <w:tblPr>
        <w:tblStyle w:val="48"/>
        <w:tblW w:w="14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2982"/>
        <w:gridCol w:w="1132"/>
        <w:gridCol w:w="851"/>
        <w:gridCol w:w="686"/>
        <w:gridCol w:w="733"/>
        <w:gridCol w:w="1844"/>
        <w:gridCol w:w="2284"/>
        <w:gridCol w:w="1424"/>
      </w:tblGrid>
      <w:tr w14:paraId="09B2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2635" w:type="dxa"/>
            <w:gridSpan w:val="8"/>
            <w:vAlign w:val="center"/>
          </w:tcPr>
          <w:p w14:paraId="437A4927">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基本信息</w:t>
            </w:r>
          </w:p>
        </w:tc>
        <w:tc>
          <w:tcPr>
            <w:tcW w:w="1424" w:type="dxa"/>
            <w:vAlign w:val="center"/>
          </w:tcPr>
          <w:p w14:paraId="7947F51B">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基本信息附件</w:t>
            </w:r>
          </w:p>
        </w:tc>
      </w:tr>
      <w:tr w14:paraId="6CEC2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23" w:type="dxa"/>
            <w:vAlign w:val="center"/>
          </w:tcPr>
          <w:p w14:paraId="56AC747A">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姓名</w:t>
            </w:r>
          </w:p>
        </w:tc>
        <w:tc>
          <w:tcPr>
            <w:tcW w:w="4114" w:type="dxa"/>
            <w:gridSpan w:val="2"/>
            <w:vAlign w:val="center"/>
          </w:tcPr>
          <w:p w14:paraId="74566715">
            <w:pPr>
              <w:widowControl/>
              <w:jc w:val="center"/>
              <w:rPr>
                <w:rFonts w:ascii="宋体" w:hAnsi="宋体" w:cs="宋体"/>
                <w:bCs/>
                <w:color w:val="auto"/>
                <w:kern w:val="0"/>
                <w:sz w:val="18"/>
                <w:szCs w:val="18"/>
                <w:highlight w:val="none"/>
              </w:rPr>
            </w:pPr>
          </w:p>
        </w:tc>
        <w:tc>
          <w:tcPr>
            <w:tcW w:w="851" w:type="dxa"/>
            <w:vAlign w:val="center"/>
          </w:tcPr>
          <w:p w14:paraId="3955432D">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年龄</w:t>
            </w:r>
          </w:p>
        </w:tc>
        <w:tc>
          <w:tcPr>
            <w:tcW w:w="1419" w:type="dxa"/>
            <w:gridSpan w:val="2"/>
            <w:vAlign w:val="center"/>
          </w:tcPr>
          <w:p w14:paraId="29812220">
            <w:pPr>
              <w:widowControl/>
              <w:jc w:val="center"/>
              <w:rPr>
                <w:rFonts w:ascii="宋体" w:hAnsi="宋体" w:cs="宋体"/>
                <w:bCs/>
                <w:color w:val="auto"/>
                <w:kern w:val="0"/>
                <w:sz w:val="18"/>
                <w:szCs w:val="18"/>
                <w:highlight w:val="none"/>
              </w:rPr>
            </w:pPr>
          </w:p>
        </w:tc>
        <w:tc>
          <w:tcPr>
            <w:tcW w:w="1844" w:type="dxa"/>
            <w:vAlign w:val="center"/>
          </w:tcPr>
          <w:p w14:paraId="2262BF5E">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身份证号码</w:t>
            </w:r>
          </w:p>
        </w:tc>
        <w:tc>
          <w:tcPr>
            <w:tcW w:w="2284" w:type="dxa"/>
            <w:vAlign w:val="center"/>
          </w:tcPr>
          <w:p w14:paraId="39FF522E">
            <w:pPr>
              <w:widowControl/>
              <w:jc w:val="center"/>
              <w:rPr>
                <w:rFonts w:ascii="宋体" w:hAnsi="宋体" w:cs="宋体"/>
                <w:bCs/>
                <w:color w:val="auto"/>
                <w:kern w:val="0"/>
                <w:sz w:val="18"/>
                <w:szCs w:val="18"/>
                <w:highlight w:val="none"/>
              </w:rPr>
            </w:pPr>
          </w:p>
        </w:tc>
        <w:tc>
          <w:tcPr>
            <w:tcW w:w="1424" w:type="dxa"/>
            <w:vAlign w:val="center"/>
          </w:tcPr>
          <w:p w14:paraId="7561D40C">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附件</w:t>
            </w:r>
            <w:r>
              <w:rPr>
                <w:rFonts w:ascii="宋体" w:hAnsi="宋体" w:cs="宋体"/>
                <w:bCs/>
                <w:color w:val="auto"/>
                <w:kern w:val="0"/>
                <w:sz w:val="18"/>
                <w:szCs w:val="18"/>
                <w:highlight w:val="none"/>
              </w:rPr>
              <w:t>B2.1</w:t>
            </w:r>
          </w:p>
        </w:tc>
      </w:tr>
      <w:tr w14:paraId="2EAD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23" w:type="dxa"/>
            <w:vAlign w:val="center"/>
          </w:tcPr>
          <w:p w14:paraId="7C76B9B9">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技术职称</w:t>
            </w:r>
          </w:p>
        </w:tc>
        <w:tc>
          <w:tcPr>
            <w:tcW w:w="4114" w:type="dxa"/>
            <w:gridSpan w:val="2"/>
            <w:vAlign w:val="center"/>
          </w:tcPr>
          <w:p w14:paraId="7FBE58E8">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□工程师</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□高级工程师</w:t>
            </w:r>
            <w:r>
              <w:rPr>
                <w:rFonts w:ascii="宋体" w:hAnsi="宋体" w:cs="宋体"/>
                <w:color w:val="auto"/>
                <w:kern w:val="0"/>
                <w:sz w:val="18"/>
                <w:szCs w:val="18"/>
                <w:highlight w:val="none"/>
              </w:rPr>
              <w:t xml:space="preserve">  </w:t>
            </w:r>
          </w:p>
          <w:p w14:paraId="1434BB04">
            <w:pPr>
              <w:widowControl/>
              <w:jc w:val="left"/>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sym w:font="Wingdings 2" w:char="00A3"/>
            </w:r>
            <w:r>
              <w:rPr>
                <w:rFonts w:hint="eastAsia" w:ascii="宋体" w:hAnsi="宋体" w:cs="宋体"/>
                <w:color w:val="auto"/>
                <w:kern w:val="0"/>
                <w:sz w:val="18"/>
                <w:szCs w:val="18"/>
                <w:highlight w:val="none"/>
              </w:rPr>
              <w:t>正（教授级或研究员级）高级工程师</w:t>
            </w:r>
          </w:p>
        </w:tc>
        <w:tc>
          <w:tcPr>
            <w:tcW w:w="851" w:type="dxa"/>
            <w:vAlign w:val="center"/>
          </w:tcPr>
          <w:p w14:paraId="749FE90B">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专业</w:t>
            </w:r>
          </w:p>
        </w:tc>
        <w:tc>
          <w:tcPr>
            <w:tcW w:w="1419" w:type="dxa"/>
            <w:gridSpan w:val="2"/>
            <w:vAlign w:val="center"/>
          </w:tcPr>
          <w:p w14:paraId="73BD8CAA">
            <w:pPr>
              <w:widowControl/>
              <w:jc w:val="center"/>
              <w:rPr>
                <w:rFonts w:ascii="宋体" w:hAnsi="宋体" w:cs="宋体"/>
                <w:bCs/>
                <w:color w:val="auto"/>
                <w:kern w:val="0"/>
                <w:sz w:val="18"/>
                <w:szCs w:val="18"/>
                <w:highlight w:val="none"/>
              </w:rPr>
            </w:pPr>
          </w:p>
        </w:tc>
        <w:tc>
          <w:tcPr>
            <w:tcW w:w="1844" w:type="dxa"/>
            <w:vAlign w:val="center"/>
          </w:tcPr>
          <w:p w14:paraId="6D4B6EBC">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证书编号</w:t>
            </w:r>
          </w:p>
        </w:tc>
        <w:tc>
          <w:tcPr>
            <w:tcW w:w="2284" w:type="dxa"/>
            <w:vAlign w:val="center"/>
          </w:tcPr>
          <w:p w14:paraId="73C12C1D">
            <w:pPr>
              <w:widowControl/>
              <w:jc w:val="center"/>
              <w:rPr>
                <w:rFonts w:ascii="宋体" w:hAnsi="宋体" w:cs="宋体"/>
                <w:bCs/>
                <w:color w:val="auto"/>
                <w:kern w:val="0"/>
                <w:sz w:val="18"/>
                <w:szCs w:val="18"/>
                <w:highlight w:val="none"/>
              </w:rPr>
            </w:pPr>
          </w:p>
        </w:tc>
        <w:tc>
          <w:tcPr>
            <w:tcW w:w="1424" w:type="dxa"/>
            <w:vAlign w:val="center"/>
          </w:tcPr>
          <w:p w14:paraId="4455080E">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附件</w:t>
            </w:r>
            <w:r>
              <w:rPr>
                <w:rFonts w:ascii="宋体" w:hAnsi="宋体" w:cs="宋体"/>
                <w:bCs/>
                <w:color w:val="auto"/>
                <w:kern w:val="0"/>
                <w:sz w:val="18"/>
                <w:szCs w:val="18"/>
                <w:highlight w:val="none"/>
              </w:rPr>
              <w:t>B2.2</w:t>
            </w:r>
          </w:p>
        </w:tc>
      </w:tr>
      <w:tr w14:paraId="05D0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123" w:type="dxa"/>
            <w:vAlign w:val="center"/>
          </w:tcPr>
          <w:p w14:paraId="61343445">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执业资格证书</w:t>
            </w:r>
          </w:p>
        </w:tc>
        <w:tc>
          <w:tcPr>
            <w:tcW w:w="6384" w:type="dxa"/>
            <w:gridSpan w:val="5"/>
            <w:vAlign w:val="center"/>
          </w:tcPr>
          <w:p w14:paraId="54EE223E">
            <w:pPr>
              <w:widowControl/>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□试验检测工程师</w:t>
            </w:r>
            <w:r>
              <w:rPr>
                <w:rStyle w:val="58"/>
                <w:rFonts w:ascii="宋体" w:hAnsi="宋体" w:cs="宋体"/>
                <w:color w:val="auto"/>
                <w:szCs w:val="21"/>
                <w:highlight w:val="none"/>
              </w:rPr>
              <w:footnoteReference w:id="152"/>
            </w:r>
            <w:r>
              <w:rPr>
                <w:rFonts w:ascii="宋体" w:hAnsi="宋体" w:cs="宋体"/>
                <w:color w:val="auto"/>
                <w:kern w:val="0"/>
                <w:sz w:val="18"/>
                <w:szCs w:val="18"/>
                <w:highlight w:val="none"/>
              </w:rPr>
              <w:t xml:space="preserve">      □其他：</w:t>
            </w:r>
            <w:r>
              <w:rPr>
                <w:rFonts w:ascii="宋体" w:hAnsi="宋体" w:cs="宋体"/>
                <w:color w:val="auto"/>
                <w:kern w:val="0"/>
                <w:sz w:val="18"/>
                <w:szCs w:val="18"/>
                <w:highlight w:val="none"/>
                <w:u w:val="single"/>
              </w:rPr>
              <w:t xml:space="preserve">       </w:t>
            </w:r>
          </w:p>
        </w:tc>
        <w:tc>
          <w:tcPr>
            <w:tcW w:w="1844" w:type="dxa"/>
            <w:vAlign w:val="center"/>
          </w:tcPr>
          <w:p w14:paraId="3789CE91">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证书编号</w:t>
            </w:r>
          </w:p>
        </w:tc>
        <w:tc>
          <w:tcPr>
            <w:tcW w:w="2284" w:type="dxa"/>
            <w:vAlign w:val="center"/>
          </w:tcPr>
          <w:p w14:paraId="2305D5C7">
            <w:pPr>
              <w:widowControl/>
              <w:jc w:val="center"/>
              <w:rPr>
                <w:rFonts w:ascii="宋体" w:hAnsi="宋体" w:cs="宋体"/>
                <w:bCs/>
                <w:color w:val="auto"/>
                <w:kern w:val="0"/>
                <w:sz w:val="18"/>
                <w:szCs w:val="18"/>
                <w:highlight w:val="none"/>
              </w:rPr>
            </w:pPr>
          </w:p>
        </w:tc>
        <w:tc>
          <w:tcPr>
            <w:tcW w:w="1424" w:type="dxa"/>
            <w:vAlign w:val="center"/>
          </w:tcPr>
          <w:p w14:paraId="512FAFDB">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附件</w:t>
            </w:r>
            <w:r>
              <w:rPr>
                <w:rFonts w:ascii="宋体" w:hAnsi="宋体" w:cs="宋体"/>
                <w:bCs/>
                <w:color w:val="auto"/>
                <w:kern w:val="0"/>
                <w:sz w:val="18"/>
                <w:szCs w:val="18"/>
                <w:highlight w:val="none"/>
              </w:rPr>
              <w:t>B2.3</w:t>
            </w:r>
          </w:p>
        </w:tc>
      </w:tr>
      <w:tr w14:paraId="30B3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23" w:type="dxa"/>
            <w:vAlign w:val="center"/>
          </w:tcPr>
          <w:p w14:paraId="11365591">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是否要求提供社保资料</w:t>
            </w:r>
          </w:p>
        </w:tc>
        <w:tc>
          <w:tcPr>
            <w:tcW w:w="4114" w:type="dxa"/>
            <w:gridSpan w:val="2"/>
            <w:vAlign w:val="center"/>
          </w:tcPr>
          <w:p w14:paraId="3AD8DA66">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□是</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□否</w:t>
            </w:r>
          </w:p>
        </w:tc>
        <w:tc>
          <w:tcPr>
            <w:tcW w:w="2270" w:type="dxa"/>
            <w:gridSpan w:val="3"/>
            <w:vAlign w:val="center"/>
          </w:tcPr>
          <w:p w14:paraId="50EA84F4">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提供社保时间段</w:t>
            </w:r>
          </w:p>
        </w:tc>
        <w:tc>
          <w:tcPr>
            <w:tcW w:w="4128" w:type="dxa"/>
            <w:gridSpan w:val="2"/>
            <w:vAlign w:val="center"/>
          </w:tcPr>
          <w:p w14:paraId="19CAEB0A">
            <w:pPr>
              <w:widowControl/>
              <w:jc w:val="center"/>
              <w:rPr>
                <w:rFonts w:ascii="宋体" w:hAnsi="宋体" w:cs="宋体"/>
                <w:bCs/>
                <w:color w:val="auto"/>
                <w:kern w:val="0"/>
                <w:sz w:val="18"/>
                <w:szCs w:val="18"/>
                <w:highlight w:val="none"/>
              </w:rPr>
            </w:pPr>
            <w:r>
              <w:rPr>
                <w:rFonts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年</w:t>
            </w:r>
            <w:r>
              <w:rPr>
                <w:rFonts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月</w:t>
            </w:r>
            <w:r>
              <w:rPr>
                <w:rFonts w:ascii="宋体" w:hAnsi="宋体" w:cs="宋体"/>
                <w:bCs/>
                <w:color w:val="auto"/>
                <w:kern w:val="0"/>
                <w:sz w:val="18"/>
                <w:szCs w:val="18"/>
                <w:highlight w:val="none"/>
              </w:rPr>
              <w:t xml:space="preserve"> </w:t>
            </w:r>
            <w:r>
              <w:rPr>
                <w:rFonts w:hint="eastAsia" w:ascii="宋体" w:hAnsi="宋体" w:cs="宋体"/>
                <w:bCs/>
                <w:color w:val="auto"/>
                <w:kern w:val="0"/>
                <w:sz w:val="18"/>
                <w:szCs w:val="18"/>
                <w:highlight w:val="none"/>
              </w:rPr>
              <w:t>～</w:t>
            </w:r>
            <w:r>
              <w:rPr>
                <w:rFonts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年</w:t>
            </w:r>
            <w:r>
              <w:rPr>
                <w:rFonts w:ascii="宋体" w:hAnsi="宋体" w:cs="宋体"/>
                <w:bCs/>
                <w:color w:val="auto"/>
                <w:kern w:val="0"/>
                <w:sz w:val="18"/>
                <w:szCs w:val="18"/>
                <w:highlight w:val="none"/>
                <w:u w:val="single"/>
              </w:rPr>
              <w:t xml:space="preserve">    </w:t>
            </w:r>
            <w:r>
              <w:rPr>
                <w:rFonts w:hint="eastAsia" w:ascii="宋体" w:hAnsi="宋体" w:cs="宋体"/>
                <w:bCs/>
                <w:color w:val="auto"/>
                <w:kern w:val="0"/>
                <w:sz w:val="18"/>
                <w:szCs w:val="18"/>
                <w:highlight w:val="none"/>
              </w:rPr>
              <w:t>月</w:t>
            </w:r>
          </w:p>
        </w:tc>
        <w:tc>
          <w:tcPr>
            <w:tcW w:w="1424" w:type="dxa"/>
            <w:vAlign w:val="center"/>
          </w:tcPr>
          <w:p w14:paraId="669B2DEA">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附件</w:t>
            </w:r>
            <w:r>
              <w:rPr>
                <w:rFonts w:ascii="宋体" w:hAnsi="宋体" w:cs="宋体"/>
                <w:color w:val="auto"/>
                <w:kern w:val="0"/>
                <w:sz w:val="18"/>
                <w:szCs w:val="18"/>
                <w:highlight w:val="none"/>
              </w:rPr>
              <w:t>B2.4</w:t>
            </w:r>
          </w:p>
        </w:tc>
      </w:tr>
      <w:tr w14:paraId="2B937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23" w:type="dxa"/>
            <w:vAlign w:val="center"/>
          </w:tcPr>
          <w:p w14:paraId="5FBF8E8C">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是否在岗</w:t>
            </w:r>
          </w:p>
        </w:tc>
        <w:tc>
          <w:tcPr>
            <w:tcW w:w="10512" w:type="dxa"/>
            <w:gridSpan w:val="7"/>
            <w:vAlign w:val="center"/>
          </w:tcPr>
          <w:p w14:paraId="64FA19FB">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□是</w:t>
            </w:r>
            <w:r>
              <w:rPr>
                <w:rFonts w:ascii="宋体" w:hAnsi="宋体" w:cs="宋体"/>
                <w:color w:val="auto"/>
                <w:kern w:val="0"/>
                <w:sz w:val="18"/>
                <w:szCs w:val="18"/>
                <w:highlight w:val="none"/>
              </w:rPr>
              <w:t xml:space="preserve">    </w:t>
            </w:r>
            <w:r>
              <w:rPr>
                <w:rFonts w:hint="eastAsia" w:ascii="宋体" w:hAnsi="宋体" w:cs="宋体"/>
                <w:color w:val="auto"/>
                <w:kern w:val="0"/>
                <w:sz w:val="18"/>
                <w:szCs w:val="18"/>
                <w:highlight w:val="none"/>
              </w:rPr>
              <w:t>□否</w:t>
            </w:r>
          </w:p>
        </w:tc>
        <w:tc>
          <w:tcPr>
            <w:tcW w:w="1424" w:type="dxa"/>
            <w:vAlign w:val="center"/>
          </w:tcPr>
          <w:p w14:paraId="25509117">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承诺</w:t>
            </w:r>
            <w:r>
              <w:rPr>
                <w:rFonts w:ascii="宋体" w:hAnsi="宋体" w:cs="宋体"/>
                <w:color w:val="auto"/>
                <w:kern w:val="0"/>
                <w:sz w:val="18"/>
                <w:szCs w:val="18"/>
                <w:highlight w:val="none"/>
              </w:rPr>
              <w:t>见投标函</w:t>
            </w:r>
          </w:p>
        </w:tc>
      </w:tr>
      <w:tr w14:paraId="3261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4059" w:type="dxa"/>
            <w:gridSpan w:val="9"/>
            <w:vAlign w:val="center"/>
          </w:tcPr>
          <w:p w14:paraId="72F1E410">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担任资格审查要求职务完成业绩情况（如有）</w:t>
            </w:r>
          </w:p>
        </w:tc>
      </w:tr>
      <w:tr w14:paraId="45AA0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23" w:type="dxa"/>
            <w:vAlign w:val="center"/>
          </w:tcPr>
          <w:p w14:paraId="01249058">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项目业主</w:t>
            </w:r>
          </w:p>
        </w:tc>
        <w:tc>
          <w:tcPr>
            <w:tcW w:w="2982" w:type="dxa"/>
            <w:vAlign w:val="center"/>
          </w:tcPr>
          <w:p w14:paraId="0EE9D150">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项目名称</w:t>
            </w:r>
          </w:p>
        </w:tc>
        <w:tc>
          <w:tcPr>
            <w:tcW w:w="1132" w:type="dxa"/>
            <w:vAlign w:val="center"/>
          </w:tcPr>
          <w:p w14:paraId="55C44AD0">
            <w:pPr>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公路等级</w:t>
            </w:r>
          </w:p>
        </w:tc>
        <w:tc>
          <w:tcPr>
            <w:tcW w:w="1537" w:type="dxa"/>
            <w:gridSpan w:val="2"/>
            <w:vAlign w:val="center"/>
          </w:tcPr>
          <w:p w14:paraId="7ECC6456">
            <w:pPr>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标段号</w:t>
            </w:r>
          </w:p>
        </w:tc>
        <w:tc>
          <w:tcPr>
            <w:tcW w:w="2577" w:type="dxa"/>
            <w:gridSpan w:val="2"/>
            <w:vAlign w:val="center"/>
          </w:tcPr>
          <w:p w14:paraId="653E09E1">
            <w:pPr>
              <w:widowControl/>
              <w:jc w:val="center"/>
              <w:rPr>
                <w:rFonts w:ascii="宋体" w:hAnsi="宋体" w:cs="宋体"/>
                <w:bCs/>
                <w:color w:val="auto"/>
                <w:kern w:val="0"/>
                <w:sz w:val="18"/>
                <w:szCs w:val="18"/>
                <w:highlight w:val="none"/>
              </w:rPr>
            </w:pPr>
            <w:r>
              <w:rPr>
                <w:rFonts w:hint="eastAsia" w:ascii="宋体" w:hAnsi="宋体" w:cs="宋体"/>
                <w:bCs/>
                <w:color w:val="auto"/>
                <w:kern w:val="0"/>
                <w:sz w:val="18"/>
                <w:szCs w:val="18"/>
                <w:highlight w:val="none"/>
              </w:rPr>
              <w:t>试验室主任</w:t>
            </w:r>
            <w:r>
              <w:rPr>
                <w:rFonts w:ascii="宋体" w:hAnsi="宋体" w:cs="宋体"/>
                <w:bCs/>
                <w:color w:val="auto"/>
                <w:kern w:val="0"/>
                <w:sz w:val="18"/>
                <w:szCs w:val="18"/>
                <w:highlight w:val="none"/>
              </w:rPr>
              <w:t>/技术负责人</w:t>
            </w:r>
          </w:p>
        </w:tc>
        <w:tc>
          <w:tcPr>
            <w:tcW w:w="2284" w:type="dxa"/>
            <w:vAlign w:val="center"/>
          </w:tcPr>
          <w:p w14:paraId="57A666D6">
            <w:pPr>
              <w:widowControl/>
              <w:jc w:val="center"/>
              <w:rPr>
                <w:rFonts w:ascii="宋体" w:hAnsi="宋体" w:cs="宋体"/>
                <w:bCs/>
                <w:color w:val="auto"/>
                <w:kern w:val="0"/>
                <w:sz w:val="18"/>
                <w:szCs w:val="18"/>
                <w:highlight w:val="none"/>
              </w:rPr>
            </w:pPr>
            <w:r>
              <w:rPr>
                <w:rFonts w:hint="eastAsia" w:ascii="宋体" w:hAnsi="宋体" w:cs="宋体"/>
                <w:color w:val="auto"/>
                <w:kern w:val="0"/>
                <w:sz w:val="18"/>
                <w:szCs w:val="18"/>
                <w:highlight w:val="none"/>
              </w:rPr>
              <w:t>□</w:t>
            </w:r>
            <w:r>
              <w:rPr>
                <w:rFonts w:hint="eastAsia" w:ascii="宋体" w:hAnsi="宋体" w:cs="宋体"/>
                <w:bCs/>
                <w:color w:val="auto"/>
                <w:kern w:val="0"/>
                <w:sz w:val="18"/>
                <w:szCs w:val="18"/>
                <w:highlight w:val="none"/>
              </w:rPr>
              <w:t>承担标段路线长度（</w:t>
            </w:r>
            <w:r>
              <w:rPr>
                <w:rFonts w:ascii="宋体" w:hAnsi="宋体" w:cs="宋体"/>
                <w:bCs/>
                <w:color w:val="auto"/>
                <w:kern w:val="0"/>
                <w:sz w:val="18"/>
                <w:szCs w:val="18"/>
                <w:highlight w:val="none"/>
              </w:rPr>
              <w:t>km）</w:t>
            </w:r>
          </w:p>
        </w:tc>
        <w:tc>
          <w:tcPr>
            <w:tcW w:w="1424" w:type="dxa"/>
            <w:vAlign w:val="center"/>
          </w:tcPr>
          <w:p w14:paraId="6B3023EE">
            <w:pPr>
              <w:widowControl/>
              <w:jc w:val="center"/>
              <w:rPr>
                <w:rFonts w:ascii="宋体" w:hAnsi="宋体" w:cs="宋体"/>
                <w:b/>
                <w:bCs/>
                <w:color w:val="auto"/>
                <w:kern w:val="0"/>
                <w:sz w:val="18"/>
                <w:szCs w:val="18"/>
                <w:highlight w:val="none"/>
              </w:rPr>
            </w:pPr>
            <w:r>
              <w:rPr>
                <w:rFonts w:hint="eastAsia" w:ascii="宋体" w:hAnsi="宋体" w:cs="宋体"/>
                <w:bCs/>
                <w:color w:val="auto"/>
                <w:kern w:val="0"/>
                <w:sz w:val="18"/>
                <w:szCs w:val="18"/>
                <w:highlight w:val="none"/>
              </w:rPr>
              <w:t>业绩情况附件</w:t>
            </w:r>
          </w:p>
        </w:tc>
      </w:tr>
      <w:tr w14:paraId="45AA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23" w:type="dxa"/>
            <w:vAlign w:val="center"/>
          </w:tcPr>
          <w:p w14:paraId="5ED8368F">
            <w:pPr>
              <w:widowControl/>
              <w:jc w:val="center"/>
              <w:rPr>
                <w:rFonts w:ascii="宋体" w:hAnsi="宋体" w:cs="宋体"/>
                <w:color w:val="auto"/>
                <w:kern w:val="0"/>
                <w:sz w:val="18"/>
                <w:szCs w:val="18"/>
                <w:highlight w:val="none"/>
              </w:rPr>
            </w:pPr>
          </w:p>
        </w:tc>
        <w:tc>
          <w:tcPr>
            <w:tcW w:w="2982" w:type="dxa"/>
            <w:vAlign w:val="center"/>
          </w:tcPr>
          <w:p w14:paraId="1F2C13DC">
            <w:pPr>
              <w:jc w:val="center"/>
              <w:rPr>
                <w:rFonts w:ascii="宋体" w:hAnsi="宋体" w:cs="宋体"/>
                <w:color w:val="auto"/>
                <w:kern w:val="0"/>
                <w:sz w:val="18"/>
                <w:szCs w:val="18"/>
                <w:highlight w:val="none"/>
              </w:rPr>
            </w:pPr>
          </w:p>
        </w:tc>
        <w:tc>
          <w:tcPr>
            <w:tcW w:w="1132" w:type="dxa"/>
            <w:vAlign w:val="center"/>
          </w:tcPr>
          <w:p w14:paraId="749AF254">
            <w:pPr>
              <w:jc w:val="center"/>
              <w:rPr>
                <w:rFonts w:ascii="宋体" w:hAnsi="宋体" w:cs="宋体"/>
                <w:color w:val="auto"/>
                <w:kern w:val="0"/>
                <w:sz w:val="18"/>
                <w:szCs w:val="18"/>
                <w:highlight w:val="none"/>
              </w:rPr>
            </w:pPr>
          </w:p>
        </w:tc>
        <w:tc>
          <w:tcPr>
            <w:tcW w:w="1537" w:type="dxa"/>
            <w:gridSpan w:val="2"/>
            <w:vAlign w:val="center"/>
          </w:tcPr>
          <w:p w14:paraId="68F6DB78">
            <w:pPr>
              <w:widowControl/>
              <w:jc w:val="center"/>
              <w:rPr>
                <w:rFonts w:ascii="宋体" w:hAnsi="宋体" w:cs="宋体"/>
                <w:color w:val="auto"/>
                <w:kern w:val="0"/>
                <w:sz w:val="18"/>
                <w:szCs w:val="18"/>
                <w:highlight w:val="none"/>
              </w:rPr>
            </w:pPr>
          </w:p>
        </w:tc>
        <w:tc>
          <w:tcPr>
            <w:tcW w:w="2577" w:type="dxa"/>
            <w:gridSpan w:val="2"/>
            <w:vAlign w:val="center"/>
          </w:tcPr>
          <w:p w14:paraId="7D82FB9F">
            <w:pPr>
              <w:jc w:val="center"/>
              <w:rPr>
                <w:rFonts w:ascii="宋体" w:hAnsi="宋体" w:cs="宋体"/>
                <w:color w:val="auto"/>
                <w:sz w:val="18"/>
                <w:szCs w:val="18"/>
                <w:highlight w:val="none"/>
              </w:rPr>
            </w:pPr>
          </w:p>
        </w:tc>
        <w:tc>
          <w:tcPr>
            <w:tcW w:w="2284" w:type="dxa"/>
            <w:vAlign w:val="center"/>
          </w:tcPr>
          <w:p w14:paraId="5F467413">
            <w:pPr>
              <w:jc w:val="center"/>
              <w:rPr>
                <w:rFonts w:ascii="宋体" w:hAnsi="宋体" w:cs="宋体"/>
                <w:color w:val="auto"/>
                <w:kern w:val="0"/>
                <w:sz w:val="18"/>
                <w:szCs w:val="18"/>
                <w:highlight w:val="none"/>
              </w:rPr>
            </w:pPr>
          </w:p>
        </w:tc>
        <w:tc>
          <w:tcPr>
            <w:tcW w:w="1424" w:type="dxa"/>
            <w:vAlign w:val="center"/>
          </w:tcPr>
          <w:p w14:paraId="5219A947">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附件</w:t>
            </w:r>
            <w:r>
              <w:rPr>
                <w:rFonts w:ascii="宋体" w:hAnsi="宋体" w:cs="宋体"/>
                <w:color w:val="auto"/>
                <w:kern w:val="0"/>
                <w:sz w:val="18"/>
                <w:szCs w:val="18"/>
                <w:highlight w:val="none"/>
              </w:rPr>
              <w:t>B2.5</w:t>
            </w:r>
          </w:p>
        </w:tc>
      </w:tr>
      <w:tr w14:paraId="0CD5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23" w:type="dxa"/>
            <w:vAlign w:val="center"/>
          </w:tcPr>
          <w:p w14:paraId="73F20082">
            <w:pPr>
              <w:widowControl/>
              <w:jc w:val="center"/>
              <w:rPr>
                <w:rFonts w:ascii="宋体" w:hAnsi="宋体" w:cs="宋体"/>
                <w:color w:val="auto"/>
                <w:kern w:val="0"/>
                <w:sz w:val="18"/>
                <w:szCs w:val="18"/>
                <w:highlight w:val="none"/>
              </w:rPr>
            </w:pPr>
          </w:p>
        </w:tc>
        <w:tc>
          <w:tcPr>
            <w:tcW w:w="2982" w:type="dxa"/>
            <w:vAlign w:val="center"/>
          </w:tcPr>
          <w:p w14:paraId="11E40781">
            <w:pPr>
              <w:jc w:val="center"/>
              <w:rPr>
                <w:rFonts w:ascii="宋体" w:hAnsi="宋体" w:cs="宋体"/>
                <w:color w:val="auto"/>
                <w:kern w:val="0"/>
                <w:sz w:val="18"/>
                <w:szCs w:val="18"/>
                <w:highlight w:val="none"/>
              </w:rPr>
            </w:pPr>
          </w:p>
        </w:tc>
        <w:tc>
          <w:tcPr>
            <w:tcW w:w="1132" w:type="dxa"/>
            <w:vAlign w:val="center"/>
          </w:tcPr>
          <w:p w14:paraId="6931D4B2">
            <w:pPr>
              <w:jc w:val="center"/>
              <w:rPr>
                <w:rFonts w:ascii="宋体" w:hAnsi="宋体" w:cs="宋体"/>
                <w:color w:val="auto"/>
                <w:kern w:val="0"/>
                <w:sz w:val="18"/>
                <w:szCs w:val="18"/>
                <w:highlight w:val="none"/>
              </w:rPr>
            </w:pPr>
          </w:p>
        </w:tc>
        <w:tc>
          <w:tcPr>
            <w:tcW w:w="1537" w:type="dxa"/>
            <w:gridSpan w:val="2"/>
            <w:vAlign w:val="center"/>
          </w:tcPr>
          <w:p w14:paraId="5925C2AE">
            <w:pPr>
              <w:widowControl/>
              <w:jc w:val="center"/>
              <w:rPr>
                <w:rFonts w:ascii="宋体" w:hAnsi="宋体" w:cs="宋体"/>
                <w:color w:val="auto"/>
                <w:kern w:val="0"/>
                <w:sz w:val="18"/>
                <w:szCs w:val="18"/>
                <w:highlight w:val="none"/>
              </w:rPr>
            </w:pPr>
          </w:p>
        </w:tc>
        <w:tc>
          <w:tcPr>
            <w:tcW w:w="2577" w:type="dxa"/>
            <w:gridSpan w:val="2"/>
            <w:vAlign w:val="center"/>
          </w:tcPr>
          <w:p w14:paraId="59224D59">
            <w:pPr>
              <w:jc w:val="center"/>
              <w:rPr>
                <w:rFonts w:ascii="宋体" w:hAnsi="宋体" w:cs="宋体"/>
                <w:color w:val="auto"/>
                <w:sz w:val="18"/>
                <w:szCs w:val="18"/>
                <w:highlight w:val="none"/>
              </w:rPr>
            </w:pPr>
          </w:p>
        </w:tc>
        <w:tc>
          <w:tcPr>
            <w:tcW w:w="2284" w:type="dxa"/>
            <w:vAlign w:val="center"/>
          </w:tcPr>
          <w:p w14:paraId="442C707C">
            <w:pPr>
              <w:jc w:val="center"/>
              <w:rPr>
                <w:rFonts w:ascii="宋体" w:hAnsi="宋体" w:cs="宋体"/>
                <w:color w:val="auto"/>
                <w:kern w:val="0"/>
                <w:sz w:val="18"/>
                <w:szCs w:val="18"/>
                <w:highlight w:val="none"/>
              </w:rPr>
            </w:pPr>
          </w:p>
        </w:tc>
        <w:tc>
          <w:tcPr>
            <w:tcW w:w="1424" w:type="dxa"/>
            <w:vAlign w:val="center"/>
          </w:tcPr>
          <w:p w14:paraId="7D43369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附件</w:t>
            </w:r>
            <w:r>
              <w:rPr>
                <w:rFonts w:ascii="宋体" w:hAnsi="宋体" w:cs="宋体"/>
                <w:color w:val="auto"/>
                <w:kern w:val="0"/>
                <w:sz w:val="18"/>
                <w:szCs w:val="18"/>
                <w:highlight w:val="none"/>
              </w:rPr>
              <w:t>B2.6</w:t>
            </w:r>
          </w:p>
        </w:tc>
      </w:tr>
      <w:tr w14:paraId="680E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2123" w:type="dxa"/>
            <w:vAlign w:val="center"/>
          </w:tcPr>
          <w:p w14:paraId="79CC2FB1">
            <w:pPr>
              <w:widowControl/>
              <w:jc w:val="center"/>
              <w:rPr>
                <w:rFonts w:ascii="宋体" w:hAnsi="宋体" w:cs="宋体"/>
                <w:color w:val="auto"/>
                <w:kern w:val="0"/>
                <w:sz w:val="18"/>
                <w:szCs w:val="18"/>
                <w:highlight w:val="none"/>
              </w:rPr>
            </w:pPr>
          </w:p>
        </w:tc>
        <w:tc>
          <w:tcPr>
            <w:tcW w:w="2982" w:type="dxa"/>
            <w:vAlign w:val="center"/>
          </w:tcPr>
          <w:p w14:paraId="08E4A450">
            <w:pPr>
              <w:jc w:val="center"/>
              <w:rPr>
                <w:rFonts w:ascii="宋体" w:hAnsi="宋体" w:cs="宋体"/>
                <w:color w:val="auto"/>
                <w:kern w:val="0"/>
                <w:sz w:val="18"/>
                <w:szCs w:val="18"/>
                <w:highlight w:val="none"/>
              </w:rPr>
            </w:pPr>
          </w:p>
        </w:tc>
        <w:tc>
          <w:tcPr>
            <w:tcW w:w="1132" w:type="dxa"/>
            <w:vAlign w:val="center"/>
          </w:tcPr>
          <w:p w14:paraId="2A5A6532">
            <w:pPr>
              <w:jc w:val="center"/>
              <w:rPr>
                <w:rFonts w:ascii="宋体" w:hAnsi="宋体" w:cs="宋体"/>
                <w:color w:val="auto"/>
                <w:kern w:val="0"/>
                <w:sz w:val="18"/>
                <w:szCs w:val="18"/>
                <w:highlight w:val="none"/>
              </w:rPr>
            </w:pPr>
          </w:p>
        </w:tc>
        <w:tc>
          <w:tcPr>
            <w:tcW w:w="1537" w:type="dxa"/>
            <w:gridSpan w:val="2"/>
            <w:vAlign w:val="center"/>
          </w:tcPr>
          <w:p w14:paraId="11396BA4">
            <w:pPr>
              <w:widowControl/>
              <w:jc w:val="center"/>
              <w:rPr>
                <w:rFonts w:ascii="宋体" w:hAnsi="宋体" w:cs="宋体"/>
                <w:color w:val="auto"/>
                <w:kern w:val="0"/>
                <w:sz w:val="18"/>
                <w:szCs w:val="18"/>
                <w:highlight w:val="none"/>
              </w:rPr>
            </w:pPr>
          </w:p>
        </w:tc>
        <w:tc>
          <w:tcPr>
            <w:tcW w:w="2577" w:type="dxa"/>
            <w:gridSpan w:val="2"/>
            <w:vAlign w:val="center"/>
          </w:tcPr>
          <w:p w14:paraId="432D382C">
            <w:pPr>
              <w:jc w:val="center"/>
              <w:rPr>
                <w:rFonts w:ascii="宋体" w:hAnsi="宋体" w:cs="宋体"/>
                <w:color w:val="auto"/>
                <w:sz w:val="18"/>
                <w:szCs w:val="18"/>
                <w:highlight w:val="none"/>
              </w:rPr>
            </w:pPr>
          </w:p>
        </w:tc>
        <w:tc>
          <w:tcPr>
            <w:tcW w:w="2284" w:type="dxa"/>
            <w:vAlign w:val="center"/>
          </w:tcPr>
          <w:p w14:paraId="630E5B4A">
            <w:pPr>
              <w:jc w:val="center"/>
              <w:rPr>
                <w:rFonts w:ascii="宋体" w:hAnsi="宋体" w:cs="宋体"/>
                <w:color w:val="auto"/>
                <w:kern w:val="0"/>
                <w:sz w:val="18"/>
                <w:szCs w:val="18"/>
                <w:highlight w:val="none"/>
              </w:rPr>
            </w:pPr>
          </w:p>
        </w:tc>
        <w:tc>
          <w:tcPr>
            <w:tcW w:w="1424" w:type="dxa"/>
            <w:vAlign w:val="center"/>
          </w:tcPr>
          <w:p w14:paraId="61002B3F">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附件</w:t>
            </w:r>
            <w:r>
              <w:rPr>
                <w:rFonts w:ascii="宋体" w:hAnsi="宋体" w:cs="宋体"/>
                <w:color w:val="auto"/>
                <w:kern w:val="0"/>
                <w:sz w:val="18"/>
                <w:szCs w:val="18"/>
                <w:highlight w:val="none"/>
              </w:rPr>
              <w:t>B2.7</w:t>
            </w:r>
          </w:p>
        </w:tc>
      </w:tr>
      <w:tr w14:paraId="0B6AB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2123" w:type="dxa"/>
            <w:vAlign w:val="center"/>
          </w:tcPr>
          <w:p w14:paraId="0CED2970">
            <w:pPr>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w:t>
            </w:r>
          </w:p>
        </w:tc>
        <w:tc>
          <w:tcPr>
            <w:tcW w:w="2982" w:type="dxa"/>
            <w:vAlign w:val="center"/>
          </w:tcPr>
          <w:p w14:paraId="44C2DE60">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132" w:type="dxa"/>
            <w:vAlign w:val="center"/>
          </w:tcPr>
          <w:p w14:paraId="2BCFED1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537" w:type="dxa"/>
            <w:gridSpan w:val="2"/>
            <w:vAlign w:val="center"/>
          </w:tcPr>
          <w:p w14:paraId="3775875A">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577" w:type="dxa"/>
            <w:gridSpan w:val="2"/>
            <w:vAlign w:val="center"/>
          </w:tcPr>
          <w:p w14:paraId="0C8D2A96">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2284" w:type="dxa"/>
            <w:vAlign w:val="center"/>
          </w:tcPr>
          <w:p w14:paraId="6905D963">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c>
          <w:tcPr>
            <w:tcW w:w="1424" w:type="dxa"/>
            <w:vAlign w:val="center"/>
          </w:tcPr>
          <w:p w14:paraId="250B178E">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w:t>
            </w:r>
          </w:p>
        </w:tc>
      </w:tr>
    </w:tbl>
    <w:p w14:paraId="1CE46659">
      <w:pPr>
        <w:spacing w:line="260" w:lineRule="exact"/>
        <w:rPr>
          <w:rFonts w:hint="eastAsia" w:cs="宋体" w:asciiTheme="minorEastAsia" w:hAnsiTheme="minorEastAsia" w:eastAsiaTheme="minorEastAsia"/>
          <w:color w:val="auto"/>
          <w:spacing w:val="-3"/>
          <w:sz w:val="18"/>
          <w:szCs w:val="18"/>
          <w:highlight w:val="none"/>
        </w:rPr>
      </w:pPr>
      <w:r>
        <w:rPr>
          <w:rFonts w:hint="eastAsia" w:ascii="宋体" w:hAnsi="宋体" w:cs="宋体"/>
          <w:color w:val="auto"/>
          <w:sz w:val="18"/>
          <w:szCs w:val="18"/>
          <w:highlight w:val="none"/>
        </w:rPr>
        <w:t>注：</w:t>
      </w:r>
      <w:r>
        <w:rPr>
          <w:rFonts w:ascii="宋体" w:hAnsi="宋体" w:cs="宋体"/>
          <w:color w:val="auto"/>
          <w:sz w:val="18"/>
          <w:szCs w:val="18"/>
          <w:highlight w:val="none"/>
        </w:rPr>
        <w:t>1.</w:t>
      </w:r>
      <w:r>
        <w:rPr>
          <w:rFonts w:cs="宋体" w:asciiTheme="minorEastAsia" w:hAnsiTheme="minorEastAsia" w:eastAsiaTheme="minorEastAsia"/>
          <w:color w:val="auto"/>
          <w:spacing w:val="-3"/>
          <w:sz w:val="18"/>
          <w:szCs w:val="18"/>
          <w:highlight w:val="none"/>
        </w:rPr>
        <w:t>投标人</w:t>
      </w:r>
      <w:r>
        <w:rPr>
          <w:rFonts w:hint="eastAsia" w:cs="宋体" w:asciiTheme="minorEastAsia" w:hAnsiTheme="minorEastAsia" w:eastAsiaTheme="minorEastAsia"/>
          <w:color w:val="auto"/>
          <w:spacing w:val="-3"/>
          <w:sz w:val="18"/>
          <w:szCs w:val="18"/>
          <w:highlight w:val="none"/>
          <w:lang w:val="en-US" w:eastAsia="zh-CN"/>
        </w:rPr>
        <w:t>应</w:t>
      </w:r>
      <w:r>
        <w:rPr>
          <w:rFonts w:cs="宋体" w:asciiTheme="minorEastAsia" w:hAnsiTheme="minorEastAsia" w:eastAsiaTheme="minorEastAsia"/>
          <w:color w:val="auto"/>
          <w:spacing w:val="-3"/>
          <w:sz w:val="18"/>
          <w:szCs w:val="18"/>
          <w:highlight w:val="none"/>
        </w:rPr>
        <w:t>在</w:t>
      </w:r>
      <w:r>
        <w:rPr>
          <w:rFonts w:hint="eastAsia" w:cs="宋体" w:asciiTheme="minorEastAsia" w:hAnsiTheme="minorEastAsia" w:eastAsiaTheme="minorEastAsia"/>
          <w:color w:val="auto"/>
          <w:spacing w:val="-3"/>
          <w:sz w:val="18"/>
          <w:szCs w:val="18"/>
          <w:highlight w:val="none"/>
          <w:lang w:val="en-US" w:eastAsia="zh-CN"/>
        </w:rPr>
        <w:t>本</w:t>
      </w:r>
      <w:r>
        <w:rPr>
          <w:rFonts w:cs="宋体" w:asciiTheme="minorEastAsia" w:hAnsiTheme="minorEastAsia" w:eastAsiaTheme="minorEastAsia"/>
          <w:color w:val="auto"/>
          <w:spacing w:val="-3"/>
          <w:sz w:val="18"/>
          <w:szCs w:val="18"/>
          <w:highlight w:val="none"/>
        </w:rPr>
        <w:t>表后提供相关证明材料（原件原色扫描件）附件B4</w:t>
      </w:r>
      <w:r>
        <w:rPr>
          <w:rFonts w:hint="eastAsia" w:cs="宋体" w:asciiTheme="minorEastAsia" w:hAnsiTheme="minorEastAsia" w:eastAsiaTheme="minorEastAsia"/>
          <w:color w:val="auto"/>
          <w:spacing w:val="-3"/>
          <w:sz w:val="18"/>
          <w:szCs w:val="18"/>
          <w:highlight w:val="none"/>
        </w:rPr>
        <w:t>系列（身份证、职称证、执业资格证</w:t>
      </w:r>
      <w:r>
        <w:rPr>
          <w:rFonts w:hint="eastAsia" w:cs="宋体" w:asciiTheme="minorEastAsia" w:hAnsiTheme="minorEastAsia" w:eastAsiaTheme="minorEastAsia"/>
          <w:color w:val="auto"/>
          <w:kern w:val="0"/>
          <w:sz w:val="18"/>
          <w:szCs w:val="18"/>
          <w:highlight w:val="none"/>
        </w:rPr>
        <w:t>、</w:t>
      </w:r>
      <w:r>
        <w:rPr>
          <w:rFonts w:hint="eastAsia" w:cs="宋体" w:asciiTheme="minorEastAsia" w:hAnsiTheme="minorEastAsia" w:eastAsiaTheme="minorEastAsia"/>
          <w:color w:val="auto"/>
          <w:spacing w:val="-3"/>
          <w:sz w:val="18"/>
          <w:szCs w:val="18"/>
          <w:highlight w:val="none"/>
        </w:rPr>
        <w:t>社保证明、个人业绩证明）。</w:t>
      </w:r>
      <w:r>
        <w:rPr>
          <w:rStyle w:val="58"/>
          <w:rFonts w:hint="eastAsia" w:ascii="宋体" w:hAnsi="宋体" w:cs="宋体"/>
          <w:color w:val="auto"/>
          <w:szCs w:val="21"/>
          <w:highlight w:val="none"/>
        </w:rPr>
        <w:footnoteReference w:id="153"/>
      </w:r>
    </w:p>
    <w:p w14:paraId="1D28CACB">
      <w:pPr>
        <w:spacing w:line="260" w:lineRule="exact"/>
        <w:ind w:firstLine="348" w:firstLineChars="200"/>
        <w:rPr>
          <w:rFonts w:ascii="宋体" w:hAnsi="宋体" w:cs="宋体"/>
          <w:color w:val="auto"/>
          <w:sz w:val="18"/>
          <w:szCs w:val="18"/>
          <w:highlight w:val="none"/>
        </w:rPr>
      </w:pPr>
      <w:r>
        <w:rPr>
          <w:rFonts w:hint="eastAsia" w:cs="宋体" w:asciiTheme="minorEastAsia" w:hAnsiTheme="minorEastAsia" w:eastAsiaTheme="minorEastAsia"/>
          <w:color w:val="auto"/>
          <w:spacing w:val="-3"/>
          <w:sz w:val="18"/>
          <w:szCs w:val="18"/>
          <w:highlight w:val="none"/>
          <w:lang w:val="en-US" w:eastAsia="zh-CN"/>
        </w:rPr>
        <w:t>2.</w:t>
      </w:r>
      <w:r>
        <w:rPr>
          <w:rFonts w:hint="eastAsia" w:cs="宋体" w:asciiTheme="minorEastAsia" w:hAnsiTheme="minorEastAsia" w:eastAsiaTheme="minorEastAsia"/>
          <w:color w:val="auto"/>
          <w:spacing w:val="-3"/>
          <w:sz w:val="18"/>
          <w:szCs w:val="18"/>
          <w:highlight w:val="none"/>
        </w:rPr>
        <w:t>因投标人自身原因未提供附件或提供的附件不能与所证明的内容相匹配，造成业绩或其他内容不予认可时，投标人自行承担相关责任。</w:t>
      </w:r>
    </w:p>
    <w:p w14:paraId="094BC368">
      <w:pPr>
        <w:spacing w:line="260" w:lineRule="exact"/>
        <w:ind w:firstLine="360" w:firstLineChars="200"/>
        <w:rPr>
          <w:rFonts w:ascii="宋体" w:hAnsi="宋体" w:cs="宋体"/>
          <w:color w:val="auto"/>
          <w:sz w:val="18"/>
          <w:szCs w:val="18"/>
          <w:highlight w:val="none"/>
        </w:rPr>
      </w:pPr>
      <w:r>
        <w:rPr>
          <w:rFonts w:hint="eastAsia" w:ascii="宋体" w:hAnsi="宋体" w:cs="宋体"/>
          <w:color w:val="auto"/>
          <w:sz w:val="18"/>
          <w:szCs w:val="18"/>
          <w:highlight w:val="none"/>
          <w:lang w:val="en-US" w:eastAsia="zh-CN"/>
        </w:rPr>
        <w:t>3</w:t>
      </w:r>
      <w:r>
        <w:rPr>
          <w:rFonts w:ascii="宋体" w:hAnsi="宋体" w:cs="宋体"/>
          <w:color w:val="auto"/>
          <w:sz w:val="18"/>
          <w:szCs w:val="18"/>
          <w:highlight w:val="none"/>
        </w:rPr>
        <w:t>.个人业绩证明材料为：</w:t>
      </w:r>
    </w:p>
    <w:p w14:paraId="6287FCEF">
      <w:pPr>
        <w:spacing w:line="260" w:lineRule="exact"/>
        <w:ind w:firstLine="542" w:firstLineChars="300"/>
        <w:rPr>
          <w:rFonts w:ascii="宋体" w:hAnsi="宋体" w:cs="宋体"/>
          <w:color w:val="auto"/>
          <w:sz w:val="18"/>
          <w:szCs w:val="18"/>
          <w:highlight w:val="none"/>
        </w:rPr>
      </w:pPr>
      <w:r>
        <w:rPr>
          <w:rFonts w:hint="eastAsia" w:ascii="宋体" w:hAnsi="宋体" w:cs="宋体"/>
          <w:b/>
          <w:bCs/>
          <w:color w:val="auto"/>
          <w:sz w:val="18"/>
          <w:szCs w:val="18"/>
          <w:highlight w:val="none"/>
        </w:rPr>
        <w:t>□</w:t>
      </w:r>
      <w:r>
        <w:rPr>
          <w:rFonts w:hint="eastAsia" w:ascii="宋体" w:hAnsi="宋体" w:cs="宋体"/>
          <w:color w:val="auto"/>
          <w:sz w:val="18"/>
          <w:szCs w:val="18"/>
          <w:highlight w:val="none"/>
        </w:rPr>
        <w:t>交通运输部“全国公路建设市场监督管理系统”中载明的、能够证明该人员具有相关业绩的网页截图</w:t>
      </w:r>
      <w:r>
        <w:rPr>
          <w:rStyle w:val="58"/>
          <w:rFonts w:ascii="宋体" w:hAnsi="宋体" w:cs="宋体"/>
          <w:color w:val="auto"/>
          <w:sz w:val="18"/>
          <w:szCs w:val="18"/>
          <w:highlight w:val="none"/>
        </w:rPr>
        <w:footnoteReference w:id="154"/>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rPr>
        <w:t>□</w:t>
      </w:r>
      <w:r>
        <w:rPr>
          <w:rFonts w:ascii="宋体" w:hAnsi="宋体" w:cs="宋体"/>
          <w:color w:val="auto"/>
          <w:sz w:val="18"/>
          <w:szCs w:val="18"/>
          <w:highlight w:val="none"/>
        </w:rPr>
        <w:t>或</w:t>
      </w:r>
    </w:p>
    <w:p w14:paraId="3AD5DD7F">
      <w:pPr>
        <w:spacing w:line="260" w:lineRule="exact"/>
        <w:ind w:firstLine="542" w:firstLineChars="300"/>
        <w:rPr>
          <w:rFonts w:ascii="宋体" w:hAnsi="宋体" w:cs="宋体"/>
          <w:color w:val="auto"/>
          <w:sz w:val="18"/>
          <w:szCs w:val="18"/>
          <w:highlight w:val="none"/>
        </w:rPr>
      </w:pPr>
      <w:r>
        <w:rPr>
          <w:rFonts w:hint="eastAsia" w:ascii="宋体" w:hAnsi="宋体" w:cs="宋体"/>
          <w:b/>
          <w:bCs/>
          <w:color w:val="auto"/>
          <w:sz w:val="18"/>
          <w:szCs w:val="18"/>
          <w:highlight w:val="none"/>
        </w:rPr>
        <w:t>□</w:t>
      </w:r>
      <w:r>
        <w:rPr>
          <w:rFonts w:hint="eastAsia" w:ascii="宋体" w:hAnsi="宋体" w:cs="宋体"/>
          <w:color w:val="auto"/>
          <w:sz w:val="18"/>
          <w:szCs w:val="18"/>
          <w:highlight w:val="none"/>
        </w:rPr>
        <w:t>合同协议书；和</w:t>
      </w:r>
    </w:p>
    <w:p w14:paraId="7EE32732">
      <w:pPr>
        <w:spacing w:line="260" w:lineRule="exact"/>
        <w:ind w:firstLine="720" w:firstLineChars="400"/>
        <w:rPr>
          <w:rFonts w:ascii="宋体" w:hAnsi="宋体" w:cs="宋体"/>
          <w:color w:val="auto"/>
          <w:sz w:val="18"/>
          <w:szCs w:val="18"/>
          <w:highlight w:val="none"/>
        </w:rPr>
      </w:pPr>
      <w:r>
        <w:rPr>
          <w:rFonts w:hint="eastAsia" w:ascii="宋体" w:hAnsi="宋体" w:cs="宋体"/>
          <w:color w:val="auto"/>
          <w:sz w:val="18"/>
          <w:szCs w:val="18"/>
          <w:highlight w:val="none"/>
        </w:rPr>
        <w:t>项目评定书或交工验收证书或竣工验收委员会出具的公路工程竣工验收鉴定书或发包人出具的证明原件原色扫描件，其中应能够证明该人员具有相关业绩。</w:t>
      </w:r>
    </w:p>
    <w:p w14:paraId="5883A17E">
      <w:pPr>
        <w:numPr>
          <w:ilvl w:val="-1"/>
          <w:numId w:val="0"/>
        </w:numPr>
        <w:spacing w:line="260" w:lineRule="exact"/>
        <w:ind w:left="0" w:firstLine="360" w:firstLineChars="200"/>
        <w:rPr>
          <w:rFonts w:hint="eastAsia" w:ascii="宋体" w:hAnsi="宋体" w:cs="宋体"/>
          <w:color w:val="auto"/>
          <w:sz w:val="18"/>
          <w:szCs w:val="18"/>
          <w:highlight w:val="none"/>
        </w:rPr>
      </w:pPr>
      <w:r>
        <w:rPr>
          <w:rFonts w:hint="eastAsia" w:cs="宋体" w:asciiTheme="minorEastAsia" w:hAnsiTheme="minorEastAsia" w:eastAsiaTheme="minorEastAsia"/>
          <w:color w:val="auto"/>
          <w:sz w:val="18"/>
          <w:szCs w:val="18"/>
          <w:highlight w:val="none"/>
          <w:lang w:val="en-US" w:eastAsia="zh-CN"/>
        </w:rPr>
        <w:t>4.</w:t>
      </w:r>
      <w:r>
        <w:rPr>
          <w:rFonts w:hint="eastAsia" w:ascii="宋体" w:hAnsi="宋体" w:cs="宋体"/>
          <w:color w:val="auto"/>
          <w:sz w:val="18"/>
          <w:szCs w:val="18"/>
          <w:highlight w:val="none"/>
        </w:rPr>
        <w:t>提供社保时间段要求：例如投标截止日所在月为“2</w:t>
      </w:r>
      <w:r>
        <w:rPr>
          <w:rFonts w:ascii="宋体" w:hAnsi="宋体" w:cs="宋体"/>
          <w:color w:val="auto"/>
          <w:sz w:val="18"/>
          <w:szCs w:val="18"/>
          <w:highlight w:val="none"/>
        </w:rPr>
        <w:t>021</w:t>
      </w:r>
      <w:r>
        <w:rPr>
          <w:rFonts w:hint="eastAsia" w:ascii="宋体" w:hAnsi="宋体" w:cs="宋体"/>
          <w:color w:val="auto"/>
          <w:sz w:val="18"/>
          <w:szCs w:val="18"/>
          <w:highlight w:val="none"/>
        </w:rPr>
        <w:t>年1</w:t>
      </w:r>
      <w:r>
        <w:rPr>
          <w:rFonts w:ascii="宋体" w:hAnsi="宋体" w:cs="宋体"/>
          <w:color w:val="auto"/>
          <w:sz w:val="18"/>
          <w:szCs w:val="18"/>
          <w:highlight w:val="none"/>
        </w:rPr>
        <w:t>2</w:t>
      </w:r>
      <w:r>
        <w:rPr>
          <w:rFonts w:hint="eastAsia" w:ascii="宋体" w:hAnsi="宋体" w:cs="宋体"/>
          <w:color w:val="auto"/>
          <w:sz w:val="18"/>
          <w:szCs w:val="18"/>
          <w:highlight w:val="none"/>
        </w:rPr>
        <w:t>月”，则提供“2</w:t>
      </w:r>
      <w:r>
        <w:rPr>
          <w:rFonts w:ascii="宋体" w:hAnsi="宋体" w:cs="宋体"/>
          <w:color w:val="auto"/>
          <w:sz w:val="18"/>
          <w:szCs w:val="18"/>
          <w:highlight w:val="none"/>
        </w:rPr>
        <w:t>021</w:t>
      </w:r>
      <w:r>
        <w:rPr>
          <w:rFonts w:hint="eastAsia" w:ascii="宋体" w:hAnsi="宋体" w:cs="宋体"/>
          <w:color w:val="auto"/>
          <w:sz w:val="18"/>
          <w:szCs w:val="18"/>
          <w:highlight w:val="none"/>
        </w:rPr>
        <w:t>年6～1</w:t>
      </w:r>
      <w:r>
        <w:rPr>
          <w:rFonts w:ascii="宋体" w:hAnsi="宋体" w:cs="宋体"/>
          <w:color w:val="auto"/>
          <w:sz w:val="18"/>
          <w:szCs w:val="18"/>
          <w:highlight w:val="none"/>
        </w:rPr>
        <w:t>1</w:t>
      </w:r>
      <w:r>
        <w:rPr>
          <w:rFonts w:hint="eastAsia" w:ascii="宋体" w:hAnsi="宋体" w:cs="宋体"/>
          <w:color w:val="auto"/>
          <w:sz w:val="18"/>
          <w:szCs w:val="18"/>
          <w:highlight w:val="none"/>
        </w:rPr>
        <w:t>月”或“2</w:t>
      </w:r>
      <w:r>
        <w:rPr>
          <w:rFonts w:ascii="宋体" w:hAnsi="宋体" w:cs="宋体"/>
          <w:color w:val="auto"/>
          <w:sz w:val="18"/>
          <w:szCs w:val="18"/>
          <w:highlight w:val="none"/>
        </w:rPr>
        <w:t>021</w:t>
      </w:r>
      <w:r>
        <w:rPr>
          <w:rFonts w:hint="eastAsia" w:ascii="宋体" w:hAnsi="宋体" w:cs="宋体"/>
          <w:color w:val="auto"/>
          <w:sz w:val="18"/>
          <w:szCs w:val="18"/>
          <w:highlight w:val="none"/>
        </w:rPr>
        <w:t>年</w:t>
      </w:r>
      <w:r>
        <w:rPr>
          <w:rFonts w:ascii="宋体" w:hAnsi="宋体" w:cs="宋体"/>
          <w:color w:val="auto"/>
          <w:sz w:val="18"/>
          <w:szCs w:val="18"/>
          <w:highlight w:val="none"/>
        </w:rPr>
        <w:t>5</w:t>
      </w:r>
      <w:r>
        <w:rPr>
          <w:rFonts w:hint="eastAsia" w:ascii="宋体" w:hAnsi="宋体" w:cs="宋体"/>
          <w:color w:val="auto"/>
          <w:sz w:val="18"/>
          <w:szCs w:val="18"/>
          <w:highlight w:val="none"/>
        </w:rPr>
        <w:t>～</w:t>
      </w:r>
      <w:r>
        <w:rPr>
          <w:rFonts w:ascii="宋体" w:hAnsi="宋体" w:cs="宋体"/>
          <w:color w:val="auto"/>
          <w:sz w:val="18"/>
          <w:szCs w:val="18"/>
          <w:highlight w:val="none"/>
        </w:rPr>
        <w:t>10</w:t>
      </w:r>
      <w:r>
        <w:rPr>
          <w:rFonts w:hint="eastAsia" w:ascii="宋体" w:hAnsi="宋体" w:cs="宋体"/>
          <w:color w:val="auto"/>
          <w:sz w:val="18"/>
          <w:szCs w:val="18"/>
          <w:highlight w:val="none"/>
        </w:rPr>
        <w:t>月”在其投标单位连续6个月参加社保的证明材料。</w:t>
      </w:r>
    </w:p>
    <w:p w14:paraId="3F63E17C">
      <w:pPr>
        <w:shd w:val="clear" w:color="auto" w:fill="FFFFFF"/>
        <w:tabs>
          <w:tab w:val="left" w:pos="312"/>
        </w:tabs>
        <w:adjustRightInd w:val="0"/>
        <w:snapToGrid w:val="0"/>
        <w:spacing w:line="260" w:lineRule="exact"/>
        <w:ind w:left="537" w:leftChars="170" w:hanging="180" w:hangingChars="100"/>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5.</w:t>
      </w:r>
      <w:r>
        <w:rPr>
          <w:rFonts w:hint="eastAsia" w:ascii="宋体" w:hAnsi="宋体" w:cs="宋体"/>
          <w:color w:val="auto"/>
          <w:sz w:val="18"/>
          <w:szCs w:val="18"/>
          <w:highlight w:val="none"/>
        </w:rPr>
        <w:t>允许联合体投标时，</w:t>
      </w:r>
      <w:r>
        <w:rPr>
          <w:rFonts w:hint="eastAsia" w:ascii="宋体" w:hAnsi="宋体" w:cs="宋体"/>
          <w:color w:val="auto"/>
          <w:sz w:val="18"/>
          <w:szCs w:val="18"/>
          <w:highlight w:val="none"/>
          <w:lang w:val="en-US" w:eastAsia="zh-CN"/>
        </w:rPr>
        <w:t>若</w:t>
      </w:r>
      <w:r>
        <w:rPr>
          <w:rFonts w:hint="eastAsia" w:ascii="宋体" w:hAnsi="宋体" w:cs="宋体"/>
          <w:color w:val="auto"/>
          <w:sz w:val="18"/>
          <w:szCs w:val="18"/>
          <w:highlight w:val="none"/>
        </w:rPr>
        <w:t>以联合体形式投标的，</w:t>
      </w:r>
      <w:r>
        <w:rPr>
          <w:rFonts w:hint="eastAsia" w:ascii="宋体" w:hAnsi="宋体" w:cs="宋体"/>
          <w:color w:val="auto"/>
          <w:sz w:val="18"/>
          <w:szCs w:val="18"/>
          <w:highlight w:val="none"/>
          <w:lang w:val="en-US" w:eastAsia="zh-CN"/>
        </w:rPr>
        <w:t>技术负责人</w:t>
      </w:r>
      <w:r>
        <w:rPr>
          <w:rFonts w:hint="eastAsia" w:ascii="宋体" w:hAnsi="宋体" w:cs="宋体"/>
          <w:color w:val="auto"/>
          <w:sz w:val="18"/>
          <w:szCs w:val="18"/>
          <w:highlight w:val="none"/>
        </w:rPr>
        <w:t>应按照第二章“投标人须知”前附表附录</w:t>
      </w:r>
      <w:r>
        <w:rPr>
          <w:rFonts w:hint="eastAsia" w:ascii="宋体" w:hAnsi="宋体" w:cs="宋体"/>
          <w:color w:val="auto"/>
          <w:sz w:val="18"/>
          <w:szCs w:val="18"/>
          <w:highlight w:val="none"/>
          <w:lang w:val="en-US" w:eastAsia="zh-CN"/>
        </w:rPr>
        <w:t>4</w:t>
      </w:r>
      <w:r>
        <w:rPr>
          <w:rFonts w:hint="eastAsia" w:ascii="宋体" w:hAnsi="宋体" w:cs="宋体"/>
          <w:color w:val="auto"/>
          <w:sz w:val="18"/>
          <w:szCs w:val="18"/>
          <w:highlight w:val="none"/>
        </w:rPr>
        <w:t>资格审查条件</w:t>
      </w:r>
      <w:r>
        <w:rPr>
          <w:rFonts w:hint="eastAsia" w:ascii="宋体" w:hAnsi="宋体" w:cs="宋体"/>
          <w:color w:val="auto"/>
          <w:sz w:val="18"/>
          <w:szCs w:val="18"/>
          <w:highlight w:val="none"/>
          <w:lang w:val="en-US" w:eastAsia="zh-CN"/>
        </w:rPr>
        <w:t>的</w:t>
      </w:r>
      <w:r>
        <w:rPr>
          <w:rFonts w:hint="eastAsia" w:ascii="宋体" w:hAnsi="宋体" w:cs="宋体"/>
          <w:color w:val="auto"/>
          <w:sz w:val="18"/>
          <w:szCs w:val="18"/>
          <w:highlight w:val="none"/>
        </w:rPr>
        <w:t>要求及</w:t>
      </w:r>
      <w:r>
        <w:rPr>
          <w:rFonts w:hint="eastAsia" w:ascii="宋体" w:hAnsi="宋体" w:cs="宋体"/>
          <w:color w:val="auto"/>
          <w:sz w:val="18"/>
          <w:szCs w:val="18"/>
          <w:highlight w:val="none"/>
          <w:lang w:val="en-US" w:eastAsia="zh-CN"/>
        </w:rPr>
        <w:t>第三章“评标办法”</w:t>
      </w:r>
      <w:r>
        <w:rPr>
          <w:rFonts w:hint="eastAsia" w:ascii="宋体" w:hAnsi="宋体" w:cs="宋体"/>
          <w:color w:val="auto"/>
          <w:sz w:val="18"/>
          <w:szCs w:val="18"/>
          <w:highlight w:val="none"/>
        </w:rPr>
        <w:t>详细评审打分条件（如有）填写</w:t>
      </w:r>
      <w:r>
        <w:rPr>
          <w:rFonts w:hint="eastAsia" w:ascii="宋体" w:hAnsi="宋体" w:cs="宋体"/>
          <w:color w:val="auto"/>
          <w:sz w:val="18"/>
          <w:szCs w:val="18"/>
          <w:highlight w:val="none"/>
          <w:lang w:val="en-US" w:eastAsia="zh-CN"/>
        </w:rPr>
        <w:t>本表</w:t>
      </w:r>
      <w:r>
        <w:rPr>
          <w:rFonts w:hint="eastAsia" w:ascii="宋体" w:hAnsi="宋体" w:cs="宋体"/>
          <w:color w:val="auto"/>
          <w:sz w:val="18"/>
          <w:szCs w:val="18"/>
          <w:highlight w:val="none"/>
        </w:rPr>
        <w:t>。</w:t>
      </w:r>
    </w:p>
    <w:p w14:paraId="1072AC3D">
      <w:pPr>
        <w:shd w:val="clear" w:color="auto" w:fill="FFFFFF"/>
        <w:tabs>
          <w:tab w:val="left" w:pos="312"/>
        </w:tabs>
        <w:adjustRightInd w:val="0"/>
        <w:snapToGrid w:val="0"/>
        <w:spacing w:line="260" w:lineRule="exact"/>
        <w:ind w:left="537" w:leftChars="170" w:hanging="180" w:hangingChars="100"/>
        <w:rPr>
          <w:rFonts w:hint="eastAsia" w:ascii="宋体" w:hAnsi="宋体" w:cs="宋体"/>
          <w:color w:val="auto"/>
          <w:sz w:val="18"/>
          <w:szCs w:val="18"/>
          <w:highlight w:val="none"/>
        </w:rPr>
        <w:sectPr>
          <w:footnotePr>
            <w:numFmt w:val="decimalEnclosedCircleChinese"/>
            <w:numRestart w:val="eachPage"/>
          </w:footnotePr>
          <w:pgSz w:w="16839" w:h="11907" w:orient="landscape"/>
          <w:pgMar w:top="1701" w:right="1418" w:bottom="1418" w:left="1418" w:header="720" w:footer="720" w:gutter="0"/>
          <w:cols w:space="720" w:num="1"/>
          <w:docGrid w:linePitch="286" w:charSpace="0"/>
        </w:sectPr>
      </w:pPr>
    </w:p>
    <w:p w14:paraId="15EE7A16">
      <w:pPr>
        <w:pStyle w:val="6"/>
        <w:jc w:val="center"/>
        <w:rPr>
          <w:b w:val="0"/>
          <w:bCs w:val="0"/>
        </w:rPr>
      </w:pPr>
      <w:bookmarkStart w:id="770" w:name="_Toc74760940"/>
      <w:r>
        <w:rPr>
          <w:rFonts w:hint="eastAsia"/>
          <w:b w:val="0"/>
          <w:bCs w:val="0"/>
        </w:rPr>
        <w:t>□（五）其他要求情况表</w:t>
      </w:r>
      <w:bookmarkEnd w:id="770"/>
    </w:p>
    <w:p w14:paraId="39E84945">
      <w:pPr>
        <w:rPr>
          <w:color w:val="auto"/>
          <w:highlight w:val="none"/>
        </w:rPr>
      </w:pPr>
    </w:p>
    <w:p w14:paraId="46FFEE30">
      <w:pPr>
        <w:rPr>
          <w:color w:val="auto"/>
          <w:highlight w:val="none"/>
        </w:rPr>
      </w:pPr>
    </w:p>
    <w:p w14:paraId="3EEC2A0C">
      <w:pPr>
        <w:rPr>
          <w:color w:val="auto"/>
          <w:highlight w:val="none"/>
        </w:rPr>
      </w:pPr>
    </w:p>
    <w:p w14:paraId="735E72D9">
      <w:pPr>
        <w:rPr>
          <w:color w:val="auto"/>
          <w:highlight w:val="none"/>
        </w:rPr>
      </w:pPr>
    </w:p>
    <w:p w14:paraId="0C026388">
      <w:pPr>
        <w:rPr>
          <w:color w:val="auto"/>
          <w:highlight w:val="none"/>
        </w:rPr>
      </w:pPr>
    </w:p>
    <w:p w14:paraId="76149091">
      <w:pPr>
        <w:rPr>
          <w:color w:val="auto"/>
          <w:highlight w:val="none"/>
        </w:rPr>
      </w:pPr>
    </w:p>
    <w:p w14:paraId="7874F2A3">
      <w:pPr>
        <w:rPr>
          <w:color w:val="auto"/>
          <w:highlight w:val="none"/>
        </w:rPr>
      </w:pPr>
    </w:p>
    <w:p w14:paraId="36B220D5">
      <w:pPr>
        <w:rPr>
          <w:color w:val="auto"/>
          <w:highlight w:val="none"/>
        </w:rPr>
      </w:pPr>
    </w:p>
    <w:p w14:paraId="5B683D62">
      <w:pPr>
        <w:rPr>
          <w:color w:val="auto"/>
          <w:highlight w:val="none"/>
        </w:rPr>
      </w:pPr>
    </w:p>
    <w:p w14:paraId="43F7B0FF">
      <w:pPr>
        <w:spacing w:line="360" w:lineRule="auto"/>
        <w:ind w:left="630" w:hanging="630" w:hangingChars="300"/>
        <w:rPr>
          <w:rFonts w:hint="eastAsia" w:ascii="宋体" w:hAnsi="宋体" w:cs="宋体"/>
          <w:color w:val="auto"/>
          <w:szCs w:val="24"/>
          <w:highlight w:val="none"/>
        </w:rPr>
      </w:pPr>
      <w:r>
        <w:rPr>
          <w:rFonts w:hint="eastAsia" w:ascii="宋体" w:hAnsi="宋体" w:cs="宋体"/>
          <w:color w:val="auto"/>
          <w:szCs w:val="24"/>
          <w:highlight w:val="none"/>
        </w:rPr>
        <w:t>注：1.招标人对其他主要人员提出要求的，可参照试验室主任或技术负责人资历表格式，并根据项目情况自行设定表格形式，但应反映第二章“投标人须知”前附表附录5资格审查条件、</w:t>
      </w:r>
      <w:r>
        <w:rPr>
          <w:rFonts w:hint="eastAsia" w:ascii="宋体" w:hAnsi="宋体" w:cs="宋体"/>
          <w:color w:val="auto"/>
          <w:szCs w:val="24"/>
          <w:highlight w:val="none"/>
          <w:lang w:val="en-US" w:eastAsia="zh-CN"/>
        </w:rPr>
        <w:t>第三章“评标办法”</w:t>
      </w:r>
      <w:r>
        <w:rPr>
          <w:rFonts w:hint="eastAsia" w:ascii="宋体" w:hAnsi="宋体" w:cs="宋体"/>
          <w:color w:val="auto"/>
          <w:szCs w:val="24"/>
          <w:highlight w:val="none"/>
        </w:rPr>
        <w:t>详细评审</w:t>
      </w:r>
      <w:r>
        <w:rPr>
          <w:rFonts w:hint="eastAsia" w:ascii="宋体" w:hAnsi="宋体" w:cs="宋体"/>
          <w:color w:val="auto"/>
          <w:szCs w:val="24"/>
          <w:highlight w:val="none"/>
          <w:lang w:val="en-US" w:eastAsia="zh-CN"/>
        </w:rPr>
        <w:t>打</w:t>
      </w:r>
      <w:r>
        <w:rPr>
          <w:rFonts w:hint="eastAsia" w:ascii="宋体" w:hAnsi="宋体" w:cs="宋体"/>
          <w:color w:val="auto"/>
          <w:szCs w:val="24"/>
          <w:highlight w:val="none"/>
        </w:rPr>
        <w:t>分</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如有</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要求</w:t>
      </w:r>
      <w:r>
        <w:rPr>
          <w:rFonts w:hint="eastAsia" w:ascii="宋体" w:hAnsi="宋体" w:cs="宋体"/>
          <w:color w:val="auto"/>
          <w:szCs w:val="24"/>
          <w:highlight w:val="none"/>
        </w:rPr>
        <w:t>的内容</w:t>
      </w:r>
      <w:r>
        <w:rPr>
          <w:rFonts w:hint="eastAsia" w:ascii="宋体" w:hAnsi="宋体"/>
          <w:color w:val="auto"/>
          <w:szCs w:val="21"/>
          <w:highlight w:val="none"/>
          <w:lang w:val="en-US" w:eastAsia="zh-CN"/>
        </w:rPr>
        <w:t>并提供相应的证明材料（如要求）</w:t>
      </w:r>
      <w:r>
        <w:rPr>
          <w:rFonts w:hint="eastAsia" w:ascii="宋体" w:hAnsi="宋体" w:cs="宋体"/>
          <w:color w:val="auto"/>
          <w:szCs w:val="24"/>
          <w:highlight w:val="none"/>
        </w:rPr>
        <w:t>。</w:t>
      </w:r>
    </w:p>
    <w:p w14:paraId="46AED999">
      <w:pPr>
        <w:spacing w:line="360" w:lineRule="auto"/>
        <w:ind w:left="609" w:leftChars="190" w:hanging="210" w:hangingChars="100"/>
        <w:rPr>
          <w:rFonts w:hint="eastAsia" w:ascii="宋体" w:hAnsi="宋体" w:cs="Times New Roman"/>
          <w:b w:val="0"/>
          <w:color w:val="auto"/>
          <w:sz w:val="21"/>
          <w:szCs w:val="21"/>
          <w:highlight w:val="none"/>
        </w:rPr>
      </w:pPr>
      <w:r>
        <w:rPr>
          <w:rFonts w:hint="eastAsia" w:ascii="宋体" w:hAnsi="宋体" w:cs="宋体"/>
          <w:color w:val="auto"/>
          <w:szCs w:val="24"/>
          <w:highlight w:val="none"/>
        </w:rPr>
        <w:t>2.招标人对拟投入本标段的试验检测设施、设备提出要求的，招标人可根据项目情况自行设定表格形式，但应反映第二章“投标人须知”前附表附录5资格审查条件要求的内容</w:t>
      </w:r>
      <w:r>
        <w:rPr>
          <w:rFonts w:hint="eastAsia" w:ascii="宋体" w:hAnsi="宋体"/>
          <w:color w:val="auto"/>
          <w:szCs w:val="21"/>
          <w:highlight w:val="none"/>
          <w:lang w:val="en-US" w:eastAsia="zh-CN"/>
        </w:rPr>
        <w:t>并提供相应的证明材料（如要求）</w:t>
      </w:r>
      <w:r>
        <w:rPr>
          <w:rFonts w:hint="eastAsia" w:ascii="宋体" w:hAnsi="宋体" w:cs="宋体"/>
          <w:color w:val="auto"/>
          <w:szCs w:val="24"/>
          <w:highlight w:val="none"/>
        </w:rPr>
        <w:t>。</w:t>
      </w:r>
      <w:bookmarkEnd w:id="767"/>
      <w:r>
        <w:rPr>
          <w:rFonts w:hint="eastAsia" w:ascii="宋体" w:hAnsi="宋体" w:cs="Times New Roman"/>
          <w:b w:val="0"/>
          <w:color w:val="auto"/>
          <w:sz w:val="21"/>
          <w:szCs w:val="21"/>
          <w:highlight w:val="none"/>
        </w:rPr>
        <w:br w:type="page"/>
      </w:r>
    </w:p>
    <w:p w14:paraId="05DEFA94">
      <w:pPr>
        <w:pStyle w:val="5"/>
        <w:jc w:val="center"/>
        <w:rPr>
          <w:b w:val="0"/>
          <w:bCs w:val="0"/>
        </w:rPr>
      </w:pPr>
      <w:bookmarkStart w:id="771" w:name="_Toc74760941"/>
      <w:r>
        <w:rPr>
          <w:rFonts w:hint="eastAsia"/>
          <w:b w:val="0"/>
          <w:bCs w:val="0"/>
        </w:rPr>
        <w:t>六、技术建议书</w:t>
      </w:r>
      <w:bookmarkEnd w:id="771"/>
    </w:p>
    <w:p w14:paraId="3E0015F0">
      <w:pPr>
        <w:pStyle w:val="276"/>
        <w:spacing w:line="360" w:lineRule="auto"/>
        <w:rPr>
          <w:rFonts w:ascii="宋体" w:hAnsi="宋体" w:cs="宋体"/>
          <w:color w:val="auto"/>
          <w:highlight w:val="none"/>
        </w:rPr>
      </w:pPr>
    </w:p>
    <w:p w14:paraId="1397F46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投标人应编制技术建议书，其内容包括：</w:t>
      </w:r>
    </w:p>
    <w:p w14:paraId="33F02AC6">
      <w:pPr>
        <w:numPr>
          <w:ilvl w:val="0"/>
          <w:numId w:val="4"/>
        </w:num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olor w:val="auto"/>
          <w:kern w:val="1"/>
          <w:sz w:val="24"/>
          <w:highlight w:val="none"/>
        </w:rPr>
        <w:t>监理试验室大纲</w:t>
      </w:r>
      <w:r>
        <w:rPr>
          <w:rFonts w:hint="eastAsia" w:ascii="宋体" w:hAnsi="宋体"/>
          <w:color w:val="auto"/>
          <w:kern w:val="1"/>
          <w:sz w:val="24"/>
          <w:highlight w:val="none"/>
          <w:lang w:val="en-US" w:eastAsia="zh-CN"/>
        </w:rPr>
        <w:t>和</w:t>
      </w:r>
      <w:r>
        <w:rPr>
          <w:rFonts w:hint="eastAsia" w:ascii="宋体" w:hAnsi="宋体"/>
          <w:color w:val="auto"/>
          <w:kern w:val="1"/>
          <w:sz w:val="24"/>
          <w:highlight w:val="none"/>
        </w:rPr>
        <w:t>措施（目标、组织机构、内部管理、工作安排、质量措施以及</w:t>
      </w:r>
      <w:r>
        <w:rPr>
          <w:rFonts w:hint="eastAsia" w:ascii="宋体" w:hAnsi="宋体" w:cs="宋体"/>
          <w:color w:val="auto"/>
          <w:sz w:val="24"/>
          <w:highlight w:val="none"/>
        </w:rPr>
        <w:t>试验检测设施、设备配备情况</w:t>
      </w:r>
      <w:r>
        <w:rPr>
          <w:rFonts w:hint="eastAsia" w:ascii="宋体" w:hAnsi="宋体"/>
          <w:color w:val="auto"/>
          <w:kern w:val="1"/>
          <w:sz w:val="24"/>
          <w:highlight w:val="none"/>
        </w:rPr>
        <w:t>）等</w:t>
      </w:r>
      <w:r>
        <w:rPr>
          <w:rFonts w:hint="eastAsia" w:ascii="宋体" w:hAnsi="宋体" w:cs="宋体"/>
          <w:color w:val="auto"/>
          <w:sz w:val="24"/>
          <w:highlight w:val="none"/>
        </w:rPr>
        <w:t>。</w:t>
      </w:r>
    </w:p>
    <w:p w14:paraId="3BAA7B42">
      <w:pPr>
        <w:numPr>
          <w:ilvl w:val="-1"/>
          <w:numId w:val="0"/>
        </w:num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olor w:val="auto"/>
          <w:kern w:val="1"/>
          <w:sz w:val="24"/>
          <w:highlight w:val="none"/>
          <w:lang w:val="en-US" w:eastAsia="zh-CN"/>
        </w:rPr>
        <w:t xml:space="preserve">2. </w:t>
      </w:r>
      <w:r>
        <w:rPr>
          <w:rFonts w:hint="eastAsia" w:ascii="宋体" w:hAnsi="宋体"/>
          <w:color w:val="auto"/>
          <w:kern w:val="1"/>
          <w:sz w:val="24"/>
          <w:highlight w:val="none"/>
        </w:rPr>
        <w:t>对本工程监理试验室的重点与难点分析，采取的方法和措施</w:t>
      </w:r>
      <w:r>
        <w:rPr>
          <w:rFonts w:hint="eastAsia" w:ascii="宋体" w:hAnsi="宋体" w:cs="宋体"/>
          <w:color w:val="auto"/>
          <w:sz w:val="24"/>
          <w:highlight w:val="none"/>
        </w:rPr>
        <w:t>。</w:t>
      </w:r>
    </w:p>
    <w:p w14:paraId="14B0F79D">
      <w:pPr>
        <w:numPr>
          <w:ilvl w:val="-1"/>
          <w:numId w:val="0"/>
        </w:numPr>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olor w:val="auto"/>
          <w:kern w:val="1"/>
          <w:sz w:val="24"/>
          <w:highlight w:val="none"/>
          <w:lang w:val="en-US" w:eastAsia="zh-CN"/>
        </w:rPr>
        <w:t xml:space="preserve">3. </w:t>
      </w:r>
      <w:r>
        <w:rPr>
          <w:rFonts w:hint="eastAsia" w:ascii="宋体" w:hAnsi="宋体"/>
          <w:color w:val="auto"/>
          <w:kern w:val="1"/>
          <w:sz w:val="24"/>
          <w:highlight w:val="none"/>
        </w:rPr>
        <w:t>对本</w:t>
      </w:r>
      <w:r>
        <w:rPr>
          <w:rFonts w:hint="eastAsia" w:ascii="宋体" w:hAnsi="宋体"/>
          <w:color w:val="auto"/>
          <w:kern w:val="1"/>
          <w:sz w:val="24"/>
          <w:highlight w:val="none"/>
          <w:lang w:val="en-US" w:eastAsia="zh-CN"/>
        </w:rPr>
        <w:t>工程</w:t>
      </w:r>
      <w:r>
        <w:rPr>
          <w:rFonts w:hint="eastAsia" w:ascii="宋体" w:hAnsi="宋体"/>
          <w:color w:val="auto"/>
          <w:kern w:val="1"/>
          <w:sz w:val="24"/>
          <w:highlight w:val="none"/>
        </w:rPr>
        <w:t>建议</w:t>
      </w:r>
      <w:r>
        <w:rPr>
          <w:rFonts w:hint="eastAsia" w:ascii="宋体" w:hAnsi="宋体" w:cs="宋体"/>
          <w:color w:val="auto"/>
          <w:sz w:val="24"/>
          <w:highlight w:val="none"/>
        </w:rPr>
        <w:t>：为更好地完成本工程的</w:t>
      </w:r>
      <w:r>
        <w:rPr>
          <w:rFonts w:hint="eastAsia" w:ascii="宋体" w:hAnsi="宋体"/>
          <w:color w:val="auto"/>
          <w:sz w:val="24"/>
          <w:highlight w:val="none"/>
        </w:rPr>
        <w:t>监理试验室</w:t>
      </w:r>
      <w:bookmarkStart w:id="772" w:name="_TOC_250031"/>
      <w:bookmarkEnd w:id="772"/>
      <w:bookmarkStart w:id="773" w:name="_TOC_250023"/>
      <w:bookmarkEnd w:id="773"/>
      <w:bookmarkStart w:id="774" w:name="_TOC_250030"/>
      <w:bookmarkEnd w:id="774"/>
      <w:bookmarkStart w:id="775" w:name="_TOC_250022"/>
      <w:bookmarkEnd w:id="775"/>
      <w:bookmarkStart w:id="776" w:name="_TOC_250026"/>
      <w:bookmarkEnd w:id="776"/>
      <w:bookmarkStart w:id="777" w:name="_TOC_250027"/>
      <w:bookmarkEnd w:id="777"/>
      <w:bookmarkStart w:id="778" w:name="_Toc523921871"/>
      <w:bookmarkStart w:id="779" w:name="_Toc28187749"/>
      <w:r>
        <w:rPr>
          <w:rFonts w:hint="eastAsia" w:ascii="宋体" w:hAnsi="宋体" w:cs="宋体"/>
          <w:color w:val="auto"/>
          <w:sz w:val="24"/>
          <w:highlight w:val="none"/>
        </w:rPr>
        <w:t>检测工作，试验</w:t>
      </w:r>
      <w:bookmarkEnd w:id="778"/>
      <w:bookmarkEnd w:id="779"/>
      <w:r>
        <w:rPr>
          <w:rFonts w:hint="eastAsia" w:ascii="宋体" w:hAnsi="宋体" w:cs="宋体"/>
          <w:color w:val="auto"/>
          <w:sz w:val="24"/>
          <w:highlight w:val="none"/>
        </w:rPr>
        <w:t>检测</w:t>
      </w:r>
      <w:r>
        <w:rPr>
          <w:rFonts w:hint="eastAsia" w:ascii="宋体" w:hAnsi="宋体" w:cs="宋体"/>
          <w:color w:val="auto"/>
          <w:sz w:val="24"/>
          <w:highlight w:val="none"/>
          <w:lang w:val="en-US" w:eastAsia="zh-CN"/>
        </w:rPr>
        <w:t>机构</w:t>
      </w:r>
      <w:r>
        <w:rPr>
          <w:rFonts w:hint="eastAsia" w:ascii="宋体" w:hAnsi="宋体" w:cs="宋体"/>
          <w:color w:val="auto"/>
          <w:sz w:val="24"/>
          <w:highlight w:val="none"/>
        </w:rPr>
        <w:t>可根据以往的经验，对本项目监理试验室工作提出建设性建议。</w:t>
      </w:r>
    </w:p>
    <w:p w14:paraId="0F0F3E23">
      <w:pPr>
        <w:autoSpaceDE w:val="0"/>
        <w:autoSpaceDN w:val="0"/>
        <w:adjustRightInd w:val="0"/>
        <w:spacing w:line="360" w:lineRule="auto"/>
        <w:ind w:firstLine="420" w:firstLineChars="200"/>
        <w:rPr>
          <w:rFonts w:ascii="宋体" w:hAnsi="宋体" w:cs="宋体"/>
          <w:color w:val="auto"/>
          <w:szCs w:val="21"/>
          <w:highlight w:val="none"/>
        </w:rPr>
      </w:pPr>
    </w:p>
    <w:p w14:paraId="537E2E9E">
      <w:pPr>
        <w:pStyle w:val="276"/>
        <w:rPr>
          <w:rFonts w:ascii="宋体" w:hAnsi="宋体" w:cs="宋体"/>
          <w:color w:val="auto"/>
          <w:highlight w:val="none"/>
        </w:rPr>
      </w:pPr>
    </w:p>
    <w:p w14:paraId="6F49BCB3">
      <w:pPr>
        <w:pStyle w:val="276"/>
        <w:rPr>
          <w:rFonts w:ascii="宋体" w:hAnsi="宋体" w:cs="宋体"/>
          <w:color w:val="auto"/>
          <w:highlight w:val="none"/>
        </w:rPr>
      </w:pPr>
    </w:p>
    <w:p w14:paraId="7206B7DB">
      <w:pPr>
        <w:pStyle w:val="276"/>
        <w:rPr>
          <w:rFonts w:ascii="宋体" w:hAnsi="宋体" w:cs="宋体"/>
          <w:color w:val="auto"/>
          <w:highlight w:val="none"/>
        </w:rPr>
      </w:pPr>
    </w:p>
    <w:p w14:paraId="06456D7C">
      <w:pPr>
        <w:pStyle w:val="276"/>
        <w:rPr>
          <w:rFonts w:ascii="宋体" w:hAnsi="宋体" w:cs="宋体"/>
          <w:color w:val="auto"/>
          <w:highlight w:val="none"/>
        </w:rPr>
      </w:pPr>
    </w:p>
    <w:p w14:paraId="77843467">
      <w:pPr>
        <w:pStyle w:val="276"/>
        <w:rPr>
          <w:rFonts w:ascii="宋体" w:hAnsi="宋体" w:cs="宋体"/>
          <w:color w:val="auto"/>
          <w:highlight w:val="none"/>
        </w:rPr>
      </w:pPr>
    </w:p>
    <w:p w14:paraId="43BF454F">
      <w:pPr>
        <w:pStyle w:val="276"/>
        <w:rPr>
          <w:rFonts w:ascii="宋体" w:hAnsi="宋体" w:cs="宋体"/>
          <w:color w:val="auto"/>
          <w:highlight w:val="none"/>
        </w:rPr>
      </w:pPr>
    </w:p>
    <w:p w14:paraId="5A64045B">
      <w:pPr>
        <w:pStyle w:val="276"/>
        <w:rPr>
          <w:rFonts w:ascii="宋体" w:hAnsi="宋体" w:cs="宋体"/>
          <w:color w:val="auto"/>
          <w:highlight w:val="none"/>
        </w:rPr>
      </w:pPr>
    </w:p>
    <w:p w14:paraId="6CEBFE6C">
      <w:pPr>
        <w:pStyle w:val="276"/>
        <w:rPr>
          <w:rFonts w:ascii="宋体" w:hAnsi="宋体" w:cs="宋体"/>
          <w:color w:val="auto"/>
          <w:highlight w:val="none"/>
        </w:rPr>
      </w:pPr>
    </w:p>
    <w:p w14:paraId="12D4A6CA">
      <w:pPr>
        <w:pStyle w:val="276"/>
        <w:rPr>
          <w:rFonts w:ascii="宋体" w:hAnsi="宋体" w:cs="宋体"/>
          <w:color w:val="auto"/>
          <w:highlight w:val="none"/>
        </w:rPr>
      </w:pPr>
    </w:p>
    <w:p w14:paraId="350214C6">
      <w:pPr>
        <w:pStyle w:val="276"/>
        <w:rPr>
          <w:rFonts w:ascii="宋体" w:hAnsi="宋体" w:cs="宋体"/>
          <w:color w:val="auto"/>
          <w:highlight w:val="none"/>
        </w:rPr>
      </w:pPr>
    </w:p>
    <w:p w14:paraId="0C79B5F6">
      <w:pPr>
        <w:pStyle w:val="276"/>
        <w:rPr>
          <w:rFonts w:ascii="宋体" w:hAnsi="宋体" w:cs="宋体"/>
          <w:color w:val="auto"/>
          <w:highlight w:val="none"/>
        </w:rPr>
      </w:pPr>
    </w:p>
    <w:p w14:paraId="5A2646DB">
      <w:pPr>
        <w:pStyle w:val="276"/>
        <w:rPr>
          <w:rFonts w:ascii="宋体" w:hAnsi="宋体" w:cs="宋体"/>
          <w:color w:val="auto"/>
          <w:highlight w:val="none"/>
        </w:rPr>
      </w:pPr>
    </w:p>
    <w:p w14:paraId="423CED50">
      <w:pPr>
        <w:pStyle w:val="276"/>
        <w:rPr>
          <w:rFonts w:ascii="宋体" w:hAnsi="宋体" w:cs="宋体"/>
          <w:color w:val="auto"/>
          <w:highlight w:val="none"/>
        </w:rPr>
      </w:pPr>
    </w:p>
    <w:p w14:paraId="35FA4177">
      <w:pPr>
        <w:pStyle w:val="276"/>
        <w:rPr>
          <w:rFonts w:ascii="宋体" w:hAnsi="宋体" w:cs="宋体"/>
          <w:color w:val="auto"/>
          <w:highlight w:val="none"/>
        </w:rPr>
      </w:pPr>
    </w:p>
    <w:p w14:paraId="5FA7B477">
      <w:pPr>
        <w:pStyle w:val="276"/>
        <w:rPr>
          <w:rFonts w:ascii="宋体" w:hAnsi="宋体" w:cs="宋体"/>
          <w:color w:val="auto"/>
          <w:highlight w:val="none"/>
        </w:rPr>
      </w:pPr>
    </w:p>
    <w:p w14:paraId="53E52275">
      <w:pPr>
        <w:pStyle w:val="276"/>
        <w:rPr>
          <w:rFonts w:ascii="宋体" w:hAnsi="宋体" w:cs="宋体"/>
          <w:color w:val="auto"/>
          <w:highlight w:val="none"/>
        </w:rPr>
      </w:pPr>
    </w:p>
    <w:p w14:paraId="0D06C6E9">
      <w:pPr>
        <w:pStyle w:val="276"/>
        <w:rPr>
          <w:rFonts w:ascii="宋体" w:hAnsi="宋体" w:cs="宋体"/>
          <w:color w:val="auto"/>
          <w:highlight w:val="none"/>
        </w:rPr>
      </w:pPr>
    </w:p>
    <w:p w14:paraId="0C598E15">
      <w:pPr>
        <w:pStyle w:val="276"/>
        <w:rPr>
          <w:rFonts w:ascii="宋体" w:hAnsi="宋体" w:cs="宋体"/>
          <w:color w:val="auto"/>
          <w:highlight w:val="none"/>
        </w:rPr>
      </w:pPr>
    </w:p>
    <w:p w14:paraId="0551E60C">
      <w:pPr>
        <w:pStyle w:val="276"/>
        <w:rPr>
          <w:rFonts w:ascii="宋体" w:hAnsi="宋体" w:cs="宋体"/>
          <w:color w:val="auto"/>
          <w:highlight w:val="none"/>
        </w:rPr>
      </w:pPr>
    </w:p>
    <w:p w14:paraId="2105689B">
      <w:pPr>
        <w:pStyle w:val="276"/>
        <w:rPr>
          <w:rFonts w:ascii="宋体" w:hAnsi="宋体" w:cs="宋体"/>
          <w:color w:val="auto"/>
          <w:highlight w:val="none"/>
        </w:rPr>
      </w:pPr>
      <w:r>
        <w:rPr>
          <w:rFonts w:ascii="宋体" w:hAnsi="宋体" w:cs="宋体"/>
          <w:color w:val="auto"/>
          <w:highlight w:val="none"/>
        </w:rPr>
        <w:br w:type="page"/>
      </w:r>
    </w:p>
    <w:p w14:paraId="079AE811">
      <w:pPr>
        <w:pStyle w:val="5"/>
        <w:jc w:val="center"/>
        <w:rPr>
          <w:b w:val="0"/>
          <w:bCs w:val="0"/>
        </w:rPr>
      </w:pPr>
      <w:bookmarkStart w:id="780" w:name="_Toc74760942"/>
      <w:r>
        <w:rPr>
          <w:rFonts w:hint="eastAsia"/>
          <w:b w:val="0"/>
          <w:bCs w:val="0"/>
        </w:rPr>
        <w:t>七、其他资料（如有）</w:t>
      </w:r>
      <w:bookmarkEnd w:id="780"/>
    </w:p>
    <w:p w14:paraId="2B728081">
      <w:pPr>
        <w:pStyle w:val="276"/>
        <w:rPr>
          <w:rFonts w:ascii="宋体" w:hAnsi="宋体" w:cs="宋体"/>
          <w:color w:val="auto"/>
          <w:highlight w:val="none"/>
        </w:rPr>
      </w:pPr>
    </w:p>
    <w:p w14:paraId="2CD0777C">
      <w:pPr>
        <w:pStyle w:val="276"/>
        <w:rPr>
          <w:rFonts w:ascii="宋体" w:hAnsi="宋体" w:cs="宋体"/>
          <w:color w:val="auto"/>
          <w:highlight w:val="none"/>
        </w:rPr>
      </w:pPr>
    </w:p>
    <w:p w14:paraId="270D8E9C">
      <w:pPr>
        <w:pStyle w:val="276"/>
        <w:rPr>
          <w:rFonts w:ascii="宋体" w:hAnsi="宋体" w:cs="宋体"/>
          <w:color w:val="auto"/>
          <w:highlight w:val="none"/>
        </w:rPr>
      </w:pPr>
    </w:p>
    <w:p w14:paraId="51CFF0CD">
      <w:pPr>
        <w:pStyle w:val="276"/>
        <w:rPr>
          <w:rFonts w:ascii="宋体" w:hAnsi="宋体" w:cs="宋体"/>
          <w:color w:val="auto"/>
          <w:highlight w:val="none"/>
        </w:rPr>
      </w:pPr>
    </w:p>
    <w:p w14:paraId="6763AAE5">
      <w:pPr>
        <w:pStyle w:val="276"/>
        <w:rPr>
          <w:rFonts w:ascii="宋体" w:hAnsi="宋体" w:cs="宋体"/>
          <w:color w:val="auto"/>
          <w:highlight w:val="none"/>
        </w:rPr>
      </w:pPr>
    </w:p>
    <w:p w14:paraId="2E5B44B9">
      <w:pPr>
        <w:pStyle w:val="276"/>
        <w:rPr>
          <w:rFonts w:ascii="宋体" w:hAnsi="宋体" w:cs="宋体"/>
          <w:color w:val="auto"/>
          <w:highlight w:val="none"/>
        </w:rPr>
      </w:pPr>
    </w:p>
    <w:p w14:paraId="3F1ABD83">
      <w:pPr>
        <w:pStyle w:val="276"/>
        <w:rPr>
          <w:rFonts w:ascii="宋体" w:hAnsi="宋体" w:cs="宋体"/>
          <w:color w:val="auto"/>
          <w:highlight w:val="none"/>
        </w:rPr>
      </w:pPr>
    </w:p>
    <w:p w14:paraId="2CD50F7E">
      <w:pPr>
        <w:pStyle w:val="276"/>
        <w:rPr>
          <w:rFonts w:ascii="宋体" w:hAnsi="宋体" w:cs="宋体"/>
          <w:color w:val="auto"/>
          <w:highlight w:val="none"/>
        </w:rPr>
      </w:pPr>
    </w:p>
    <w:p w14:paraId="01A88222">
      <w:pPr>
        <w:pStyle w:val="276"/>
        <w:rPr>
          <w:rFonts w:ascii="宋体" w:hAnsi="宋体" w:cs="宋体"/>
          <w:color w:val="auto"/>
          <w:highlight w:val="none"/>
        </w:rPr>
      </w:pPr>
    </w:p>
    <w:p w14:paraId="11D260CF">
      <w:pPr>
        <w:pStyle w:val="276"/>
        <w:rPr>
          <w:rFonts w:ascii="宋体" w:hAnsi="宋体" w:cs="宋体"/>
          <w:color w:val="auto"/>
          <w:highlight w:val="none"/>
        </w:rPr>
      </w:pPr>
      <w:r>
        <w:rPr>
          <w:rFonts w:hint="eastAsia" w:ascii="宋体" w:hAnsi="宋体" w:cs="宋体"/>
          <w:color w:val="auto"/>
          <w:highlight w:val="none"/>
        </w:rPr>
        <w:t>注：</w:t>
      </w:r>
      <w:r>
        <w:rPr>
          <w:rFonts w:hint="eastAsia" w:ascii="宋体" w:hAnsi="宋体" w:cs="宋体"/>
          <w:color w:val="auto"/>
          <w:highlight w:val="none"/>
          <w:lang w:val="en-US" w:eastAsia="zh-CN"/>
        </w:rPr>
        <w:t>指投标人认为需要附的</w:t>
      </w:r>
      <w:r>
        <w:rPr>
          <w:rFonts w:hint="eastAsia" w:ascii="宋体" w:hAnsi="宋体" w:cs="宋体"/>
          <w:color w:val="auto"/>
          <w:highlight w:val="none"/>
        </w:rPr>
        <w:t>其他资料。</w:t>
      </w:r>
    </w:p>
    <w:p w14:paraId="534A8B33">
      <w:pPr>
        <w:pStyle w:val="276"/>
        <w:rPr>
          <w:rFonts w:ascii="宋体" w:hAnsi="宋体" w:cs="宋体"/>
          <w:color w:val="auto"/>
          <w:highlight w:val="none"/>
        </w:rPr>
      </w:pPr>
      <w:r>
        <w:rPr>
          <w:rFonts w:ascii="宋体" w:hAnsi="宋体" w:cs="宋体"/>
          <w:color w:val="auto"/>
          <w:sz w:val="18"/>
          <w:szCs w:val="18"/>
          <w:highlight w:val="none"/>
        </w:rPr>
        <w:br w:type="page"/>
      </w:r>
    </w:p>
    <w:p w14:paraId="3CE40C4E">
      <w:pPr>
        <w:pStyle w:val="276"/>
        <w:spacing w:line="360" w:lineRule="auto"/>
        <w:ind w:firstLine="315" w:firstLineChars="150"/>
        <w:rPr>
          <w:rFonts w:ascii="宋体" w:hAnsi="宋体" w:cs="宋体"/>
          <w:color w:val="auto"/>
          <w:highlight w:val="none"/>
        </w:rPr>
      </w:pPr>
    </w:p>
    <w:p w14:paraId="43CB584E">
      <w:pPr>
        <w:pStyle w:val="276"/>
        <w:spacing w:line="360" w:lineRule="auto"/>
        <w:ind w:firstLine="315" w:firstLineChars="150"/>
        <w:rPr>
          <w:rFonts w:ascii="宋体" w:hAnsi="宋体" w:cs="宋体"/>
          <w:color w:val="auto"/>
          <w:highlight w:val="none"/>
        </w:rPr>
      </w:pPr>
    </w:p>
    <w:p w14:paraId="76D51A77">
      <w:pPr>
        <w:pStyle w:val="276"/>
        <w:spacing w:line="360" w:lineRule="auto"/>
        <w:rPr>
          <w:rFonts w:ascii="宋体" w:hAnsi="宋体" w:cs="宋体"/>
          <w:b/>
          <w:color w:val="auto"/>
          <w:sz w:val="44"/>
          <w:szCs w:val="44"/>
          <w:highlight w:val="none"/>
          <w:u w:val="single"/>
        </w:rPr>
      </w:pPr>
      <w:r>
        <w:rPr>
          <w:rFonts w:ascii="宋体" w:hAnsi="宋体" w:cs="宋体"/>
          <w:b/>
          <w:color w:val="auto"/>
          <w:sz w:val="32"/>
          <w:szCs w:val="32"/>
          <w:highlight w:val="none"/>
        </w:rPr>
        <w:t xml:space="preserve">  </w:t>
      </w:r>
      <w:r>
        <w:rPr>
          <w:rFonts w:ascii="黑体" w:hAnsi="黑体" w:eastAsia="黑体" w:cs="宋体"/>
          <w:color w:val="auto"/>
          <w:sz w:val="32"/>
          <w:szCs w:val="32"/>
          <w:highlight w:val="none"/>
          <w:u w:val="single"/>
        </w:rPr>
        <w:t xml:space="preserve">                   </w:t>
      </w:r>
      <w:r>
        <w:rPr>
          <w:rFonts w:hint="eastAsia" w:ascii="黑体" w:hAnsi="黑体" w:eastAsia="黑体" w:cs="宋体"/>
          <w:color w:val="auto"/>
          <w:sz w:val="32"/>
          <w:szCs w:val="32"/>
          <w:highlight w:val="none"/>
        </w:rPr>
        <w:t>（招标项目名称）招标第</w:t>
      </w:r>
      <w:r>
        <w:rPr>
          <w:rFonts w:ascii="黑体" w:hAnsi="黑体" w:eastAsia="黑体" w:cs="宋体"/>
          <w:color w:val="auto"/>
          <w:sz w:val="32"/>
          <w:szCs w:val="32"/>
          <w:highlight w:val="none"/>
          <w:u w:val="single"/>
        </w:rPr>
        <w:t xml:space="preserve">      </w:t>
      </w:r>
      <w:r>
        <w:rPr>
          <w:rFonts w:hint="eastAsia" w:ascii="黑体" w:hAnsi="黑体" w:eastAsia="黑体" w:cs="宋体"/>
          <w:color w:val="auto"/>
          <w:sz w:val="32"/>
          <w:szCs w:val="32"/>
          <w:highlight w:val="none"/>
        </w:rPr>
        <w:t>标段</w:t>
      </w:r>
    </w:p>
    <w:p w14:paraId="317E072D">
      <w:pPr>
        <w:pStyle w:val="276"/>
        <w:rPr>
          <w:rFonts w:ascii="宋体" w:hAnsi="宋体" w:cs="宋体"/>
          <w:color w:val="auto"/>
          <w:highlight w:val="none"/>
        </w:rPr>
      </w:pPr>
    </w:p>
    <w:p w14:paraId="0DCAFF01">
      <w:pPr>
        <w:pStyle w:val="276"/>
        <w:rPr>
          <w:rFonts w:ascii="宋体" w:hAnsi="宋体" w:cs="宋体"/>
          <w:color w:val="auto"/>
          <w:highlight w:val="none"/>
        </w:rPr>
      </w:pPr>
    </w:p>
    <w:p w14:paraId="5A7171C1">
      <w:pPr>
        <w:pStyle w:val="276"/>
        <w:rPr>
          <w:rFonts w:ascii="宋体" w:hAnsi="宋体" w:cs="宋体"/>
          <w:color w:val="auto"/>
          <w:highlight w:val="none"/>
        </w:rPr>
      </w:pPr>
    </w:p>
    <w:p w14:paraId="35886567">
      <w:pPr>
        <w:pStyle w:val="276"/>
        <w:rPr>
          <w:rFonts w:ascii="宋体" w:hAnsi="宋体" w:cs="宋体"/>
          <w:color w:val="auto"/>
          <w:highlight w:val="none"/>
        </w:rPr>
      </w:pPr>
    </w:p>
    <w:p w14:paraId="24C147BF">
      <w:pPr>
        <w:pStyle w:val="276"/>
        <w:rPr>
          <w:rFonts w:ascii="宋体" w:hAnsi="宋体" w:cs="宋体"/>
          <w:color w:val="auto"/>
          <w:highlight w:val="none"/>
        </w:rPr>
      </w:pPr>
    </w:p>
    <w:p w14:paraId="0A5AC959">
      <w:pPr>
        <w:pStyle w:val="276"/>
        <w:rPr>
          <w:rFonts w:ascii="宋体" w:hAnsi="宋体" w:cs="宋体"/>
          <w:color w:val="auto"/>
          <w:highlight w:val="none"/>
        </w:rPr>
      </w:pPr>
    </w:p>
    <w:p w14:paraId="5C289CD4">
      <w:pPr>
        <w:pStyle w:val="276"/>
        <w:rPr>
          <w:rFonts w:ascii="宋体" w:hAnsi="宋体" w:cs="宋体"/>
          <w:color w:val="auto"/>
          <w:highlight w:val="none"/>
        </w:rPr>
      </w:pPr>
    </w:p>
    <w:p w14:paraId="1B0EA1B4">
      <w:pPr>
        <w:pStyle w:val="276"/>
        <w:rPr>
          <w:rFonts w:ascii="宋体" w:hAnsi="宋体" w:cs="宋体"/>
          <w:color w:val="auto"/>
          <w:highlight w:val="none"/>
        </w:rPr>
      </w:pPr>
    </w:p>
    <w:p w14:paraId="379EB663">
      <w:pPr>
        <w:pStyle w:val="276"/>
        <w:rPr>
          <w:rFonts w:ascii="宋体" w:hAnsi="宋体" w:cs="宋体"/>
          <w:color w:val="auto"/>
          <w:highlight w:val="none"/>
        </w:rPr>
      </w:pPr>
    </w:p>
    <w:p w14:paraId="2F2BC20A">
      <w:pPr>
        <w:pStyle w:val="276"/>
        <w:rPr>
          <w:rFonts w:ascii="宋体" w:hAnsi="宋体" w:cs="宋体"/>
          <w:color w:val="auto"/>
          <w:highlight w:val="none"/>
        </w:rPr>
      </w:pPr>
    </w:p>
    <w:p w14:paraId="7742625B">
      <w:pPr>
        <w:pStyle w:val="276"/>
        <w:rPr>
          <w:rFonts w:ascii="宋体" w:hAnsi="宋体" w:cs="宋体"/>
          <w:color w:val="auto"/>
          <w:highlight w:val="none"/>
        </w:rPr>
      </w:pPr>
    </w:p>
    <w:p w14:paraId="1201FC37">
      <w:pPr>
        <w:pStyle w:val="276"/>
        <w:rPr>
          <w:rFonts w:ascii="宋体" w:hAnsi="宋体" w:cs="宋体"/>
          <w:color w:val="auto"/>
          <w:highlight w:val="none"/>
        </w:rPr>
      </w:pPr>
    </w:p>
    <w:p w14:paraId="61241ED9">
      <w:pPr>
        <w:pStyle w:val="276"/>
        <w:rPr>
          <w:rFonts w:ascii="宋体" w:hAnsi="宋体" w:cs="宋体"/>
          <w:color w:val="auto"/>
          <w:highlight w:val="none"/>
        </w:rPr>
      </w:pPr>
    </w:p>
    <w:p w14:paraId="302E8A0F">
      <w:pPr>
        <w:pStyle w:val="276"/>
        <w:rPr>
          <w:rFonts w:ascii="宋体" w:hAnsi="宋体" w:cs="宋体"/>
          <w:color w:val="auto"/>
          <w:highlight w:val="none"/>
        </w:rPr>
      </w:pPr>
    </w:p>
    <w:p w14:paraId="119895A1">
      <w:pPr>
        <w:pStyle w:val="5"/>
        <w:jc w:val="center"/>
        <w:outlineLvl w:val="1"/>
        <w:rPr>
          <w:rFonts w:ascii="黑体" w:hAnsi="黑体" w:cs="黑体"/>
          <w:color w:val="auto"/>
          <w:sz w:val="72"/>
          <w:szCs w:val="72"/>
          <w:highlight w:val="none"/>
        </w:rPr>
      </w:pPr>
      <w:bookmarkStart w:id="781" w:name="_Toc74760943"/>
      <w:r>
        <w:rPr>
          <w:rFonts w:hint="eastAsia" w:ascii="黑体" w:hAnsi="黑体" w:cs="黑体"/>
          <w:color w:val="auto"/>
          <w:sz w:val="72"/>
          <w:szCs w:val="72"/>
          <w:highlight w:val="none"/>
        </w:rPr>
        <w:t>投</w:t>
      </w:r>
      <w:r>
        <w:rPr>
          <w:rFonts w:hint="eastAsia" w:ascii="黑体" w:hAnsi="黑体" w:cs="黑体"/>
          <w:color w:val="auto"/>
          <w:sz w:val="72"/>
          <w:szCs w:val="72"/>
          <w:highlight w:val="none"/>
          <w:lang w:val="en-US" w:eastAsia="zh-CN"/>
        </w:rPr>
        <w:t xml:space="preserve"> </w:t>
      </w:r>
      <w:r>
        <w:rPr>
          <w:rFonts w:hint="eastAsia" w:ascii="黑体" w:hAnsi="黑体" w:cs="黑体"/>
          <w:color w:val="auto"/>
          <w:sz w:val="72"/>
          <w:szCs w:val="72"/>
          <w:highlight w:val="none"/>
        </w:rPr>
        <w:t>标</w:t>
      </w:r>
      <w:r>
        <w:rPr>
          <w:rFonts w:hint="eastAsia" w:ascii="黑体" w:hAnsi="黑体" w:cs="黑体"/>
          <w:color w:val="auto"/>
          <w:sz w:val="72"/>
          <w:szCs w:val="72"/>
          <w:highlight w:val="none"/>
          <w:lang w:val="en-US" w:eastAsia="zh-CN"/>
        </w:rPr>
        <w:t xml:space="preserve"> </w:t>
      </w:r>
      <w:r>
        <w:rPr>
          <w:rFonts w:hint="eastAsia" w:ascii="黑体" w:hAnsi="黑体" w:cs="黑体"/>
          <w:color w:val="auto"/>
          <w:sz w:val="72"/>
          <w:szCs w:val="72"/>
          <w:highlight w:val="none"/>
        </w:rPr>
        <w:t>文</w:t>
      </w:r>
      <w:r>
        <w:rPr>
          <w:rFonts w:hint="eastAsia" w:ascii="黑体" w:hAnsi="黑体" w:cs="黑体"/>
          <w:color w:val="auto"/>
          <w:sz w:val="72"/>
          <w:szCs w:val="72"/>
          <w:highlight w:val="none"/>
          <w:lang w:val="en-US" w:eastAsia="zh-CN"/>
        </w:rPr>
        <w:t xml:space="preserve"> </w:t>
      </w:r>
      <w:r>
        <w:rPr>
          <w:rFonts w:hint="eastAsia" w:ascii="黑体" w:hAnsi="黑体" w:cs="黑体"/>
          <w:color w:val="auto"/>
          <w:sz w:val="72"/>
          <w:szCs w:val="72"/>
          <w:highlight w:val="none"/>
        </w:rPr>
        <w:t>件</w:t>
      </w:r>
      <w:bookmarkEnd w:id="781"/>
    </w:p>
    <w:p w14:paraId="1D38127B">
      <w:pPr>
        <w:pStyle w:val="5"/>
        <w:jc w:val="center"/>
        <w:outlineLvl w:val="1"/>
        <w:rPr>
          <w:rFonts w:ascii="黑体" w:hAnsi="黑体" w:cs="黑体"/>
          <w:b w:val="0"/>
          <w:color w:val="auto"/>
          <w:highlight w:val="none"/>
        </w:rPr>
      </w:pPr>
      <w:bookmarkStart w:id="782" w:name="_Toc74760944"/>
      <w:r>
        <w:rPr>
          <w:rFonts w:hint="eastAsia" w:ascii="黑体" w:hAnsi="黑体" w:cs="黑体"/>
          <w:b w:val="0"/>
          <w:color w:val="auto"/>
          <w:highlight w:val="none"/>
        </w:rPr>
        <w:t>第二个信封（报</w:t>
      </w:r>
      <w:bookmarkStart w:id="783" w:name="_Toc523921872"/>
      <w:bookmarkStart w:id="784" w:name="_Toc28187750"/>
      <w:r>
        <w:rPr>
          <w:rFonts w:hint="eastAsia" w:ascii="黑体" w:hAnsi="黑体" w:cs="黑体"/>
          <w:b w:val="0"/>
          <w:color w:val="auto"/>
          <w:highlight w:val="none"/>
        </w:rPr>
        <w:t>价文件）</w:t>
      </w:r>
      <w:bookmarkEnd w:id="782"/>
    </w:p>
    <w:p w14:paraId="313DDE6C">
      <w:pPr>
        <w:pStyle w:val="276"/>
        <w:rPr>
          <w:rFonts w:ascii="宋体" w:hAnsi="宋体" w:cs="宋体"/>
          <w:color w:val="auto"/>
          <w:highlight w:val="none"/>
        </w:rPr>
      </w:pPr>
    </w:p>
    <w:bookmarkEnd w:id="783"/>
    <w:bookmarkEnd w:id="784"/>
    <w:p w14:paraId="212847F4">
      <w:pPr>
        <w:pStyle w:val="276"/>
        <w:rPr>
          <w:rFonts w:ascii="宋体" w:hAnsi="宋体" w:cs="宋体"/>
          <w:color w:val="auto"/>
          <w:highlight w:val="none"/>
        </w:rPr>
      </w:pPr>
    </w:p>
    <w:p w14:paraId="496A3BB0">
      <w:pPr>
        <w:pStyle w:val="276"/>
        <w:rPr>
          <w:rFonts w:ascii="宋体" w:hAnsi="宋体" w:cs="宋体"/>
          <w:color w:val="auto"/>
          <w:highlight w:val="none"/>
        </w:rPr>
      </w:pPr>
    </w:p>
    <w:p w14:paraId="4B692DBF">
      <w:pPr>
        <w:pStyle w:val="276"/>
        <w:rPr>
          <w:rFonts w:ascii="宋体" w:hAnsi="宋体" w:cs="宋体"/>
          <w:color w:val="auto"/>
          <w:highlight w:val="none"/>
        </w:rPr>
      </w:pPr>
    </w:p>
    <w:p w14:paraId="69E15391">
      <w:pPr>
        <w:pStyle w:val="276"/>
        <w:rPr>
          <w:rFonts w:ascii="宋体" w:hAnsi="宋体" w:cs="宋体"/>
          <w:color w:val="auto"/>
          <w:highlight w:val="none"/>
        </w:rPr>
      </w:pPr>
    </w:p>
    <w:p w14:paraId="69478B04">
      <w:pPr>
        <w:pStyle w:val="276"/>
        <w:rPr>
          <w:rFonts w:ascii="宋体" w:hAnsi="宋体" w:cs="宋体"/>
          <w:color w:val="auto"/>
          <w:highlight w:val="none"/>
        </w:rPr>
      </w:pPr>
    </w:p>
    <w:p w14:paraId="6618F770">
      <w:pPr>
        <w:pStyle w:val="276"/>
        <w:rPr>
          <w:rFonts w:ascii="宋体" w:hAnsi="宋体" w:cs="宋体"/>
          <w:color w:val="auto"/>
          <w:highlight w:val="none"/>
        </w:rPr>
      </w:pPr>
    </w:p>
    <w:p w14:paraId="11E617C4">
      <w:pPr>
        <w:pStyle w:val="276"/>
        <w:rPr>
          <w:rFonts w:ascii="宋体" w:hAnsi="宋体" w:cs="宋体"/>
          <w:color w:val="auto"/>
          <w:highlight w:val="none"/>
        </w:rPr>
      </w:pPr>
    </w:p>
    <w:p w14:paraId="4F0C5F91">
      <w:pPr>
        <w:pStyle w:val="276"/>
        <w:rPr>
          <w:rFonts w:ascii="宋体" w:hAnsi="宋体" w:cs="宋体"/>
          <w:color w:val="auto"/>
          <w:highlight w:val="none"/>
        </w:rPr>
      </w:pPr>
    </w:p>
    <w:p w14:paraId="45285960">
      <w:pPr>
        <w:pStyle w:val="276"/>
        <w:rPr>
          <w:rFonts w:ascii="宋体" w:hAnsi="宋体" w:cs="宋体"/>
          <w:color w:val="auto"/>
          <w:highlight w:val="none"/>
        </w:rPr>
      </w:pPr>
    </w:p>
    <w:p w14:paraId="496F2D7B">
      <w:pPr>
        <w:pStyle w:val="276"/>
        <w:rPr>
          <w:rFonts w:ascii="宋体" w:hAnsi="宋体" w:cs="宋体"/>
          <w:color w:val="auto"/>
          <w:highlight w:val="none"/>
        </w:rPr>
      </w:pPr>
    </w:p>
    <w:p w14:paraId="69E47239">
      <w:pPr>
        <w:pStyle w:val="276"/>
        <w:rPr>
          <w:rFonts w:ascii="宋体" w:hAnsi="宋体" w:cs="宋体"/>
          <w:color w:val="auto"/>
          <w:highlight w:val="none"/>
        </w:rPr>
      </w:pPr>
    </w:p>
    <w:p w14:paraId="4226CF51">
      <w:pPr>
        <w:pStyle w:val="276"/>
        <w:rPr>
          <w:rFonts w:ascii="宋体" w:hAnsi="宋体" w:cs="宋体"/>
          <w:color w:val="auto"/>
          <w:highlight w:val="none"/>
        </w:rPr>
      </w:pPr>
    </w:p>
    <w:p w14:paraId="2F882264">
      <w:pPr>
        <w:pStyle w:val="276"/>
        <w:rPr>
          <w:rFonts w:ascii="宋体" w:hAnsi="宋体" w:cs="宋体"/>
          <w:color w:val="auto"/>
          <w:highlight w:val="none"/>
        </w:rPr>
      </w:pPr>
    </w:p>
    <w:p w14:paraId="1DEF7730">
      <w:pPr>
        <w:pStyle w:val="276"/>
        <w:rPr>
          <w:rFonts w:ascii="宋体" w:hAnsi="宋体" w:cs="宋体"/>
          <w:color w:val="auto"/>
          <w:highlight w:val="none"/>
        </w:rPr>
      </w:pPr>
    </w:p>
    <w:p w14:paraId="30C32685">
      <w:pPr>
        <w:pStyle w:val="276"/>
        <w:rPr>
          <w:rFonts w:ascii="宋体" w:hAnsi="宋体" w:cs="宋体"/>
          <w:color w:val="auto"/>
          <w:highlight w:val="none"/>
        </w:rPr>
      </w:pPr>
    </w:p>
    <w:p w14:paraId="40343E33">
      <w:pPr>
        <w:pStyle w:val="276"/>
        <w:rPr>
          <w:rFonts w:ascii="宋体" w:hAnsi="宋体" w:cs="宋体"/>
          <w:color w:val="auto"/>
          <w:highlight w:val="none"/>
        </w:rPr>
      </w:pPr>
    </w:p>
    <w:p w14:paraId="3C3866AF">
      <w:pPr>
        <w:pStyle w:val="276"/>
        <w:rPr>
          <w:rFonts w:ascii="宋体" w:hAnsi="宋体" w:cs="宋体"/>
          <w:color w:val="auto"/>
          <w:highlight w:val="none"/>
        </w:rPr>
      </w:pPr>
    </w:p>
    <w:p w14:paraId="4FA84C54">
      <w:pPr>
        <w:pStyle w:val="276"/>
        <w:ind w:firstLine="1680" w:firstLineChars="600"/>
        <w:rPr>
          <w:rFonts w:ascii="黑体" w:hAnsi="黑体" w:eastAsia="黑体" w:cs="宋体"/>
          <w:color w:val="auto"/>
          <w:sz w:val="28"/>
          <w:szCs w:val="28"/>
          <w:highlight w:val="none"/>
        </w:rPr>
      </w:pPr>
      <w:r>
        <w:rPr>
          <w:rFonts w:hint="eastAsia" w:ascii="黑体" w:hAnsi="黑体" w:eastAsia="黑体" w:cs="宋体"/>
          <w:color w:val="auto"/>
          <w:sz w:val="28"/>
          <w:szCs w:val="28"/>
          <w:highlight w:val="none"/>
        </w:rPr>
        <w:t>投标人：</w:t>
      </w:r>
      <w:r>
        <w:rPr>
          <w:rFonts w:ascii="黑体" w:hAnsi="黑体" w:eastAsia="黑体" w:cs="宋体"/>
          <w:color w:val="auto"/>
          <w:sz w:val="28"/>
          <w:szCs w:val="28"/>
          <w:highlight w:val="none"/>
          <w:u w:val="single"/>
        </w:rPr>
        <w:t xml:space="preserve">                        </w:t>
      </w:r>
      <w:r>
        <w:rPr>
          <w:rFonts w:ascii="黑体" w:hAnsi="黑体" w:eastAsia="黑体" w:cs="宋体"/>
          <w:color w:val="auto"/>
          <w:sz w:val="28"/>
          <w:szCs w:val="28"/>
          <w:highlight w:val="none"/>
        </w:rPr>
        <w:t xml:space="preserve"> （全称）</w:t>
      </w:r>
      <w:r>
        <w:rPr>
          <w:rStyle w:val="58"/>
          <w:rFonts w:ascii="黑体" w:hAnsi="黑体" w:eastAsia="黑体" w:cs="宋体"/>
          <w:color w:val="auto"/>
          <w:sz w:val="28"/>
          <w:szCs w:val="28"/>
          <w:highlight w:val="none"/>
        </w:rPr>
        <w:footnoteReference w:id="155"/>
      </w:r>
    </w:p>
    <w:p w14:paraId="274D29A3">
      <w:pPr>
        <w:pStyle w:val="276"/>
        <w:rPr>
          <w:rFonts w:ascii="黑体" w:hAnsi="黑体" w:eastAsia="黑体" w:cs="宋体"/>
          <w:color w:val="auto"/>
          <w:sz w:val="28"/>
          <w:szCs w:val="28"/>
          <w:highlight w:val="none"/>
        </w:rPr>
      </w:pPr>
    </w:p>
    <w:p w14:paraId="6BF354E3">
      <w:pPr>
        <w:pStyle w:val="276"/>
        <w:rPr>
          <w:rFonts w:ascii="宋体" w:hAnsi="宋体" w:cs="宋体"/>
          <w:b/>
          <w:color w:val="auto"/>
          <w:sz w:val="28"/>
          <w:szCs w:val="28"/>
          <w:highlight w:val="none"/>
        </w:rPr>
      </w:pPr>
      <w:r>
        <w:rPr>
          <w:rFonts w:ascii="黑体" w:hAnsi="黑体" w:eastAsia="黑体" w:cs="宋体"/>
          <w:color w:val="auto"/>
          <w:sz w:val="28"/>
          <w:szCs w:val="28"/>
          <w:highlight w:val="none"/>
        </w:rPr>
        <w:t xml:space="preserve">                   </w:t>
      </w:r>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年</w:t>
      </w:r>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u w:val="single"/>
          <w:lang w:val="en-US" w:eastAsia="zh-CN"/>
        </w:rPr>
        <w:t xml:space="preserve">  </w:t>
      </w:r>
      <w:r>
        <w:rPr>
          <w:rFonts w:hint="eastAsia" w:ascii="黑体" w:hAnsi="黑体" w:eastAsia="黑体" w:cs="宋体"/>
          <w:color w:val="auto"/>
          <w:sz w:val="28"/>
          <w:szCs w:val="28"/>
          <w:highlight w:val="none"/>
        </w:rPr>
        <w:t>月</w:t>
      </w:r>
      <w:r>
        <w:rPr>
          <w:rFonts w:ascii="黑体" w:hAnsi="黑体" w:eastAsia="黑体" w:cs="宋体"/>
          <w:color w:val="auto"/>
          <w:sz w:val="28"/>
          <w:szCs w:val="28"/>
          <w:highlight w:val="none"/>
          <w:u w:val="single"/>
        </w:rPr>
        <w:t xml:space="preserve">     </w:t>
      </w:r>
      <w:r>
        <w:rPr>
          <w:rFonts w:hint="eastAsia" w:ascii="黑体" w:hAnsi="黑体" w:eastAsia="黑体" w:cs="宋体"/>
          <w:color w:val="auto"/>
          <w:sz w:val="28"/>
          <w:szCs w:val="28"/>
          <w:highlight w:val="none"/>
        </w:rPr>
        <w:t>日</w:t>
      </w:r>
    </w:p>
    <w:p w14:paraId="385E72C1">
      <w:pPr>
        <w:pStyle w:val="276"/>
        <w:rPr>
          <w:rFonts w:ascii="宋体" w:hAnsi="宋体" w:cs="宋体"/>
          <w:b/>
          <w:color w:val="auto"/>
          <w:sz w:val="28"/>
          <w:szCs w:val="28"/>
          <w:highlight w:val="none"/>
        </w:rPr>
      </w:pPr>
    </w:p>
    <w:p w14:paraId="35C923BD">
      <w:pPr>
        <w:pStyle w:val="276"/>
        <w:rPr>
          <w:rFonts w:hint="eastAsia" w:ascii="黑体" w:hAnsi="黑体" w:eastAsia="黑体" w:cs="黑体"/>
          <w:bCs/>
          <w:color w:val="auto"/>
          <w:sz w:val="30"/>
          <w:szCs w:val="30"/>
          <w:highlight w:val="none"/>
        </w:rPr>
      </w:pPr>
    </w:p>
    <w:p w14:paraId="35D1E805">
      <w:pPr>
        <w:spacing w:line="360" w:lineRule="auto"/>
        <w:jc w:val="center"/>
        <w:rPr>
          <w:rFonts w:ascii="黑体" w:hAnsi="黑体" w:eastAsia="黑体" w:cs="黑体"/>
          <w:bCs/>
          <w:color w:val="auto"/>
          <w:sz w:val="30"/>
          <w:szCs w:val="30"/>
          <w:highlight w:val="none"/>
        </w:rPr>
      </w:pPr>
      <w:r>
        <w:rPr>
          <w:rFonts w:hint="eastAsia" w:ascii="黑体" w:hAnsi="黑体" w:eastAsia="黑体" w:cs="黑体"/>
          <w:bCs/>
          <w:color w:val="auto"/>
          <w:sz w:val="30"/>
          <w:szCs w:val="30"/>
          <w:highlight w:val="none"/>
        </w:rPr>
        <w:t>目</w:t>
      </w:r>
      <w:r>
        <w:rPr>
          <w:rFonts w:ascii="黑体" w:hAnsi="黑体" w:eastAsia="黑体" w:cs="黑体"/>
          <w:bCs/>
          <w:color w:val="auto"/>
          <w:sz w:val="30"/>
          <w:szCs w:val="30"/>
          <w:highlight w:val="none"/>
        </w:rPr>
        <w:tab/>
      </w:r>
      <w:r>
        <w:rPr>
          <w:rFonts w:ascii="黑体" w:hAnsi="黑体" w:eastAsia="黑体" w:cs="黑体"/>
          <w:bCs/>
          <w:color w:val="auto"/>
          <w:sz w:val="30"/>
          <w:szCs w:val="30"/>
          <w:highlight w:val="none"/>
        </w:rPr>
        <w:t xml:space="preserve">  录</w:t>
      </w:r>
    </w:p>
    <w:p w14:paraId="190F37FB">
      <w:pPr>
        <w:pStyle w:val="276"/>
        <w:spacing w:line="360" w:lineRule="auto"/>
        <w:rPr>
          <w:rFonts w:ascii="宋体" w:hAnsi="宋体" w:cs="宋体"/>
          <w:color w:val="auto"/>
          <w:highlight w:val="none"/>
        </w:rPr>
      </w:pPr>
    </w:p>
    <w:p w14:paraId="0B18257E">
      <w:pPr>
        <w:pStyle w:val="276"/>
        <w:spacing w:line="360" w:lineRule="auto"/>
        <w:rPr>
          <w:rFonts w:ascii="宋体" w:hAnsi="宋体" w:cs="宋体"/>
          <w:color w:val="auto"/>
          <w:highlight w:val="none"/>
        </w:rPr>
      </w:pPr>
    </w:p>
    <w:p w14:paraId="37BF0A2D">
      <w:pPr>
        <w:spacing w:line="480" w:lineRule="auto"/>
        <w:rPr>
          <w:color w:val="auto"/>
          <w:sz w:val="24"/>
          <w:highlight w:val="none"/>
        </w:rPr>
      </w:pPr>
      <w:r>
        <w:rPr>
          <w:rFonts w:hint="eastAsia"/>
          <w:color w:val="auto"/>
          <w:sz w:val="24"/>
          <w:highlight w:val="none"/>
        </w:rPr>
        <w:t>一、投标函（第二个信封）</w:t>
      </w:r>
      <w:r>
        <w:rPr>
          <w:color w:val="auto"/>
          <w:sz w:val="24"/>
          <w:highlight w:val="none"/>
        </w:rPr>
        <w:t xml:space="preserve"> </w:t>
      </w:r>
    </w:p>
    <w:p w14:paraId="39E9DDBD">
      <w:pPr>
        <w:spacing w:line="480" w:lineRule="auto"/>
        <w:rPr>
          <w:color w:val="auto"/>
          <w:sz w:val="24"/>
          <w:highlight w:val="none"/>
        </w:rPr>
      </w:pPr>
      <w:r>
        <w:rPr>
          <w:rFonts w:hint="eastAsia"/>
          <w:color w:val="auto"/>
          <w:sz w:val="24"/>
          <w:highlight w:val="none"/>
        </w:rPr>
        <w:t>二、监理试验室服务费用</w:t>
      </w:r>
      <w:bookmarkStart w:id="785" w:name="_Toc523921875"/>
      <w:bookmarkStart w:id="786" w:name="_Toc28187751"/>
      <w:r>
        <w:rPr>
          <w:rFonts w:hint="eastAsia"/>
          <w:color w:val="auto"/>
          <w:sz w:val="24"/>
          <w:highlight w:val="none"/>
        </w:rPr>
        <w:t>清单</w:t>
      </w:r>
    </w:p>
    <w:p w14:paraId="7E780F95">
      <w:pPr>
        <w:rPr>
          <w:rFonts w:eastAsia="黑体"/>
          <w:color w:val="auto"/>
          <w:kern w:val="44"/>
          <w:highlight w:val="none"/>
        </w:rPr>
      </w:pPr>
      <w:r>
        <w:rPr>
          <w:color w:val="auto"/>
          <w:highlight w:val="none"/>
        </w:rPr>
        <w:br w:type="page"/>
      </w:r>
    </w:p>
    <w:p w14:paraId="41E0746C">
      <w:pPr>
        <w:pStyle w:val="5"/>
        <w:jc w:val="center"/>
        <w:rPr>
          <w:b w:val="0"/>
          <w:bCs w:val="0"/>
        </w:rPr>
      </w:pPr>
      <w:bookmarkStart w:id="787" w:name="_Toc74760945"/>
      <w:r>
        <w:rPr>
          <w:rFonts w:hint="eastAsia"/>
          <w:b w:val="0"/>
          <w:bCs w:val="0"/>
        </w:rPr>
        <w:t>一、投标函（第二</w:t>
      </w:r>
      <w:bookmarkEnd w:id="785"/>
      <w:bookmarkEnd w:id="786"/>
      <w:r>
        <w:rPr>
          <w:rFonts w:hint="eastAsia"/>
          <w:b w:val="0"/>
          <w:bCs w:val="0"/>
        </w:rPr>
        <w:t>个</w:t>
      </w:r>
      <w:bookmarkStart w:id="788" w:name="_Toc28187752"/>
      <w:bookmarkStart w:id="789" w:name="_Toc523921876"/>
      <w:r>
        <w:rPr>
          <w:rFonts w:hint="eastAsia"/>
          <w:b w:val="0"/>
          <w:bCs w:val="0"/>
        </w:rPr>
        <w:t>信封）</w:t>
      </w:r>
      <w:bookmarkEnd w:id="787"/>
    </w:p>
    <w:p w14:paraId="6059F605">
      <w:pPr>
        <w:pStyle w:val="276"/>
        <w:spacing w:line="360" w:lineRule="auto"/>
        <w:rPr>
          <w:rFonts w:ascii="宋体" w:hAnsi="宋体" w:cs="宋体"/>
          <w:color w:val="auto"/>
          <w:highlight w:val="none"/>
        </w:rPr>
      </w:pPr>
    </w:p>
    <w:p w14:paraId="33CF04FB">
      <w:pPr>
        <w:pStyle w:val="276"/>
        <w:spacing w:line="360" w:lineRule="auto"/>
        <w:rPr>
          <w:rFonts w:ascii="宋体" w:hAnsi="宋体" w:cs="宋体"/>
          <w:color w:val="auto"/>
          <w:highlight w:val="none"/>
        </w:rPr>
      </w:pPr>
      <w:r>
        <w:rPr>
          <w:rFonts w:ascii="宋体" w:hAnsi="宋体" w:cs="宋体"/>
          <w:color w:val="auto"/>
          <w:sz w:val="24"/>
          <w:highlight w:val="none"/>
          <w:u w:val="single"/>
        </w:rPr>
        <w:tab/>
      </w:r>
      <w:bookmarkEnd w:id="788"/>
      <w:bookmarkEnd w:id="789"/>
      <w:r>
        <w:rPr>
          <w:rFonts w:ascii="宋体" w:hAnsi="宋体" w:cs="宋体"/>
          <w:color w:val="auto"/>
          <w:sz w:val="24"/>
          <w:highlight w:val="none"/>
          <w:u w:val="single"/>
        </w:rPr>
        <w:t xml:space="preserve">               </w:t>
      </w:r>
      <w:r>
        <w:rPr>
          <w:rFonts w:hint="eastAsia" w:ascii="宋体" w:hAnsi="宋体" w:cs="宋体"/>
          <w:color w:val="auto"/>
          <w:sz w:val="24"/>
          <w:highlight w:val="none"/>
        </w:rPr>
        <w:t>（招标人名称）</w:t>
      </w:r>
      <w:r>
        <w:rPr>
          <w:rFonts w:hint="eastAsia" w:ascii="宋体" w:hAnsi="宋体" w:cs="宋体"/>
          <w:color w:val="auto"/>
          <w:highlight w:val="none"/>
        </w:rPr>
        <w:t>：</w:t>
      </w:r>
    </w:p>
    <w:p w14:paraId="313B13D1">
      <w:pPr>
        <w:pStyle w:val="276"/>
        <w:spacing w:line="360" w:lineRule="auto"/>
        <w:rPr>
          <w:rFonts w:ascii="宋体" w:hAnsi="宋体" w:cs="宋体"/>
          <w:color w:val="auto"/>
          <w:highlight w:val="none"/>
        </w:rPr>
      </w:pPr>
    </w:p>
    <w:p w14:paraId="21C82669">
      <w:pPr>
        <w:pStyle w:val="21"/>
        <w:numPr>
          <w:ilvl w:val="255"/>
          <w:numId w:val="0"/>
        </w:numPr>
        <w:tabs>
          <w:tab w:val="left" w:pos="1857"/>
          <w:tab w:val="left" w:pos="4380"/>
          <w:tab w:val="left" w:pos="4908"/>
          <w:tab w:val="left" w:pos="7245"/>
        </w:tabs>
        <w:spacing w:before="26" w:line="360" w:lineRule="auto"/>
        <w:ind w:left="0" w:right="100" w:firstLine="480" w:firstLineChars="200"/>
      </w:pPr>
      <w:r>
        <w:rPr>
          <w:rFonts w:ascii="宋体" w:hAnsi="宋体" w:cs="宋体"/>
          <w:color w:val="auto"/>
          <w:sz w:val="24"/>
          <w:highlight w:val="none"/>
        </w:rPr>
        <w:t>1．我方已仔细研究</w:t>
      </w:r>
      <w:r>
        <w:rPr>
          <w:rFonts w:ascii="宋体" w:hAnsi="宋体" w:cs="宋体"/>
          <w:color w:val="auto"/>
          <w:sz w:val="24"/>
          <w:highlight w:val="none"/>
          <w:u w:val="single"/>
        </w:rPr>
        <w:t xml:space="preserve">          </w:t>
      </w:r>
      <w:r>
        <w:rPr>
          <w:rFonts w:hint="eastAsia" w:ascii="宋体" w:hAnsi="宋体" w:cs="宋体"/>
          <w:color w:val="auto"/>
          <w:sz w:val="24"/>
          <w:highlight w:val="none"/>
        </w:rPr>
        <w:t>（招标项目名称）</w:t>
      </w:r>
      <w:r>
        <w:rPr>
          <w:rFonts w:hint="eastAsia" w:ascii="宋体" w:hAnsi="宋体"/>
          <w:color w:val="auto"/>
          <w:sz w:val="24"/>
          <w:highlight w:val="none"/>
        </w:rPr>
        <w:t>招标</w:t>
      </w:r>
      <w:r>
        <w:rPr>
          <w:rFonts w:hint="eastAsia" w:ascii="宋体" w:hAnsi="宋体" w:cs="宋体"/>
          <w:color w:val="auto"/>
          <w:sz w:val="24"/>
          <w:highlight w:val="none"/>
        </w:rPr>
        <w:t>第</w:t>
      </w:r>
      <w:r>
        <w:rPr>
          <w:rFonts w:ascii="宋体" w:hAnsi="宋体" w:cs="宋体"/>
          <w:color w:val="auto"/>
          <w:sz w:val="24"/>
          <w:highlight w:val="none"/>
          <w:u w:val="single"/>
        </w:rPr>
        <w:t xml:space="preserve">    </w:t>
      </w:r>
      <w:r>
        <w:rPr>
          <w:rFonts w:hint="eastAsia" w:ascii="宋体" w:hAnsi="宋体" w:cs="宋体"/>
          <w:color w:val="auto"/>
          <w:sz w:val="24"/>
          <w:highlight w:val="none"/>
        </w:rPr>
        <w:t>标段招标文件的全部内容（含全部补遗书），在</w:t>
      </w:r>
      <w:bookmarkStart w:id="790" w:name="_Toc523921877"/>
      <w:r>
        <w:rPr>
          <w:rFonts w:hint="eastAsia" w:ascii="宋体" w:hAnsi="宋体" w:cs="宋体"/>
          <w:color w:val="auto"/>
          <w:sz w:val="24"/>
          <w:highlight w:val="none"/>
        </w:rPr>
        <w:t>考察工程现</w:t>
      </w:r>
      <w:bookmarkEnd w:id="790"/>
      <w:r>
        <w:rPr>
          <w:rFonts w:hint="eastAsia" w:ascii="宋体" w:hAnsi="宋体" w:cs="宋体"/>
          <w:color w:val="auto"/>
          <w:sz w:val="24"/>
          <w:highlight w:val="none"/>
        </w:rPr>
        <w:t>场后，</w:t>
      </w:r>
      <w:r>
        <w:t>愿意以</w:t>
      </w:r>
      <w:r>
        <w:rPr>
          <w:rFonts w:hint="eastAsia"/>
        </w:rPr>
        <w:t>下列投标报价，</w:t>
      </w:r>
      <w:r>
        <w:t>按合同约定完成</w:t>
      </w:r>
      <w:r>
        <w:rPr>
          <w:rFonts w:hint="eastAsia"/>
          <w:lang w:val="en-US" w:eastAsia="zh-CN"/>
        </w:rPr>
        <w:t>监理试验室</w:t>
      </w:r>
      <w:r>
        <w:rPr>
          <w:rFonts w:hint="eastAsia"/>
        </w:rPr>
        <w:t>工作</w:t>
      </w:r>
      <w:r>
        <w:t>。</w:t>
      </w:r>
    </w:p>
    <w:p w14:paraId="3E3DE74B">
      <w:pPr>
        <w:pStyle w:val="21"/>
        <w:numPr>
          <w:ilvl w:val="255"/>
          <w:numId w:val="0"/>
        </w:numPr>
        <w:tabs>
          <w:tab w:val="left" w:pos="1857"/>
          <w:tab w:val="left" w:pos="4380"/>
          <w:tab w:val="left" w:pos="4908"/>
          <w:tab w:val="left" w:pos="7245"/>
        </w:tabs>
        <w:spacing w:before="26" w:line="360" w:lineRule="auto"/>
        <w:ind w:right="100" w:firstLine="482" w:firstLineChars="200"/>
        <w:rPr>
          <w:spacing w:val="4"/>
        </w:rPr>
      </w:pPr>
      <w:r>
        <w:rPr>
          <w:rFonts w:hint="eastAsia" w:cs="宋体"/>
          <w:b/>
          <w:bCs/>
        </w:rPr>
        <w:t>□</w:t>
      </w:r>
      <w:r>
        <w:rPr>
          <w:rFonts w:hint="eastAsia"/>
        </w:rPr>
        <w:t xml:space="preserve"> </w:t>
      </w:r>
      <w:r>
        <w:t>人民币</w:t>
      </w:r>
      <w:r>
        <w:rPr>
          <w:rFonts w:hint="eastAsia"/>
        </w:rPr>
        <w:t>（</w:t>
      </w:r>
      <w:r>
        <w:t>大写</w:t>
      </w:r>
      <w:r>
        <w:rPr>
          <w:rFonts w:hint="eastAsia"/>
        </w:rPr>
        <w:t>）</w:t>
      </w:r>
      <w:r>
        <w:rPr>
          <w:u w:val="single"/>
        </w:rPr>
        <w:t xml:space="preserve">   </w:t>
      </w:r>
      <w:r>
        <w:rPr>
          <w:u w:val="single"/>
        </w:rPr>
        <w:tab/>
      </w:r>
      <w:r>
        <w:t>元</w:t>
      </w:r>
      <w:r>
        <w:rPr>
          <w:rFonts w:hint="eastAsia"/>
        </w:rPr>
        <w:t>（</w:t>
      </w:r>
      <w:r>
        <w:rPr>
          <w:rFonts w:hint="eastAsia" w:cs="宋体"/>
        </w:rPr>
        <w:t>¥</w:t>
      </w:r>
      <w:r>
        <w:rPr>
          <w:u w:val="single"/>
        </w:rPr>
        <w:t xml:space="preserve">           </w:t>
      </w:r>
      <w:r>
        <w:t xml:space="preserve"> ）</w:t>
      </w:r>
      <w:r>
        <w:rPr>
          <w:spacing w:val="4"/>
        </w:rPr>
        <w:t>的投标总报价</w:t>
      </w:r>
      <w:r>
        <w:rPr>
          <w:rFonts w:hint="eastAsia"/>
          <w:spacing w:val="4"/>
        </w:rPr>
        <w:t>（其中增值税税率为</w:t>
      </w:r>
      <w:r>
        <w:rPr>
          <w:spacing w:val="4"/>
          <w:u w:val="single"/>
        </w:rPr>
        <w:t xml:space="preserve">        </w:t>
      </w:r>
      <w:r>
        <w:rPr>
          <w:rStyle w:val="58"/>
          <w:rFonts w:hint="eastAsia" w:ascii="宋体" w:hAnsi="宋体" w:cs="宋体"/>
          <w:sz w:val="24"/>
          <w:u w:val="single"/>
        </w:rPr>
        <w:footnoteReference w:id="156"/>
      </w:r>
      <w:r>
        <w:rPr>
          <w:rFonts w:hint="eastAsia"/>
          <w:spacing w:val="4"/>
        </w:rPr>
        <w:t>）</w:t>
      </w:r>
    </w:p>
    <w:p w14:paraId="3FAFAC35">
      <w:pPr>
        <w:spacing w:line="360" w:lineRule="auto"/>
        <w:ind w:firstLine="482" w:firstLineChars="200"/>
        <w:jc w:val="left"/>
        <w:rPr>
          <w:rFonts w:ascii="宋体" w:hAnsi="宋体" w:cs="宋体"/>
          <w:color w:val="auto"/>
          <w:sz w:val="24"/>
          <w:highlight w:val="none"/>
        </w:rPr>
      </w:pPr>
      <w:r>
        <w:rPr>
          <w:rFonts w:hint="eastAsia" w:cs="宋体"/>
          <w:b/>
          <w:bCs/>
          <w:sz w:val="24"/>
        </w:rPr>
        <w:t>□</w:t>
      </w:r>
      <w:r>
        <w:rPr>
          <w:rFonts w:cs="宋体"/>
          <w:sz w:val="24"/>
        </w:rPr>
        <w:t xml:space="preserve"> </w:t>
      </w:r>
      <w:r>
        <w:rPr>
          <w:rFonts w:ascii="宋体" w:hAnsi="宋体" w:cs="宋体"/>
          <w:sz w:val="24"/>
          <w:u w:val="single"/>
        </w:rPr>
        <w:t xml:space="preserve">   </w:t>
      </w:r>
      <w:r>
        <w:rPr>
          <w:rFonts w:ascii="宋体" w:hAnsi="宋体" w:cs="宋体"/>
          <w:sz w:val="24"/>
          <w:u w:val="single"/>
        </w:rPr>
        <w:tab/>
      </w:r>
      <w:r>
        <w:rPr>
          <w:rFonts w:ascii="宋体" w:hAnsi="宋体" w:cs="宋体"/>
          <w:sz w:val="24"/>
          <w:u w:val="single"/>
        </w:rPr>
        <w:t xml:space="preserve">   </w:t>
      </w:r>
      <w:r>
        <w:rPr>
          <w:rFonts w:hint="eastAsia" w:ascii="宋体" w:hAnsi="宋体" w:cs="宋体"/>
          <w:sz w:val="24"/>
          <w:u w:val="single"/>
          <w:lang w:val="en-US" w:eastAsia="zh-CN"/>
        </w:rPr>
        <w:t xml:space="preserve">        </w:t>
      </w:r>
      <w:r>
        <w:rPr>
          <w:rFonts w:ascii="宋体" w:hAnsi="宋体" w:cs="宋体"/>
          <w:sz w:val="24"/>
          <w:u w:val="single"/>
        </w:rPr>
        <w:t xml:space="preserve"> </w:t>
      </w:r>
      <w:r>
        <w:rPr>
          <w:rFonts w:hint="eastAsia" w:ascii="宋体" w:hAnsi="宋体" w:cs="宋体"/>
          <w:sz w:val="24"/>
        </w:rPr>
        <w:t>。</w:t>
      </w:r>
      <w:r>
        <w:rPr>
          <w:rStyle w:val="58"/>
          <w:rFonts w:hint="eastAsia" w:ascii="宋体" w:hAnsi="宋体" w:cs="宋体"/>
          <w:sz w:val="24"/>
        </w:rPr>
        <w:footnoteReference w:id="157"/>
      </w:r>
    </w:p>
    <w:p w14:paraId="47AC64B7">
      <w:pPr>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2．在合同协议书正式签署生效之前，本投标函连同你方的中标通知书将构成我们双方之间共同遵守的文件，对双方具有约束力。</w:t>
      </w:r>
    </w:p>
    <w:p w14:paraId="30E6B839">
      <w:pPr>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3．</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hint="eastAsia" w:ascii="宋体" w:hAnsi="宋体" w:cs="宋体"/>
          <w:color w:val="auto"/>
          <w:sz w:val="24"/>
          <w:highlight w:val="none"/>
        </w:rPr>
        <w:t>（其他补充说明）。</w:t>
      </w:r>
    </w:p>
    <w:p w14:paraId="31833B0D">
      <w:pPr>
        <w:pStyle w:val="276"/>
        <w:spacing w:line="360" w:lineRule="auto"/>
        <w:rPr>
          <w:rFonts w:ascii="宋体" w:hAnsi="宋体" w:cs="宋体"/>
          <w:color w:val="auto"/>
          <w:sz w:val="24"/>
          <w:highlight w:val="none"/>
        </w:rPr>
      </w:pPr>
    </w:p>
    <w:p w14:paraId="492105AB">
      <w:pPr>
        <w:pStyle w:val="276"/>
        <w:spacing w:line="360" w:lineRule="auto"/>
        <w:rPr>
          <w:rFonts w:ascii="宋体" w:hAnsi="宋体" w:cs="宋体"/>
          <w:color w:val="auto"/>
          <w:highlight w:val="none"/>
        </w:rPr>
      </w:pPr>
    </w:p>
    <w:p w14:paraId="233A27E6">
      <w:pPr>
        <w:spacing w:line="360" w:lineRule="auto"/>
        <w:ind w:firstLine="1080" w:firstLineChars="450"/>
        <w:rPr>
          <w:rFonts w:ascii="宋体" w:hAnsi="宋体" w:cs="宋体"/>
          <w:color w:val="auto"/>
          <w:sz w:val="24"/>
          <w:highlight w:val="none"/>
        </w:rPr>
      </w:pPr>
      <w:r>
        <w:rPr>
          <w:rFonts w:hint="eastAsia" w:ascii="宋体" w:hAnsi="宋体" w:cs="宋体"/>
          <w:color w:val="auto"/>
          <w:sz w:val="24"/>
          <w:highlight w:val="none"/>
        </w:rPr>
        <w:t>投</w:t>
      </w:r>
      <w:r>
        <w:rPr>
          <w:rFonts w:ascii="宋体" w:hAnsi="宋体" w:cs="宋体"/>
          <w:color w:val="auto"/>
          <w:sz w:val="24"/>
          <w:highlight w:val="none"/>
        </w:rPr>
        <w:t xml:space="preserve"> </w:t>
      </w:r>
      <w:r>
        <w:rPr>
          <w:rFonts w:hint="eastAsia" w:ascii="宋体" w:hAnsi="宋体" w:cs="宋体"/>
          <w:color w:val="auto"/>
          <w:sz w:val="24"/>
          <w:highlight w:val="none"/>
        </w:rPr>
        <w:t>标</w:t>
      </w:r>
      <w:r>
        <w:rPr>
          <w:rFonts w:ascii="宋体" w:hAnsi="宋体" w:cs="宋体"/>
          <w:color w:val="auto"/>
          <w:sz w:val="24"/>
          <w:highlight w:val="none"/>
        </w:rPr>
        <w:t xml:space="preserve"> </w:t>
      </w:r>
      <w:r>
        <w:rPr>
          <w:rFonts w:hint="eastAsia" w:ascii="宋体" w:hAnsi="宋体" w:cs="宋体"/>
          <w:color w:val="auto"/>
          <w:sz w:val="24"/>
          <w:highlight w:val="none"/>
        </w:rPr>
        <w:t>人：</w:t>
      </w:r>
      <w:r>
        <w:rPr>
          <w:rFonts w:ascii="宋体" w:hAnsi="宋体" w:cs="宋体"/>
          <w:color w:val="auto"/>
          <w:sz w:val="24"/>
          <w:highlight w:val="none"/>
          <w:u w:val="single"/>
        </w:rPr>
        <w:t xml:space="preserve">            （全称）</w:t>
      </w:r>
      <w:r>
        <w:rPr>
          <w:rFonts w:hint="eastAsia" w:ascii="宋体" w:hAnsi="宋体" w:cs="宋体"/>
          <w:color w:val="auto"/>
          <w:sz w:val="24"/>
          <w:highlight w:val="none"/>
          <w:u w:val="single"/>
          <w:lang w:val="en-US" w:eastAsia="zh-CN"/>
        </w:rPr>
        <w:t xml:space="preserve">        </w:t>
      </w:r>
      <w:r>
        <w:rPr>
          <w:rStyle w:val="58"/>
          <w:rFonts w:ascii="宋体" w:hAnsi="宋体" w:cs="宋体"/>
          <w:color w:val="auto"/>
          <w:sz w:val="28"/>
          <w:szCs w:val="28"/>
          <w:highlight w:val="none"/>
        </w:rPr>
        <w:footnoteReference w:id="158"/>
      </w:r>
      <w:r>
        <w:rPr>
          <w:rFonts w:hint="eastAsia" w:ascii="宋体" w:hAnsi="宋体" w:cs="宋体"/>
          <w:color w:val="auto"/>
          <w:sz w:val="24"/>
          <w:highlight w:val="none"/>
        </w:rPr>
        <w:t>（盖单位电子印章）</w:t>
      </w:r>
      <w:r>
        <w:rPr>
          <w:rStyle w:val="58"/>
          <w:rFonts w:ascii="宋体" w:hAnsi="宋体" w:cs="宋体"/>
          <w:color w:val="auto"/>
          <w:sz w:val="28"/>
          <w:szCs w:val="28"/>
          <w:highlight w:val="none"/>
        </w:rPr>
        <w:footnoteReference w:id="159"/>
      </w:r>
    </w:p>
    <w:p w14:paraId="7838C034">
      <w:pPr>
        <w:spacing w:line="360" w:lineRule="auto"/>
        <w:ind w:firstLine="1080" w:firstLineChars="450"/>
        <w:rPr>
          <w:rFonts w:hint="eastAsia" w:ascii="宋体" w:hAnsi="宋体" w:cs="宋体"/>
          <w:color w:val="auto"/>
          <w:sz w:val="24"/>
          <w:highlight w:val="none"/>
        </w:rPr>
      </w:pPr>
      <w:r>
        <w:rPr>
          <w:rFonts w:hint="eastAsia" w:ascii="宋体" w:hAnsi="宋体" w:cs="宋体"/>
          <w:color w:val="auto"/>
          <w:sz w:val="24"/>
          <w:highlight w:val="none"/>
        </w:rPr>
        <w:t>法定代表人</w:t>
      </w:r>
    </w:p>
    <w:p w14:paraId="6DFD3EB9">
      <w:pPr>
        <w:spacing w:line="360" w:lineRule="auto"/>
        <w:ind w:firstLine="1080" w:firstLineChars="450"/>
        <w:rPr>
          <w:rFonts w:ascii="宋体" w:hAnsi="宋体" w:cs="宋体"/>
          <w:color w:val="auto"/>
          <w:sz w:val="24"/>
          <w:highlight w:val="none"/>
        </w:rPr>
      </w:pPr>
      <w:r>
        <w:rPr>
          <w:rFonts w:hint="eastAsia" w:ascii="宋体" w:hAnsi="宋体" w:cs="宋体"/>
          <w:color w:val="auto"/>
          <w:sz w:val="24"/>
          <w:highlight w:val="none"/>
        </w:rPr>
        <w:t>或其委托代理人</w:t>
      </w:r>
      <w:r>
        <w:rPr>
          <w:rStyle w:val="58"/>
          <w:rFonts w:ascii="宋体" w:hAnsi="宋体" w:cs="宋体"/>
          <w:color w:val="auto"/>
          <w:sz w:val="24"/>
          <w:highlight w:val="none"/>
        </w:rPr>
        <w:footnoteReference w:id="160"/>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（个人电子签名章或</w:t>
      </w:r>
      <w:r>
        <w:rPr>
          <w:rFonts w:ascii="宋体" w:hAnsi="宋体"/>
          <w:color w:val="auto"/>
          <w:sz w:val="24"/>
          <w:highlight w:val="none"/>
        </w:rPr>
        <w:t>个人电子印章</w:t>
      </w:r>
      <w:r>
        <w:rPr>
          <w:rFonts w:hint="eastAsia" w:ascii="宋体" w:hAnsi="宋体" w:cs="宋体"/>
          <w:color w:val="auto"/>
          <w:sz w:val="24"/>
          <w:highlight w:val="none"/>
        </w:rPr>
        <w:t>）</w:t>
      </w:r>
    </w:p>
    <w:p w14:paraId="309177FA">
      <w:pPr>
        <w:spacing w:line="360" w:lineRule="auto"/>
        <w:ind w:firstLine="1080" w:firstLineChars="450"/>
        <w:rPr>
          <w:rFonts w:ascii="宋体" w:hAnsi="宋体" w:cs="宋体"/>
          <w:color w:val="auto"/>
          <w:sz w:val="24"/>
          <w:highlight w:val="none"/>
          <w:u w:val="single"/>
        </w:rPr>
      </w:pPr>
      <w:r>
        <w:rPr>
          <w:rFonts w:hint="eastAsia" w:ascii="宋体" w:hAnsi="宋体" w:cs="宋体"/>
          <w:color w:val="auto"/>
          <w:sz w:val="24"/>
          <w:highlight w:val="none"/>
        </w:rPr>
        <w:t>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p>
    <w:p w14:paraId="0FC4C5CB">
      <w:pPr>
        <w:spacing w:line="360" w:lineRule="auto"/>
        <w:ind w:firstLine="1080" w:firstLineChars="450"/>
        <w:rPr>
          <w:rFonts w:ascii="宋体" w:hAnsi="宋体" w:cs="宋体"/>
          <w:color w:val="auto"/>
          <w:sz w:val="24"/>
          <w:highlight w:val="none"/>
        </w:rPr>
      </w:pPr>
      <w:r>
        <w:rPr>
          <w:rFonts w:hint="eastAsia" w:ascii="宋体" w:hAnsi="宋体" w:cs="宋体"/>
          <w:color w:val="auto"/>
          <w:sz w:val="24"/>
          <w:highlight w:val="none"/>
        </w:rPr>
        <w:t>网</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址：</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ab/>
      </w:r>
      <w:r>
        <w:rPr>
          <w:rFonts w:ascii="宋体" w:hAnsi="宋体" w:cs="宋体"/>
          <w:color w:val="auto"/>
          <w:sz w:val="24"/>
          <w:highlight w:val="none"/>
        </w:rPr>
        <w:t xml:space="preserve"> </w:t>
      </w:r>
    </w:p>
    <w:p w14:paraId="2AC5F2CC">
      <w:pPr>
        <w:spacing w:line="360" w:lineRule="auto"/>
        <w:ind w:firstLine="1080" w:firstLineChars="450"/>
        <w:rPr>
          <w:rFonts w:ascii="宋体" w:hAnsi="宋体" w:cs="宋体"/>
          <w:color w:val="auto"/>
          <w:sz w:val="24"/>
          <w:highlight w:val="none"/>
        </w:rPr>
      </w:pPr>
      <w:r>
        <w:rPr>
          <w:rFonts w:hint="eastAsia" w:ascii="宋体" w:hAnsi="宋体" w:cs="宋体"/>
          <w:color w:val="auto"/>
          <w:sz w:val="24"/>
          <w:highlight w:val="none"/>
        </w:rPr>
        <w:t>电</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话：</w:t>
      </w:r>
      <w:r>
        <w:rPr>
          <w:rFonts w:ascii="宋体" w:hAnsi="宋体" w:cs="宋体"/>
          <w:color w:val="auto"/>
          <w:sz w:val="24"/>
          <w:highlight w:val="none"/>
          <w:u w:val="single"/>
        </w:rPr>
        <w:tab/>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ascii="宋体" w:hAnsi="宋体" w:cs="宋体"/>
          <w:color w:val="auto"/>
          <w:sz w:val="24"/>
          <w:highlight w:val="none"/>
        </w:rPr>
        <w:t xml:space="preserve"> </w:t>
      </w:r>
    </w:p>
    <w:p w14:paraId="497DCBE2">
      <w:pPr>
        <w:spacing w:line="360" w:lineRule="auto"/>
        <w:ind w:firstLine="1080" w:firstLineChars="450"/>
        <w:rPr>
          <w:rFonts w:ascii="宋体" w:hAnsi="宋体" w:cs="宋体"/>
          <w:color w:val="auto"/>
          <w:sz w:val="24"/>
          <w:highlight w:val="none"/>
        </w:rPr>
      </w:pPr>
      <w:r>
        <w:rPr>
          <w:rFonts w:hint="eastAsia" w:ascii="宋体" w:hAnsi="宋体" w:cs="宋体"/>
          <w:color w:val="auto"/>
          <w:sz w:val="24"/>
          <w:highlight w:val="none"/>
        </w:rPr>
        <w:t>传</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真：</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p>
    <w:p w14:paraId="10ACE41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     邮政编码：</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ascii="宋体" w:hAnsi="宋体" w:cs="宋体"/>
          <w:color w:val="auto"/>
          <w:sz w:val="24"/>
          <w:highlight w:val="none"/>
          <w:u w:val="single"/>
        </w:rPr>
        <w:tab/>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ascii="宋体" w:hAnsi="宋体" w:cs="宋体"/>
          <w:color w:val="auto"/>
          <w:sz w:val="24"/>
          <w:highlight w:val="none"/>
          <w:u w:val="single"/>
        </w:rPr>
        <w:tab/>
      </w:r>
    </w:p>
    <w:p w14:paraId="42F3FBC4">
      <w:pPr>
        <w:spacing w:line="360" w:lineRule="auto"/>
        <w:ind w:firstLine="5520" w:firstLineChars="2300"/>
        <w:rPr>
          <w:rFonts w:ascii="宋体" w:hAnsi="宋体" w:cs="宋体"/>
          <w:color w:val="auto"/>
          <w:sz w:val="24"/>
          <w:highlight w:val="none"/>
        </w:rPr>
      </w:pPr>
      <w:r>
        <w:rPr>
          <w:rFonts w:ascii="宋体" w:hAnsi="宋体" w:cs="宋体"/>
          <w:color w:val="auto"/>
          <w:sz w:val="24"/>
          <w:highlight w:val="none"/>
          <w:u w:val="single"/>
        </w:rPr>
        <w:t xml:space="preserve">       </w:t>
      </w:r>
      <w:r>
        <w:rPr>
          <w:rFonts w:hint="eastAsia" w:ascii="宋体" w:hAnsi="宋体" w:cs="宋体"/>
          <w:color w:val="auto"/>
          <w:sz w:val="24"/>
          <w:highlight w:val="none"/>
        </w:rPr>
        <w:t>年</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月</w:t>
      </w:r>
      <w:r>
        <w:rPr>
          <w:rFonts w:ascii="宋体" w:hAnsi="宋体" w:cs="宋体"/>
          <w:color w:val="auto"/>
          <w:sz w:val="24"/>
          <w:highlight w:val="none"/>
          <w:u w:val="single"/>
        </w:rPr>
        <w:t xml:space="preserve"> </w:t>
      </w:r>
      <w:r>
        <w:rPr>
          <w:rFonts w:ascii="宋体" w:hAnsi="宋体" w:cs="宋体"/>
          <w:color w:val="auto"/>
          <w:sz w:val="24"/>
          <w:highlight w:val="none"/>
          <w:u w:val="single"/>
        </w:rPr>
        <w:tab/>
      </w:r>
      <w:r>
        <w:rPr>
          <w:rFonts w:ascii="宋体" w:hAnsi="宋体" w:cs="宋体"/>
          <w:color w:val="auto"/>
          <w:sz w:val="24"/>
          <w:highlight w:val="none"/>
          <w:u w:val="single"/>
        </w:rPr>
        <w:t xml:space="preserve">  </w:t>
      </w:r>
      <w:r>
        <w:rPr>
          <w:rFonts w:hint="eastAsia" w:ascii="宋体" w:hAnsi="宋体" w:cs="宋体"/>
          <w:color w:val="auto"/>
          <w:sz w:val="24"/>
          <w:highlight w:val="none"/>
        </w:rPr>
        <w:t>日</w:t>
      </w:r>
    </w:p>
    <w:p w14:paraId="373AC500">
      <w:pPr>
        <w:widowControl/>
        <w:jc w:val="left"/>
        <w:rPr>
          <w:rFonts w:ascii="黑体" w:hAnsi="黑体" w:eastAsia="黑体" w:cs="黑体"/>
          <w:b/>
          <w:bCs/>
          <w:color w:val="auto"/>
          <w:kern w:val="44"/>
          <w:sz w:val="32"/>
          <w:szCs w:val="44"/>
          <w:highlight w:val="none"/>
        </w:rPr>
      </w:pPr>
      <w:r>
        <w:rPr>
          <w:rFonts w:ascii="黑体" w:hAnsi="黑体" w:cs="黑体"/>
          <w:color w:val="auto"/>
          <w:highlight w:val="none"/>
        </w:rPr>
        <w:br w:type="page"/>
      </w:r>
    </w:p>
    <w:p w14:paraId="323AC8EB">
      <w:pPr>
        <w:pStyle w:val="5"/>
        <w:jc w:val="center"/>
        <w:rPr>
          <w:b w:val="0"/>
          <w:bCs w:val="0"/>
        </w:rPr>
      </w:pPr>
      <w:bookmarkStart w:id="791" w:name="_Toc74760946"/>
      <w:r>
        <w:rPr>
          <w:rFonts w:hint="eastAsia"/>
          <w:b w:val="0"/>
          <w:bCs w:val="0"/>
        </w:rPr>
        <w:t>二、监理试验室服务费用清单</w:t>
      </w:r>
      <w:bookmarkEnd w:id="791"/>
      <w:r>
        <w:rPr>
          <w:rStyle w:val="58"/>
          <w:rFonts w:hint="eastAsia" w:asciiTheme="minorEastAsia" w:hAnsiTheme="minorEastAsia" w:eastAsiaTheme="minorEastAsia"/>
          <w:b w:val="0"/>
          <w:bCs w:val="0"/>
          <w:szCs w:val="21"/>
        </w:rPr>
        <w:footnoteReference w:id="161"/>
      </w:r>
    </w:p>
    <w:p w14:paraId="0FD08929">
      <w:pPr>
        <w:spacing w:line="360" w:lineRule="auto"/>
        <w:jc w:val="center"/>
        <w:rPr>
          <w:rFonts w:ascii="黑体" w:hAnsi="黑体" w:eastAsia="黑体"/>
          <w:bCs/>
          <w:color w:val="auto"/>
          <w:sz w:val="28"/>
          <w:szCs w:val="28"/>
          <w:highlight w:val="none"/>
        </w:rPr>
      </w:pPr>
      <w:r>
        <w:rPr>
          <w:rFonts w:hint="eastAsia" w:ascii="黑体" w:hAnsi="黑体" w:eastAsia="黑体"/>
          <w:bCs/>
          <w:color w:val="auto"/>
          <w:sz w:val="28"/>
          <w:szCs w:val="28"/>
          <w:highlight w:val="none"/>
        </w:rPr>
        <w:t>（一）报价清单说明</w:t>
      </w:r>
    </w:p>
    <w:p w14:paraId="27FA7929">
      <w:pPr>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1.本报价表中各表项目和数量由投标人根据工程需要填写,除此之外,还应在每张报价表后附报价计算说明。如折旧费计算说明中应指出每种监理</w:t>
      </w:r>
      <w:r>
        <w:rPr>
          <w:rFonts w:hint="eastAsia" w:ascii="宋体" w:hAnsi="宋体" w:cs="宋体"/>
          <w:color w:val="auto"/>
          <w:sz w:val="24"/>
          <w:highlight w:val="none"/>
        </w:rPr>
        <w:t>试验室设施折旧寿命、折旧期、年折旧费等</w:t>
      </w:r>
      <w:r>
        <w:rPr>
          <w:rFonts w:ascii="宋体" w:hAnsi="宋体" w:cs="宋体"/>
          <w:color w:val="auto"/>
          <w:sz w:val="24"/>
          <w:highlight w:val="none"/>
        </w:rPr>
        <w:t>,使用、维修、管理费等计算说明中应指出每年各项费用情况、计算公式等</w:t>
      </w:r>
      <w:bookmarkStart w:id="792" w:name="_TOC_250015"/>
      <w:bookmarkEnd w:id="792"/>
      <w:bookmarkStart w:id="793" w:name="_Toc28187754"/>
      <w:bookmarkStart w:id="794" w:name="_Toc523921879"/>
      <w:r>
        <w:rPr>
          <w:rFonts w:hint="eastAsia" w:ascii="宋体" w:hAnsi="宋体" w:cs="宋体"/>
          <w:color w:val="auto"/>
          <w:sz w:val="24"/>
          <w:highlight w:val="none"/>
        </w:rPr>
        <w:t>。</w:t>
      </w:r>
    </w:p>
    <w:p w14:paraId="0AA7F755">
      <w:pPr>
        <w:spacing w:line="360" w:lineRule="auto"/>
        <w:ind w:firstLine="480" w:firstLineChars="200"/>
        <w:jc w:val="left"/>
        <w:rPr>
          <w:rFonts w:hint="eastAsia" w:ascii="宋体" w:hAnsi="宋体" w:eastAsia="宋体" w:cs="宋体"/>
          <w:color w:val="auto"/>
          <w:sz w:val="24"/>
          <w:highlight w:val="none"/>
          <w:lang w:eastAsia="zh-CN"/>
        </w:rPr>
      </w:pPr>
      <w:r>
        <w:rPr>
          <w:rFonts w:ascii="宋体" w:hAnsi="宋体" w:cs="宋体"/>
          <w:color w:val="auto"/>
          <w:sz w:val="24"/>
          <w:highlight w:val="none"/>
        </w:rPr>
        <w:t>2.监理</w:t>
      </w:r>
      <w:r>
        <w:rPr>
          <w:rFonts w:hint="eastAsia" w:ascii="宋体" w:hAnsi="宋体" w:cs="宋体"/>
          <w:color w:val="auto"/>
          <w:sz w:val="24"/>
          <w:highlight w:val="none"/>
        </w:rPr>
        <w:t>试验室人员配备数量应</w:t>
      </w:r>
      <w:bookmarkEnd w:id="793"/>
      <w:bookmarkEnd w:id="794"/>
      <w:r>
        <w:rPr>
          <w:rFonts w:hint="eastAsia" w:ascii="宋体" w:hAnsi="宋体" w:cs="宋体"/>
          <w:color w:val="auto"/>
          <w:sz w:val="24"/>
          <w:highlight w:val="none"/>
        </w:rPr>
        <w:t>根据</w:t>
      </w:r>
      <w:bookmarkStart w:id="795" w:name="_Toc523921880"/>
      <w:r>
        <w:rPr>
          <w:rFonts w:hint="eastAsia" w:ascii="宋体" w:hAnsi="宋体" w:cs="宋体"/>
          <w:color w:val="auto"/>
          <w:sz w:val="24"/>
          <w:highlight w:val="none"/>
        </w:rPr>
        <w:t>招标文件的要求、投</w:t>
      </w:r>
      <w:bookmarkEnd w:id="795"/>
      <w:r>
        <w:rPr>
          <w:rFonts w:hint="eastAsia" w:ascii="宋体" w:hAnsi="宋体" w:cs="宋体"/>
          <w:color w:val="auto"/>
          <w:sz w:val="24"/>
          <w:highlight w:val="none"/>
        </w:rPr>
        <w:t>标人编写的技术建议书并参考投标人以往监理试验室工作经验填报。</w:t>
      </w:r>
    </w:p>
    <w:p w14:paraId="29065D3F">
      <w:pPr>
        <w:spacing w:line="360" w:lineRule="auto"/>
        <w:ind w:firstLine="480" w:firstLineChars="200"/>
        <w:jc w:val="left"/>
        <w:rPr>
          <w:rFonts w:hint="eastAsia" w:ascii="宋体" w:hAnsi="宋体" w:eastAsia="宋体" w:cs="宋体"/>
          <w:color w:val="auto"/>
          <w:sz w:val="24"/>
          <w:highlight w:val="none"/>
          <w:lang w:eastAsia="zh-CN"/>
        </w:rPr>
      </w:pPr>
      <w:r>
        <w:rPr>
          <w:rFonts w:ascii="宋体" w:hAnsi="宋体" w:cs="宋体"/>
          <w:color w:val="auto"/>
          <w:sz w:val="24"/>
          <w:highlight w:val="none"/>
        </w:rPr>
        <w:t>3.投标人必须配备</w:t>
      </w:r>
      <w:r>
        <w:rPr>
          <w:rFonts w:hint="eastAsia" w:ascii="宋体" w:hAnsi="宋体" w:cs="宋体"/>
          <w:color w:val="auto"/>
          <w:sz w:val="24"/>
          <w:highlight w:val="none"/>
        </w:rPr>
        <w:t>监理试验室驻地所需的办公、生活、试验用房，以及监理试验室办公设施（含通信设施）、交通设施、生活设施、试验设施等应</w:t>
      </w:r>
      <w:r>
        <w:rPr>
          <w:rFonts w:hint="eastAsia" w:ascii="宋体" w:hAnsi="宋体" w:cs="宋体"/>
          <w:color w:val="auto"/>
          <w:sz w:val="24"/>
          <w:highlight w:val="none"/>
          <w:lang w:val="en-US" w:eastAsia="zh-CN"/>
        </w:rPr>
        <w:t>根据</w:t>
      </w:r>
      <w:r>
        <w:rPr>
          <w:rFonts w:hint="eastAsia" w:ascii="宋体" w:hAnsi="宋体" w:cs="宋体"/>
          <w:color w:val="auto"/>
          <w:sz w:val="24"/>
          <w:highlight w:val="none"/>
        </w:rPr>
        <w:t>招标文件的要求、投标人编写的技术建议书并参考投标人以往监理试验室工作经验配置。其中监理试验室驻地的办公、生活、试验用房应符合</w:t>
      </w:r>
      <w:r>
        <w:rPr>
          <w:rFonts w:hint="eastAsia" w:ascii="宋体" w:hAnsi="宋体" w:cs="宋体"/>
          <w:color w:val="auto"/>
          <w:sz w:val="24"/>
          <w:highlight w:val="none"/>
          <w:u w:val="single"/>
        </w:rPr>
        <w:t>交通运输部、四川省交通运输厅</w:t>
      </w:r>
      <w:r>
        <w:rPr>
          <w:rFonts w:hint="eastAsia" w:ascii="宋体" w:hAnsi="宋体" w:cs="宋体"/>
          <w:color w:val="auto"/>
          <w:sz w:val="24"/>
          <w:highlight w:val="none"/>
          <w:u w:val="single"/>
          <w:lang w:val="en-US" w:eastAsia="zh-CN"/>
        </w:rPr>
        <w:t>及委托人和其上级主管部门的有关工地试验室标准化建设</w:t>
      </w:r>
      <w:r>
        <w:rPr>
          <w:rFonts w:hint="eastAsia" w:ascii="宋体" w:hAnsi="宋体" w:cs="宋体"/>
          <w:color w:val="auto"/>
          <w:sz w:val="24"/>
          <w:highlight w:val="none"/>
          <w:lang w:val="en-US" w:eastAsia="zh-CN"/>
        </w:rPr>
        <w:t>的规定，同时不低于</w:t>
      </w:r>
      <w:r>
        <w:rPr>
          <w:rFonts w:hint="eastAsia" w:ascii="宋体" w:hAnsi="宋体" w:cs="宋体"/>
          <w:sz w:val="24"/>
          <w:lang w:val="en-US" w:eastAsia="zh-CN"/>
        </w:rPr>
        <w:t>第五章“委托人要求”中给定标准。</w:t>
      </w:r>
    </w:p>
    <w:p w14:paraId="637DAA25">
      <w:pPr>
        <w:spacing w:line="360" w:lineRule="auto"/>
        <w:ind w:firstLine="480" w:firstLineChars="200"/>
        <w:jc w:val="left"/>
        <w:rPr>
          <w:rFonts w:hint="eastAsia" w:ascii="宋体" w:hAnsi="宋体" w:eastAsia="宋体" w:cs="宋体"/>
          <w:color w:val="auto"/>
          <w:sz w:val="24"/>
          <w:highlight w:val="none"/>
          <w:lang w:eastAsia="zh-CN"/>
        </w:rPr>
      </w:pPr>
      <w:r>
        <w:rPr>
          <w:rFonts w:ascii="宋体" w:hAnsi="宋体" w:cs="宋体"/>
          <w:color w:val="auto"/>
          <w:sz w:val="24"/>
          <w:highlight w:val="none"/>
        </w:rPr>
        <w:t>4.监理</w:t>
      </w:r>
      <w:r>
        <w:rPr>
          <w:rFonts w:hint="eastAsia" w:ascii="宋体" w:hAnsi="宋体" w:cs="宋体"/>
          <w:color w:val="auto"/>
          <w:sz w:val="24"/>
          <w:highlight w:val="none"/>
        </w:rPr>
        <w:t>试验室的驻地设施及配备的设备</w:t>
      </w:r>
      <w:r>
        <w:rPr>
          <w:rFonts w:ascii="宋体" w:hAnsi="宋体" w:cs="宋体"/>
          <w:color w:val="auto"/>
          <w:sz w:val="24"/>
          <w:highlight w:val="none"/>
        </w:rPr>
        <w:t>,如交通、通信工具及燃料消耗、维护等均由投标人按规定</w:t>
      </w:r>
      <w:r>
        <w:rPr>
          <w:rFonts w:hint="eastAsia" w:ascii="宋体" w:hAnsi="宋体" w:cs="宋体"/>
          <w:color w:val="auto"/>
          <w:sz w:val="24"/>
          <w:highlight w:val="none"/>
          <w:lang w:eastAsia="zh-CN"/>
        </w:rPr>
        <w:t>列入</w:t>
      </w:r>
      <w:r>
        <w:rPr>
          <w:rFonts w:ascii="宋体" w:hAnsi="宋体" w:cs="宋体"/>
          <w:color w:val="auto"/>
          <w:sz w:val="24"/>
          <w:highlight w:val="none"/>
        </w:rPr>
        <w:t>投标报价中。</w:t>
      </w:r>
    </w:p>
    <w:p w14:paraId="4356591F">
      <w:pPr>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监理试验室的专用合同条款中指定的□信息化管理、□竣工文件、□</w:t>
      </w:r>
      <w:r>
        <w:rPr>
          <w:rFonts w:ascii="宋体" w:hAnsi="宋体" w:cs="宋体"/>
          <w:color w:val="auto"/>
          <w:sz w:val="24"/>
          <w:highlight w:val="none"/>
          <w:u w:val="single"/>
        </w:rPr>
        <w:t xml:space="preserve">   </w:t>
      </w:r>
      <w:r>
        <w:rPr>
          <w:rFonts w:hint="eastAsia" w:ascii="宋体" w:hAnsi="宋体" w:cs="宋体"/>
          <w:color w:val="auto"/>
          <w:sz w:val="24"/>
          <w:highlight w:val="none"/>
        </w:rPr>
        <w:t>应满足招标文件提出的要求；</w:t>
      </w:r>
    </w:p>
    <w:p w14:paraId="12151570">
      <w:pPr>
        <w:spacing w:line="360" w:lineRule="auto"/>
        <w:ind w:firstLine="480" w:firstLineChars="200"/>
        <w:jc w:val="left"/>
        <w:rPr>
          <w:rFonts w:hint="eastAsia" w:ascii="宋体" w:hAnsi="宋体" w:eastAsia="宋体" w:cs="宋体"/>
          <w:color w:val="auto"/>
          <w:sz w:val="24"/>
          <w:highlight w:val="none"/>
          <w:lang w:eastAsia="zh-CN"/>
        </w:rPr>
      </w:pPr>
      <w:r>
        <w:rPr>
          <w:rFonts w:ascii="宋体" w:hAnsi="宋体" w:cs="宋体"/>
          <w:color w:val="auto"/>
          <w:sz w:val="24"/>
          <w:highlight w:val="none"/>
        </w:rPr>
        <w:t>6.投标人在填报监理</w:t>
      </w:r>
      <w:r>
        <w:rPr>
          <w:rFonts w:hint="eastAsia" w:ascii="宋体" w:hAnsi="宋体" w:cs="宋体"/>
          <w:color w:val="auto"/>
          <w:sz w:val="24"/>
          <w:highlight w:val="none"/>
        </w:rPr>
        <w:t>试验室服务费用时应综合考虑下列因素：</w:t>
      </w:r>
    </w:p>
    <w:p w14:paraId="3B41B42D">
      <w:pPr>
        <w:spacing w:line="360" w:lineRule="auto"/>
        <w:ind w:firstLine="480" w:firstLineChars="200"/>
        <w:jc w:val="left"/>
        <w:rPr>
          <w:rFonts w:hint="eastAsia" w:ascii="宋体" w:hAnsi="宋体" w:eastAsia="宋体" w:cs="宋体"/>
          <w:color w:val="auto"/>
          <w:sz w:val="24"/>
          <w:highlight w:val="none"/>
          <w:lang w:eastAsia="zh-CN"/>
        </w:rPr>
      </w:pPr>
      <w:r>
        <w:rPr>
          <w:rFonts w:ascii="宋体" w:hAnsi="宋体" w:cs="宋体"/>
          <w:color w:val="auto"/>
          <w:sz w:val="24"/>
          <w:highlight w:val="none"/>
        </w:rPr>
        <w:t>（1）</w:t>
      </w:r>
      <w:r>
        <w:rPr>
          <w:rFonts w:hint="eastAsia" w:ascii="宋体" w:hAnsi="宋体" w:cs="宋体"/>
          <w:color w:val="auto"/>
          <w:sz w:val="24"/>
          <w:highlight w:val="none"/>
        </w:rPr>
        <w:t>试验检测机构所提供的监理试验室人员、车辆均应满足委托人在招标文件中提出的最低限度要求。</w:t>
      </w:r>
    </w:p>
    <w:p w14:paraId="63CBB614">
      <w:pPr>
        <w:spacing w:line="360" w:lineRule="auto"/>
        <w:ind w:firstLine="480" w:firstLineChars="200"/>
        <w:jc w:val="left"/>
        <w:rPr>
          <w:rFonts w:hint="eastAsia" w:ascii="宋体" w:hAnsi="宋体" w:eastAsia="宋体" w:cs="宋体"/>
          <w:color w:val="auto"/>
          <w:sz w:val="24"/>
          <w:highlight w:val="none"/>
          <w:lang w:eastAsia="zh-CN"/>
        </w:rPr>
      </w:pPr>
      <w:r>
        <w:rPr>
          <w:rFonts w:ascii="宋体" w:hAnsi="宋体" w:cs="宋体"/>
          <w:color w:val="auto"/>
          <w:sz w:val="24"/>
          <w:highlight w:val="none"/>
        </w:rPr>
        <w:t>（2）除合同条款第8条约定的变更情形和项目专用合同条款第9.1.1项约定的其他情形外,本监理</w:t>
      </w:r>
      <w:r>
        <w:rPr>
          <w:rFonts w:hint="eastAsia" w:ascii="宋体" w:hAnsi="宋体" w:cs="宋体"/>
          <w:color w:val="auto"/>
          <w:sz w:val="24"/>
          <w:highlight w:val="none"/>
        </w:rPr>
        <w:t>试验室合同的服务费用在合同实施</w:t>
      </w:r>
      <w:r>
        <w:rPr>
          <w:rFonts w:hint="eastAsia" w:ascii="宋体" w:hAnsi="宋体" w:cs="宋体"/>
          <w:color w:val="auto"/>
          <w:sz w:val="24"/>
          <w:highlight w:val="none"/>
          <w:lang w:eastAsia="zh-CN"/>
        </w:rPr>
        <w:t>期间</w:t>
      </w:r>
      <w:r>
        <w:rPr>
          <w:rFonts w:hint="eastAsia" w:ascii="宋体" w:hAnsi="宋体" w:cs="宋体"/>
          <w:color w:val="auto"/>
          <w:sz w:val="24"/>
          <w:highlight w:val="none"/>
        </w:rPr>
        <w:t>一律不予调整。</w:t>
      </w:r>
    </w:p>
    <w:p w14:paraId="29B3D9DD">
      <w:pPr>
        <w:spacing w:line="360" w:lineRule="auto"/>
        <w:ind w:firstLine="480" w:firstLineChars="200"/>
        <w:jc w:val="left"/>
        <w:rPr>
          <w:rFonts w:hint="eastAsia" w:ascii="宋体" w:hAnsi="宋体" w:eastAsia="宋体" w:cs="宋体"/>
          <w:color w:val="auto"/>
          <w:sz w:val="24"/>
          <w:highlight w:val="none"/>
          <w:lang w:eastAsia="zh-CN"/>
        </w:rPr>
      </w:pPr>
      <w:r>
        <w:rPr>
          <w:rFonts w:ascii="宋体" w:hAnsi="宋体" w:cs="宋体"/>
          <w:color w:val="auto"/>
          <w:sz w:val="24"/>
          <w:highlight w:val="none"/>
        </w:rPr>
        <w:t>7.投标人因完</w:t>
      </w:r>
      <w:r>
        <w:rPr>
          <w:rFonts w:hint="eastAsia" w:ascii="宋体" w:hAnsi="宋体" w:cs="宋体"/>
          <w:color w:val="auto"/>
          <w:sz w:val="24"/>
          <w:highlight w:val="none"/>
          <w:lang w:eastAsia="zh-CN"/>
        </w:rPr>
        <w:t>成</w:t>
      </w:r>
      <w:r>
        <w:rPr>
          <w:rFonts w:ascii="宋体" w:hAnsi="宋体" w:cs="宋体"/>
          <w:color w:val="auto"/>
          <w:sz w:val="24"/>
          <w:highlight w:val="none"/>
        </w:rPr>
        <w:t>本项目</w:t>
      </w:r>
      <w:r>
        <w:rPr>
          <w:rFonts w:hint="eastAsia" w:ascii="宋体" w:hAnsi="宋体" w:cs="宋体"/>
          <w:color w:val="auto"/>
          <w:sz w:val="24"/>
          <w:highlight w:val="none"/>
        </w:rPr>
        <w:t>监理试验室服务需计取的企业管理费及需缴纳的一切税、费均由投标人承担</w:t>
      </w:r>
      <w:r>
        <w:rPr>
          <w:rFonts w:ascii="宋体" w:hAnsi="宋体" w:cs="宋体"/>
          <w:color w:val="auto"/>
          <w:sz w:val="24"/>
          <w:highlight w:val="none"/>
        </w:rPr>
        <w:t>,并包含在所报的单价或总额价内,委托人不单独支付。</w:t>
      </w:r>
    </w:p>
    <w:p w14:paraId="0EB3FA96">
      <w:pPr>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8.投标人应认真填写报价清单中所列的监理</w:t>
      </w:r>
      <w:r>
        <w:rPr>
          <w:rFonts w:hint="eastAsia" w:ascii="宋体" w:hAnsi="宋体" w:cs="宋体"/>
          <w:color w:val="auto"/>
          <w:sz w:val="24"/>
          <w:highlight w:val="none"/>
        </w:rPr>
        <w:t>试验室服务费用各细目的单价和总额价。投标人没有填入单价或总额价的工程细目委托人将不予支付</w:t>
      </w:r>
      <w:r>
        <w:rPr>
          <w:rFonts w:ascii="宋体" w:hAnsi="宋体" w:cs="宋体"/>
          <w:color w:val="auto"/>
          <w:sz w:val="24"/>
          <w:highlight w:val="none"/>
        </w:rPr>
        <w:t>,并认为该细目的</w:t>
      </w:r>
      <w:r>
        <w:rPr>
          <w:rFonts w:hint="eastAsia" w:ascii="宋体" w:hAnsi="宋体" w:cs="宋体"/>
          <w:color w:val="auto"/>
          <w:sz w:val="24"/>
          <w:highlight w:val="none"/>
        </w:rPr>
        <w:t>价款已包括在报价清单其他细目的单价或总额价中。</w:t>
      </w:r>
    </w:p>
    <w:p w14:paraId="108ED683">
      <w:pPr>
        <w:spacing w:line="360" w:lineRule="auto"/>
        <w:ind w:firstLine="480" w:firstLineChars="200"/>
        <w:jc w:val="left"/>
        <w:rPr>
          <w:rFonts w:hint="eastAsia" w:ascii="宋体" w:hAnsi="宋体" w:eastAsia="宋体" w:cs="宋体"/>
          <w:color w:val="auto"/>
          <w:sz w:val="24"/>
          <w:highlight w:val="none"/>
          <w:lang w:eastAsia="zh-CN"/>
        </w:rPr>
      </w:pPr>
      <w:r>
        <w:rPr>
          <w:rFonts w:ascii="宋体" w:hAnsi="宋体" w:cs="宋体"/>
          <w:color w:val="auto"/>
          <w:sz w:val="24"/>
          <w:highlight w:val="none"/>
        </w:rPr>
        <w:t>9.在表2“监理</w:t>
      </w:r>
      <w:r>
        <w:rPr>
          <w:rFonts w:hint="eastAsia" w:ascii="宋体" w:hAnsi="宋体" w:cs="宋体"/>
          <w:color w:val="auto"/>
          <w:sz w:val="24"/>
          <w:highlight w:val="none"/>
        </w:rPr>
        <w:t>试验室人员服务费报价表”和表</w:t>
      </w:r>
      <w:r>
        <w:rPr>
          <w:rFonts w:ascii="宋体" w:hAnsi="宋体" w:cs="宋体"/>
          <w:color w:val="auto"/>
          <w:sz w:val="24"/>
          <w:highlight w:val="none"/>
        </w:rPr>
        <w:t>4“</w:t>
      </w:r>
      <w:r>
        <w:rPr>
          <w:rFonts w:hint="eastAsia" w:ascii="宋体" w:hAnsi="宋体" w:cs="宋体"/>
          <w:color w:val="auto"/>
          <w:sz w:val="24"/>
          <w:highlight w:val="none"/>
        </w:rPr>
        <w:t>监理试验室交通设施费报价表”后应附相应项目的单价分析表。</w:t>
      </w:r>
    </w:p>
    <w:p w14:paraId="4AA144C6">
      <w:pPr>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10.报价清单内容说明：</w:t>
      </w:r>
    </w:p>
    <w:p w14:paraId="6DD3DF7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表</w:t>
      </w:r>
      <w:r>
        <w:rPr>
          <w:rFonts w:ascii="宋体" w:hAnsi="宋体" w:cs="宋体"/>
          <w:color w:val="auto"/>
          <w:sz w:val="24"/>
          <w:highlight w:val="none"/>
        </w:rPr>
        <w:t>1：</w:t>
      </w:r>
      <w:r>
        <w:rPr>
          <w:rFonts w:hint="eastAsia" w:ascii="宋体" w:hAnsi="宋体" w:cs="宋体"/>
          <w:color w:val="auto"/>
          <w:sz w:val="24"/>
          <w:highlight w:val="none"/>
        </w:rPr>
        <w:t>监理试验室服务</w:t>
      </w:r>
      <w:r>
        <w:rPr>
          <w:rFonts w:hint="eastAsia" w:ascii="宋体" w:hAnsi="宋体" w:cs="宋体"/>
          <w:color w:val="auto"/>
          <w:sz w:val="24"/>
          <w:highlight w:val="none"/>
          <w:lang w:val="en-US" w:eastAsia="zh-CN"/>
        </w:rPr>
        <w:t>费用</w:t>
      </w:r>
      <w:r>
        <w:rPr>
          <w:rFonts w:hint="eastAsia" w:ascii="宋体" w:hAnsi="宋体" w:cs="宋体"/>
          <w:color w:val="auto"/>
          <w:sz w:val="24"/>
          <w:highlight w:val="none"/>
        </w:rPr>
        <w:t>报价汇总表</w:t>
      </w:r>
    </w:p>
    <w:p w14:paraId="4C5C183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1）本表为</w:t>
      </w:r>
      <w:r>
        <w:rPr>
          <w:rFonts w:hint="eastAsia" w:ascii="宋体" w:hAnsi="宋体" w:cs="宋体"/>
          <w:color w:val="auto"/>
          <w:sz w:val="24"/>
          <w:highlight w:val="none"/>
        </w:rPr>
        <w:t>监理试验室服务</w:t>
      </w:r>
      <w:r>
        <w:rPr>
          <w:rFonts w:hint="eastAsia" w:ascii="宋体" w:hAnsi="宋体" w:cs="宋体"/>
          <w:color w:val="auto"/>
          <w:sz w:val="24"/>
          <w:highlight w:val="none"/>
          <w:lang w:val="en-US" w:eastAsia="zh-CN"/>
        </w:rPr>
        <w:t>费用</w:t>
      </w:r>
      <w:r>
        <w:rPr>
          <w:rFonts w:hint="eastAsia" w:ascii="宋体" w:hAnsi="宋体" w:cs="宋体"/>
          <w:color w:val="auto"/>
          <w:sz w:val="24"/>
          <w:highlight w:val="none"/>
        </w:rPr>
        <w:t>报价汇总表，包含了监理试验室全部服务的报价内容。即：人员服务费、办公设施费、交通设施费、试验设施费、生活设施费以及利润、暂列金额（如有）、专项暂估价（如有）。</w:t>
      </w:r>
    </w:p>
    <w:p w14:paraId="10D3EB2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2）表列</w:t>
      </w:r>
      <w:r>
        <w:rPr>
          <w:rFonts w:hint="eastAsia" w:ascii="宋体" w:hAnsi="宋体" w:cs="宋体"/>
          <w:color w:val="auto"/>
          <w:sz w:val="24"/>
          <w:highlight w:val="none"/>
        </w:rPr>
        <w:t>监理试验室所需设备、设施及车辆按折旧费计入报价，在监理试验室服务结束后，产权归试验检测机构所有。</w:t>
      </w:r>
    </w:p>
    <w:p w14:paraId="45BF9A3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3）暂列金额</w:t>
      </w:r>
      <w:r>
        <w:rPr>
          <w:rFonts w:hint="eastAsia" w:ascii="宋体" w:hAnsi="宋体" w:cs="宋体"/>
          <w:color w:val="auto"/>
          <w:sz w:val="24"/>
          <w:highlight w:val="none"/>
          <w:lang w:eastAsia="zh-CN"/>
        </w:rPr>
        <w:t>：</w:t>
      </w:r>
      <w:r>
        <w:rPr>
          <w:rFonts w:ascii="宋体" w:hAnsi="宋体" w:cs="宋体"/>
          <w:color w:val="auto"/>
          <w:sz w:val="24"/>
          <w:highlight w:val="none"/>
        </w:rPr>
        <w:t>由委托人掌握支配。</w:t>
      </w:r>
    </w:p>
    <w:p w14:paraId="0CFA94A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4）专项暂估价：由委托人据实掌握使用并支付。</w:t>
      </w:r>
    </w:p>
    <w:p w14:paraId="151B7C4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表</w:t>
      </w:r>
      <w:r>
        <w:rPr>
          <w:rFonts w:ascii="宋体" w:hAnsi="宋体" w:cs="宋体"/>
          <w:color w:val="auto"/>
          <w:sz w:val="24"/>
          <w:highlight w:val="none"/>
        </w:rPr>
        <w:t>2：监理试验室人员服务费报价表</w:t>
      </w:r>
    </w:p>
    <w:p w14:paraId="334056F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（1）监理试验室人员服务费用包括如下内容：</w:t>
      </w:r>
    </w:p>
    <w:p w14:paraId="03CAE83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t>①</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基本工资</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绩效工资</w:t>
      </w:r>
      <w:r>
        <w:rPr>
          <w:rFonts w:hint="eastAsia" w:ascii="宋体" w:hAnsi="宋体" w:eastAsia="宋体" w:cs="宋体"/>
          <w:color w:val="auto"/>
          <w:sz w:val="24"/>
          <w:highlight w:val="none"/>
        </w:rPr>
        <w:t>；</w:t>
      </w:r>
    </w:p>
    <w:p w14:paraId="6610237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2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t>②</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各项津贴（野外津贴、伙食津贴、住宿津贴）；</w:t>
      </w:r>
    </w:p>
    <w:p w14:paraId="320A4573">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3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t>③</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各种补贴（劳动保护费、医药费、交通费、降暑降温及冬季取暖费）；</w:t>
      </w:r>
    </w:p>
    <w:p w14:paraId="6A262BF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4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t>④</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加班费（法定节、假日的加班和法定工作时间以外的延时工作，按《</w:t>
      </w:r>
      <w:r>
        <w:rPr>
          <w:rFonts w:hint="eastAsia" w:ascii="宋体" w:hAnsi="宋体" w:cs="宋体"/>
          <w:color w:val="auto"/>
          <w:sz w:val="24"/>
          <w:highlight w:val="none"/>
          <w:lang w:val="en-US" w:eastAsia="zh-CN"/>
        </w:rPr>
        <w:t>中华人民共和国</w:t>
      </w:r>
      <w:r>
        <w:rPr>
          <w:rFonts w:hint="eastAsia" w:ascii="宋体" w:hAnsi="宋体" w:eastAsia="宋体" w:cs="宋体"/>
          <w:color w:val="auto"/>
          <w:sz w:val="24"/>
          <w:highlight w:val="none"/>
        </w:rPr>
        <w:t>劳动法》的规定办</w:t>
      </w:r>
      <w:r>
        <w:rPr>
          <w:rFonts w:hint="eastAsia" w:ascii="宋体" w:hAnsi="宋体" w:cs="宋体"/>
          <w:color w:val="auto"/>
          <w:sz w:val="24"/>
          <w:highlight w:val="none"/>
          <w:lang w:val="en-US" w:eastAsia="zh-CN"/>
        </w:rPr>
        <w:t>理</w:t>
      </w:r>
      <w:r>
        <w:rPr>
          <w:rFonts w:hint="eastAsia" w:ascii="宋体" w:hAnsi="宋体" w:eastAsia="宋体" w:cs="宋体"/>
          <w:color w:val="auto"/>
          <w:sz w:val="24"/>
          <w:highlight w:val="none"/>
        </w:rPr>
        <w:t>）；</w:t>
      </w:r>
    </w:p>
    <w:p w14:paraId="461EA19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5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t>⑤</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保险费（监理试验室人员的人身、财产意外保险等）；</w:t>
      </w:r>
    </w:p>
    <w:p w14:paraId="7E16D33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6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t>⑥</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培训费（监理试验室人员的业务学习及上岗前培训等）；</w:t>
      </w:r>
    </w:p>
    <w:p w14:paraId="5C2E0ECF">
      <w:pPr>
        <w:spacing w:line="360" w:lineRule="auto"/>
        <w:ind w:firstLine="480" w:firstLineChars="200"/>
        <w:jc w:val="left"/>
        <w:rPr>
          <w:rFonts w:ascii="宋体" w:hAnsi="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7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t>⑦</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其他（含养老保险、医疗保险、失业保险、工伤险、生育险、住房公积金等规费及其</w:t>
      </w:r>
      <w:r>
        <w:rPr>
          <w:rFonts w:hint="eastAsia" w:ascii="宋体" w:hAnsi="宋体" w:cs="宋体"/>
          <w:color w:val="auto"/>
          <w:sz w:val="24"/>
          <w:highlight w:val="none"/>
          <w:lang w:val="en-US" w:eastAsia="zh-CN"/>
        </w:rPr>
        <w:t>他</w:t>
      </w:r>
      <w:r>
        <w:rPr>
          <w:rFonts w:hint="eastAsia" w:ascii="宋体" w:hAnsi="宋体" w:eastAsia="宋体" w:cs="宋体"/>
          <w:color w:val="auto"/>
          <w:sz w:val="24"/>
          <w:highlight w:val="none"/>
        </w:rPr>
        <w:t>费用</w:t>
      </w:r>
      <w:r>
        <w:rPr>
          <w:rFonts w:hint="eastAsia" w:ascii="宋体" w:hAnsi="宋体" w:cs="宋体"/>
          <w:color w:val="auto"/>
          <w:sz w:val="24"/>
          <w:highlight w:val="none"/>
        </w:rPr>
        <w:t>）。</w:t>
      </w:r>
    </w:p>
    <w:p w14:paraId="5C37842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2）前期准备、后期内业及缺陷责任期留驻监理</w:t>
      </w:r>
      <w:r>
        <w:rPr>
          <w:rFonts w:hint="eastAsia" w:ascii="宋体" w:hAnsi="宋体" w:cs="宋体"/>
          <w:color w:val="auto"/>
          <w:sz w:val="24"/>
          <w:highlight w:val="none"/>
        </w:rPr>
        <w:t>试验室人员的服务费，按留驻人员数和服务期计算列入投标报价之内。</w:t>
      </w:r>
    </w:p>
    <w:p w14:paraId="473FA5F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表</w:t>
      </w:r>
      <w:r>
        <w:rPr>
          <w:rFonts w:ascii="宋体" w:hAnsi="宋体" w:cs="宋体"/>
          <w:color w:val="auto"/>
          <w:sz w:val="24"/>
          <w:highlight w:val="none"/>
        </w:rPr>
        <w:t>3：</w:t>
      </w:r>
      <w:r>
        <w:rPr>
          <w:rFonts w:hint="eastAsia" w:ascii="宋体" w:hAnsi="宋体" w:cs="宋体"/>
          <w:color w:val="auto"/>
          <w:sz w:val="24"/>
          <w:highlight w:val="none"/>
        </w:rPr>
        <w:t>监理试验室办公设施费报价表</w:t>
      </w:r>
    </w:p>
    <w:p w14:paraId="53BF659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1）办公设施包括：</w:t>
      </w:r>
      <w:r>
        <w:rPr>
          <w:rFonts w:hint="eastAsia" w:ascii="宋体" w:hAnsi="宋体" w:cs="宋体"/>
          <w:color w:val="auto"/>
          <w:sz w:val="24"/>
          <w:highlight w:val="none"/>
          <w:u w:val="single"/>
        </w:rPr>
        <w:t>监理试验室办公用房、</w:t>
      </w:r>
      <w:r>
        <w:rPr>
          <w:rFonts w:hint="eastAsia" w:ascii="宋体" w:hAnsi="宋体" w:cs="宋体"/>
          <w:color w:val="auto"/>
          <w:sz w:val="24"/>
          <w:highlight w:val="none"/>
          <w:u w:val="single"/>
          <w:lang w:val="en-US" w:eastAsia="zh-CN"/>
        </w:rPr>
        <w:t>计算机</w:t>
      </w:r>
      <w:r>
        <w:rPr>
          <w:rFonts w:hint="eastAsia" w:ascii="宋体" w:hAnsi="宋体" w:cs="宋体"/>
          <w:color w:val="auto"/>
          <w:sz w:val="24"/>
          <w:highlight w:val="none"/>
          <w:u w:val="single"/>
        </w:rPr>
        <w:t>、打印机、传真机、复印机、电话、摄像机、照相机、办公桌椅及其他用品等</w:t>
      </w:r>
      <w:r>
        <w:rPr>
          <w:rFonts w:hint="eastAsia" w:ascii="宋体" w:hAnsi="宋体" w:cs="宋体"/>
          <w:color w:val="auto"/>
          <w:sz w:val="24"/>
          <w:highlight w:val="none"/>
        </w:rPr>
        <w:t>，监理试验室的配置应满足现场需要。</w:t>
      </w:r>
    </w:p>
    <w:p w14:paraId="2835261F">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2）现场办公日常费用等包括：</w:t>
      </w:r>
    </w:p>
    <w:p w14:paraId="0CB4437D">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t>①</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日常办公用品费［文具纸张、复（打）印墨粉、专用纸张、绘图、文件处理等]；</w:t>
      </w:r>
    </w:p>
    <w:p w14:paraId="6B1ADFEC">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2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t>②</w:t>
      </w:r>
      <w:r>
        <w:rPr>
          <w:rFonts w:hint="eastAsia" w:ascii="宋体" w:hAnsi="宋体" w:eastAsia="宋体" w:cs="宋体"/>
          <w:color w:val="auto"/>
          <w:sz w:val="24"/>
          <w:highlight w:val="none"/>
        </w:rPr>
        <w:fldChar w:fldCharType="end"/>
      </w:r>
      <w:r>
        <w:rPr>
          <w:rFonts w:hint="eastAsia" w:ascii="宋体" w:hAnsi="宋体" w:cs="宋体"/>
          <w:color w:val="auto"/>
          <w:sz w:val="24"/>
          <w:highlight w:val="none"/>
          <w:lang w:eastAsia="zh-CN"/>
        </w:rPr>
        <w:t>通信</w:t>
      </w:r>
      <w:r>
        <w:rPr>
          <w:rFonts w:hint="eastAsia" w:ascii="宋体" w:hAnsi="宋体" w:eastAsia="宋体" w:cs="宋体"/>
          <w:color w:val="auto"/>
          <w:sz w:val="24"/>
          <w:highlight w:val="none"/>
        </w:rPr>
        <w:t>费（移动电话、座机、邮电、邮件、报刊、网络等费用）；</w:t>
      </w:r>
    </w:p>
    <w:p w14:paraId="43E35ED8">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3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t>③</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日常会议及工地会议费用；</w:t>
      </w:r>
    </w:p>
    <w:p w14:paraId="2C3D8F2A">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4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t>④</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工地差旅费（人员工作期间出差）。</w:t>
      </w:r>
    </w:p>
    <w:p w14:paraId="63C3D08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3）其他：指委托人根据项目的实际情况，需要增设单独计量支付的项目（如有）。诸如：</w:t>
      </w:r>
      <w:r>
        <w:rPr>
          <w:rFonts w:hint="eastAsia" w:ascii="宋体" w:hAnsi="宋体" w:cs="宋体"/>
          <w:color w:val="auto"/>
          <w:sz w:val="24"/>
          <w:highlight w:val="none"/>
          <w:u w:val="single"/>
        </w:rPr>
        <w:t>信息化管理费、竣工文件费……</w:t>
      </w:r>
      <w:r>
        <w:rPr>
          <w:rFonts w:hint="eastAsia" w:ascii="宋体" w:hAnsi="宋体" w:cs="宋体"/>
          <w:color w:val="auto"/>
          <w:sz w:val="24"/>
          <w:highlight w:val="none"/>
        </w:rPr>
        <w:t>。否则，视为包含在报价清单相关子目中，不单独报价。</w:t>
      </w:r>
    </w:p>
    <w:p w14:paraId="3DDCFE6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表</w:t>
      </w:r>
      <w:r>
        <w:rPr>
          <w:rFonts w:ascii="宋体" w:hAnsi="宋体" w:cs="宋体"/>
          <w:color w:val="auto"/>
          <w:sz w:val="24"/>
          <w:highlight w:val="none"/>
        </w:rPr>
        <w:t>4：</w:t>
      </w:r>
      <w:r>
        <w:rPr>
          <w:rFonts w:hint="eastAsia" w:ascii="宋体" w:hAnsi="宋体" w:cs="宋体"/>
          <w:color w:val="auto"/>
          <w:sz w:val="24"/>
          <w:highlight w:val="none"/>
        </w:rPr>
        <w:t>监理试验室交通设施费报价表</w:t>
      </w:r>
    </w:p>
    <w:p w14:paraId="3AAC883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交通设施包括：监理试验室用车车辆购置费、折旧费以及车辆使用费。车辆使用费用包括燃油、维修保养、保险及其他相关使用费用。交通设施的配置应符合招标文件的要求。</w:t>
      </w:r>
    </w:p>
    <w:p w14:paraId="69E16519">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表</w:t>
      </w:r>
      <w:r>
        <w:rPr>
          <w:rFonts w:ascii="宋体" w:hAnsi="宋体" w:cs="宋体"/>
          <w:color w:val="auto"/>
          <w:sz w:val="24"/>
          <w:highlight w:val="none"/>
        </w:rPr>
        <w:t>5：</w:t>
      </w:r>
      <w:r>
        <w:rPr>
          <w:rFonts w:hint="eastAsia" w:ascii="宋体" w:hAnsi="宋体" w:cs="宋体"/>
          <w:color w:val="auto"/>
          <w:sz w:val="24"/>
          <w:highlight w:val="none"/>
        </w:rPr>
        <w:t>监理试验室生活设施费报价表</w:t>
      </w:r>
    </w:p>
    <w:p w14:paraId="357F6B2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1）生活设施包括：</w:t>
      </w:r>
      <w:r>
        <w:rPr>
          <w:rFonts w:ascii="宋体" w:hAnsi="宋体" w:cs="宋体"/>
          <w:color w:val="auto"/>
          <w:sz w:val="24"/>
          <w:highlight w:val="none"/>
          <w:u w:val="single"/>
        </w:rPr>
        <w:t>生活用房、冰箱、洗衣机、电热水器、彩电、空调</w:t>
      </w:r>
      <w:r>
        <w:rPr>
          <w:rFonts w:hint="eastAsia" w:ascii="宋体" w:hAnsi="宋体" w:cs="宋体"/>
          <w:color w:val="auto"/>
          <w:sz w:val="24"/>
          <w:highlight w:val="none"/>
          <w:u w:val="single"/>
          <w:lang w:eastAsia="zh-CN"/>
        </w:rPr>
        <w:t>、</w:t>
      </w:r>
      <w:r>
        <w:rPr>
          <w:rFonts w:ascii="宋体" w:hAnsi="宋体" w:cs="宋体"/>
          <w:color w:val="auto"/>
          <w:sz w:val="24"/>
          <w:highlight w:val="none"/>
          <w:u w:val="single"/>
        </w:rPr>
        <w:t>床上用品</w:t>
      </w:r>
      <w:r>
        <w:rPr>
          <w:rFonts w:hint="eastAsia" w:ascii="宋体" w:hAnsi="宋体" w:cs="宋体"/>
          <w:color w:val="auto"/>
          <w:sz w:val="24"/>
          <w:highlight w:val="none"/>
          <w:u w:val="single"/>
          <w:lang w:eastAsia="zh-CN"/>
        </w:rPr>
        <w:t>、</w:t>
      </w:r>
      <w:r>
        <w:rPr>
          <w:rFonts w:ascii="宋体" w:hAnsi="宋体" w:cs="宋体"/>
          <w:color w:val="auto"/>
          <w:sz w:val="24"/>
          <w:highlight w:val="none"/>
          <w:u w:val="single"/>
        </w:rPr>
        <w:t>电扇、取暖器</w:t>
      </w:r>
      <w:r>
        <w:rPr>
          <w:rFonts w:ascii="宋体" w:hAnsi="宋体" w:cs="宋体"/>
          <w:color w:val="auto"/>
          <w:sz w:val="24"/>
          <w:highlight w:val="none"/>
        </w:rPr>
        <w:t>等。</w:t>
      </w:r>
      <w:r>
        <w:rPr>
          <w:rFonts w:hint="eastAsia" w:ascii="宋体" w:hAnsi="宋体" w:cs="宋体"/>
          <w:color w:val="auto"/>
          <w:sz w:val="24"/>
          <w:highlight w:val="none"/>
        </w:rPr>
        <w:t>监理试验室的配置应满足现场需要。</w:t>
      </w:r>
    </w:p>
    <w:p w14:paraId="787C6800">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2）生活日常费用包括：</w:t>
      </w:r>
    </w:p>
    <w:p w14:paraId="22360A1C">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1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t>①</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煤、气、水、电、房租费及污水处理费用、发电机用油等；</w:t>
      </w:r>
    </w:p>
    <w:p w14:paraId="7FBCFE44">
      <w:pPr>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2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t>②</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辅助人员工资（包括文秘、管理、炊事员、驾驶员、后勤员等辅助人员）；</w:t>
      </w:r>
    </w:p>
    <w:p w14:paraId="0899FC9A">
      <w:pPr>
        <w:spacing w:line="360" w:lineRule="auto"/>
        <w:ind w:firstLine="480" w:firstLineChars="200"/>
        <w:jc w:val="left"/>
        <w:rPr>
          <w:rFonts w:ascii="宋体" w:hAnsi="宋体" w:cs="宋体"/>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3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highlight w:val="none"/>
        </w:rPr>
        <w:t>③</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工地</w:t>
      </w:r>
      <w:r>
        <w:rPr>
          <w:rFonts w:hint="eastAsia" w:ascii="宋体" w:hAnsi="宋体" w:cs="宋体"/>
          <w:color w:val="auto"/>
          <w:sz w:val="24"/>
          <w:highlight w:val="none"/>
        </w:rPr>
        <w:t>伙食补贴（监理试验室人员及辅助人员伙食补贴）；</w:t>
      </w:r>
    </w:p>
    <w:p w14:paraId="4BCDA9F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3）其他。</w:t>
      </w:r>
    </w:p>
    <w:p w14:paraId="36E9F4B6">
      <w:pPr>
        <w:spacing w:line="360" w:lineRule="auto"/>
        <w:ind w:firstLine="420" w:firstLineChars="200"/>
        <w:jc w:val="left"/>
        <w:rPr>
          <w:rFonts w:ascii="宋体" w:hAnsi="宋体" w:cs="宋体"/>
          <w:color w:val="auto"/>
          <w:sz w:val="24"/>
          <w:highlight w:val="none"/>
        </w:rPr>
      </w:pPr>
      <w:r>
        <w:rPr>
          <w:rFonts w:ascii="宋体" w:hAnsi="宋体" w:cs="宋体"/>
          <w:color w:val="auto"/>
          <w:kern w:val="0"/>
          <w:szCs w:val="21"/>
          <w:highlight w:val="none"/>
        </w:rPr>
        <w:t xml:space="preserve"> </w:t>
      </w:r>
      <w:r>
        <w:rPr>
          <w:rFonts w:hint="eastAsia" w:ascii="宋体" w:hAnsi="宋体" w:cs="宋体"/>
          <w:color w:val="auto"/>
          <w:sz w:val="24"/>
          <w:highlight w:val="none"/>
        </w:rPr>
        <w:t>表</w:t>
      </w:r>
      <w:r>
        <w:rPr>
          <w:rFonts w:ascii="宋体" w:hAnsi="宋体" w:cs="宋体"/>
          <w:color w:val="auto"/>
          <w:sz w:val="24"/>
          <w:highlight w:val="none"/>
        </w:rPr>
        <w:t>6：</w:t>
      </w:r>
      <w:r>
        <w:rPr>
          <w:rFonts w:hint="eastAsia" w:ascii="宋体" w:hAnsi="宋体" w:cs="宋体"/>
          <w:color w:val="auto"/>
          <w:sz w:val="24"/>
          <w:highlight w:val="none"/>
        </w:rPr>
        <w:t>监理试验室试验设施费报价表</w:t>
      </w:r>
    </w:p>
    <w:p w14:paraId="0C6E42FF">
      <w:pPr>
        <w:spacing w:line="360" w:lineRule="auto"/>
        <w:ind w:firstLine="480" w:firstLineChars="200"/>
        <w:jc w:val="left"/>
        <w:rPr>
          <w:rFonts w:ascii="黑体" w:hAnsi="黑体" w:eastAsia="黑体" w:cs="宋体"/>
          <w:bCs/>
          <w:color w:val="auto"/>
          <w:kern w:val="0"/>
          <w:sz w:val="28"/>
          <w:szCs w:val="32"/>
          <w:highlight w:val="none"/>
        </w:rPr>
      </w:pPr>
      <w:r>
        <w:rPr>
          <w:rFonts w:hint="eastAsia" w:ascii="宋体" w:hAnsi="宋体" w:cs="宋体"/>
          <w:color w:val="auto"/>
          <w:sz w:val="24"/>
          <w:highlight w:val="none"/>
        </w:rPr>
        <w:t>试验设施包括：标段范围内项目监理试验室所需试验检测设备由监理试验室单位自备、自购或租用，列入监理试验室服务费用报价中（仅计折旧费、消耗费、租赁费及维修保养费）。当监理试验室服务完成或终止时，其产权归监理试验室所有。</w:t>
      </w:r>
      <w:r>
        <w:rPr>
          <w:rFonts w:ascii="宋体" w:hAnsi="宋体" w:cs="宋体"/>
          <w:color w:val="auto"/>
          <w:sz w:val="24"/>
          <w:highlight w:val="none"/>
        </w:rPr>
        <w:br w:type="page"/>
      </w:r>
      <w:r>
        <w:rPr>
          <w:rFonts w:hint="eastAsia" w:ascii="黑体" w:hAnsi="黑体" w:eastAsia="黑体" w:cs="宋体"/>
          <w:bCs/>
          <w:color w:val="auto"/>
          <w:kern w:val="0"/>
          <w:sz w:val="28"/>
          <w:szCs w:val="32"/>
          <w:highlight w:val="none"/>
        </w:rPr>
        <w:t>（二）监理试验室服务费报价表</w:t>
      </w:r>
    </w:p>
    <w:p w14:paraId="56ABDA5A">
      <w:pPr>
        <w:pStyle w:val="276"/>
        <w:spacing w:line="360" w:lineRule="auto"/>
        <w:rPr>
          <w:rFonts w:ascii="宋体" w:hAnsi="宋体" w:cs="宋体"/>
          <w:color w:val="auto"/>
          <w:highlight w:val="none"/>
        </w:rPr>
      </w:pPr>
    </w:p>
    <w:p w14:paraId="2C7868CE">
      <w:pPr>
        <w:pStyle w:val="276"/>
        <w:spacing w:line="480" w:lineRule="auto"/>
        <w:rPr>
          <w:rFonts w:ascii="宋体" w:hAnsi="宋体" w:cs="宋体"/>
          <w:color w:val="auto"/>
          <w:sz w:val="24"/>
          <w:highlight w:val="none"/>
        </w:rPr>
      </w:pPr>
      <w:r>
        <w:rPr>
          <w:rFonts w:hint="eastAsia" w:ascii="宋体" w:hAnsi="宋体" w:cs="宋体"/>
          <w:color w:val="auto"/>
          <w:sz w:val="24"/>
          <w:highlight w:val="none"/>
        </w:rPr>
        <w:t>表</w:t>
      </w:r>
      <w:r>
        <w:rPr>
          <w:rFonts w:ascii="宋体" w:hAnsi="宋体" w:cs="宋体"/>
          <w:color w:val="auto"/>
          <w:sz w:val="24"/>
          <w:highlight w:val="none"/>
        </w:rPr>
        <w:t xml:space="preserve">1 </w:t>
      </w:r>
      <w:r>
        <w:rPr>
          <w:rFonts w:hint="eastAsia" w:ascii="宋体" w:hAnsi="宋体" w:cs="宋体"/>
          <w:color w:val="auto"/>
          <w:sz w:val="24"/>
          <w:highlight w:val="none"/>
        </w:rPr>
        <w:t>监理试验室服务费用报价汇总表</w:t>
      </w:r>
    </w:p>
    <w:p w14:paraId="1CCCB66B">
      <w:pPr>
        <w:pStyle w:val="276"/>
        <w:spacing w:line="480" w:lineRule="auto"/>
        <w:rPr>
          <w:rFonts w:ascii="宋体" w:hAnsi="宋体" w:cs="宋体"/>
          <w:color w:val="auto"/>
          <w:sz w:val="24"/>
          <w:highlight w:val="none"/>
        </w:rPr>
      </w:pPr>
      <w:r>
        <w:rPr>
          <w:rFonts w:hint="eastAsia" w:ascii="宋体" w:hAnsi="宋体" w:cs="宋体"/>
          <w:color w:val="auto"/>
          <w:sz w:val="24"/>
          <w:highlight w:val="none"/>
        </w:rPr>
        <w:t>表</w:t>
      </w:r>
      <w:r>
        <w:rPr>
          <w:rFonts w:ascii="宋体" w:hAnsi="宋体" w:cs="宋体"/>
          <w:color w:val="auto"/>
          <w:sz w:val="24"/>
          <w:highlight w:val="none"/>
        </w:rPr>
        <w:t xml:space="preserve">2 </w:t>
      </w:r>
      <w:r>
        <w:rPr>
          <w:rFonts w:hint="eastAsia" w:ascii="宋体" w:hAnsi="宋体" w:cs="宋体"/>
          <w:color w:val="auto"/>
          <w:sz w:val="24"/>
          <w:highlight w:val="none"/>
        </w:rPr>
        <w:t>监理试验室人员服务费报价表</w:t>
      </w:r>
    </w:p>
    <w:p w14:paraId="51344065">
      <w:pPr>
        <w:pStyle w:val="276"/>
        <w:spacing w:line="480" w:lineRule="auto"/>
        <w:rPr>
          <w:rFonts w:ascii="宋体" w:hAnsi="宋体" w:cs="宋体"/>
          <w:color w:val="auto"/>
          <w:sz w:val="24"/>
          <w:highlight w:val="none"/>
        </w:rPr>
      </w:pPr>
      <w:r>
        <w:rPr>
          <w:rFonts w:hint="eastAsia" w:ascii="宋体" w:hAnsi="宋体" w:cs="宋体"/>
          <w:color w:val="auto"/>
          <w:sz w:val="24"/>
          <w:highlight w:val="none"/>
        </w:rPr>
        <w:t>表</w:t>
      </w:r>
      <w:r>
        <w:rPr>
          <w:rFonts w:ascii="宋体" w:hAnsi="宋体" w:cs="宋体"/>
          <w:color w:val="auto"/>
          <w:sz w:val="24"/>
          <w:highlight w:val="none"/>
        </w:rPr>
        <w:t xml:space="preserve">3 </w:t>
      </w:r>
      <w:r>
        <w:rPr>
          <w:rFonts w:hint="eastAsia" w:ascii="宋体" w:hAnsi="宋体" w:cs="宋体"/>
          <w:color w:val="auto"/>
          <w:sz w:val="24"/>
          <w:highlight w:val="none"/>
        </w:rPr>
        <w:t>监理试验室办公设施费报价表</w:t>
      </w:r>
    </w:p>
    <w:p w14:paraId="30951CE7">
      <w:pPr>
        <w:pStyle w:val="276"/>
        <w:spacing w:line="480" w:lineRule="auto"/>
        <w:rPr>
          <w:rFonts w:ascii="宋体" w:hAnsi="宋体" w:cs="宋体"/>
          <w:color w:val="auto"/>
          <w:sz w:val="24"/>
          <w:highlight w:val="none"/>
        </w:rPr>
      </w:pPr>
      <w:r>
        <w:rPr>
          <w:rFonts w:hint="eastAsia" w:ascii="宋体" w:hAnsi="宋体" w:cs="宋体"/>
          <w:color w:val="auto"/>
          <w:sz w:val="24"/>
          <w:highlight w:val="none"/>
        </w:rPr>
        <w:t>表</w:t>
      </w:r>
      <w:r>
        <w:rPr>
          <w:rFonts w:ascii="宋体" w:hAnsi="宋体" w:cs="宋体"/>
          <w:color w:val="auto"/>
          <w:sz w:val="24"/>
          <w:highlight w:val="none"/>
        </w:rPr>
        <w:t xml:space="preserve">4 </w:t>
      </w:r>
      <w:r>
        <w:rPr>
          <w:rFonts w:hint="eastAsia" w:ascii="宋体" w:hAnsi="宋体" w:cs="宋体"/>
          <w:color w:val="auto"/>
          <w:sz w:val="24"/>
          <w:highlight w:val="none"/>
        </w:rPr>
        <w:t>监理试验室交通设施费报价表</w:t>
      </w:r>
    </w:p>
    <w:p w14:paraId="4D2545BF">
      <w:pPr>
        <w:pStyle w:val="276"/>
        <w:spacing w:line="480" w:lineRule="auto"/>
        <w:rPr>
          <w:rFonts w:ascii="宋体" w:hAnsi="宋体" w:cs="宋体"/>
          <w:color w:val="auto"/>
          <w:sz w:val="24"/>
          <w:highlight w:val="none"/>
        </w:rPr>
      </w:pPr>
      <w:r>
        <w:rPr>
          <w:rFonts w:hint="eastAsia" w:ascii="宋体" w:hAnsi="宋体" w:cs="宋体"/>
          <w:color w:val="auto"/>
          <w:sz w:val="24"/>
          <w:highlight w:val="none"/>
        </w:rPr>
        <w:t>表</w:t>
      </w:r>
      <w:r>
        <w:rPr>
          <w:rFonts w:ascii="宋体" w:hAnsi="宋体" w:cs="宋体"/>
          <w:color w:val="auto"/>
          <w:sz w:val="24"/>
          <w:highlight w:val="none"/>
        </w:rPr>
        <w:t xml:space="preserve">5 </w:t>
      </w:r>
      <w:r>
        <w:rPr>
          <w:rFonts w:hint="eastAsia" w:ascii="宋体" w:hAnsi="宋体" w:cs="宋体"/>
          <w:color w:val="auto"/>
          <w:sz w:val="24"/>
          <w:highlight w:val="none"/>
        </w:rPr>
        <w:t>监理试验室生活设施费报价表</w:t>
      </w:r>
    </w:p>
    <w:p w14:paraId="4FDD2290">
      <w:pPr>
        <w:pStyle w:val="276"/>
        <w:spacing w:line="480" w:lineRule="auto"/>
        <w:rPr>
          <w:rFonts w:ascii="宋体" w:hAnsi="宋体" w:cs="宋体"/>
          <w:color w:val="auto"/>
          <w:sz w:val="24"/>
          <w:highlight w:val="none"/>
        </w:rPr>
      </w:pPr>
      <w:r>
        <w:rPr>
          <w:rFonts w:hint="eastAsia" w:ascii="宋体" w:hAnsi="宋体" w:cs="宋体"/>
          <w:color w:val="auto"/>
          <w:sz w:val="24"/>
          <w:highlight w:val="none"/>
        </w:rPr>
        <w:t>表</w:t>
      </w:r>
      <w:r>
        <w:rPr>
          <w:rFonts w:ascii="宋体" w:hAnsi="宋体" w:cs="宋体"/>
          <w:color w:val="auto"/>
          <w:sz w:val="24"/>
          <w:highlight w:val="none"/>
        </w:rPr>
        <w:t xml:space="preserve">6  </w:t>
      </w:r>
      <w:r>
        <w:rPr>
          <w:rFonts w:hint="eastAsia" w:ascii="宋体" w:hAnsi="宋体" w:cs="宋体"/>
          <w:color w:val="auto"/>
          <w:sz w:val="24"/>
          <w:highlight w:val="none"/>
        </w:rPr>
        <w:t>监理</w:t>
      </w:r>
      <w:r>
        <w:rPr>
          <w:rFonts w:hint="eastAsia" w:ascii="宋体" w:hAnsi="宋体" w:cs="宋体"/>
          <w:color w:val="auto"/>
          <w:sz w:val="24"/>
          <w:highlight w:val="none"/>
          <w:lang w:val="en-US" w:eastAsia="zh-CN"/>
        </w:rPr>
        <w:t>试验室</w:t>
      </w:r>
      <w:r>
        <w:rPr>
          <w:rFonts w:hint="eastAsia" w:ascii="宋体" w:hAnsi="宋体" w:cs="宋体"/>
          <w:color w:val="auto"/>
          <w:sz w:val="24"/>
          <w:highlight w:val="none"/>
        </w:rPr>
        <w:t>试验设施费报价表</w:t>
      </w:r>
    </w:p>
    <w:p w14:paraId="38FF4693">
      <w:pPr>
        <w:pStyle w:val="276"/>
        <w:spacing w:line="480" w:lineRule="auto"/>
        <w:rPr>
          <w:rFonts w:ascii="宋体" w:hAnsi="宋体" w:cs="宋体"/>
          <w:color w:val="auto"/>
          <w:sz w:val="24"/>
          <w:highlight w:val="none"/>
        </w:rPr>
      </w:pPr>
      <w:r>
        <w:rPr>
          <w:rFonts w:hint="eastAsia" w:ascii="宋体" w:hAnsi="宋体" w:cs="宋体"/>
          <w:color w:val="auto"/>
          <w:sz w:val="24"/>
          <w:highlight w:val="none"/>
        </w:rPr>
        <w:t>附件</w:t>
      </w:r>
      <w:r>
        <w:rPr>
          <w:rFonts w:ascii="宋体" w:hAnsi="宋体" w:cs="宋体"/>
          <w:color w:val="auto"/>
          <w:sz w:val="24"/>
          <w:highlight w:val="none"/>
        </w:rPr>
        <w:t>1监理</w:t>
      </w:r>
      <w:r>
        <w:rPr>
          <w:rFonts w:hint="eastAsia" w:ascii="宋体" w:hAnsi="宋体" w:cs="宋体"/>
          <w:color w:val="auto"/>
          <w:sz w:val="24"/>
          <w:highlight w:val="none"/>
        </w:rPr>
        <w:t>试验室人员工作计划安排表</w:t>
      </w:r>
    </w:p>
    <w:p w14:paraId="47B61CE0">
      <w:pPr>
        <w:pStyle w:val="276"/>
        <w:rPr>
          <w:rFonts w:ascii="宋体" w:hAnsi="宋体" w:cs="宋体"/>
          <w:color w:val="auto"/>
          <w:highlight w:val="none"/>
        </w:rPr>
      </w:pPr>
    </w:p>
    <w:p w14:paraId="452A0046">
      <w:pPr>
        <w:pStyle w:val="276"/>
        <w:rPr>
          <w:rFonts w:ascii="宋体" w:hAnsi="宋体" w:cs="宋体"/>
          <w:color w:val="auto"/>
          <w:highlight w:val="none"/>
        </w:rPr>
      </w:pPr>
    </w:p>
    <w:p w14:paraId="1E60A0D6">
      <w:pPr>
        <w:pStyle w:val="276"/>
        <w:rPr>
          <w:rFonts w:ascii="宋体" w:hAnsi="宋体" w:cs="宋体"/>
          <w:color w:val="auto"/>
          <w:highlight w:val="none"/>
        </w:rPr>
      </w:pPr>
    </w:p>
    <w:p w14:paraId="719478DA">
      <w:pPr>
        <w:pStyle w:val="276"/>
        <w:rPr>
          <w:rFonts w:ascii="宋体" w:hAnsi="宋体" w:cs="宋体"/>
          <w:color w:val="auto"/>
          <w:highlight w:val="none"/>
        </w:rPr>
      </w:pPr>
    </w:p>
    <w:p w14:paraId="0EF2BC77">
      <w:pPr>
        <w:pStyle w:val="276"/>
        <w:rPr>
          <w:rFonts w:ascii="宋体" w:hAnsi="宋体" w:cs="宋体"/>
          <w:color w:val="auto"/>
          <w:highlight w:val="none"/>
        </w:rPr>
      </w:pPr>
    </w:p>
    <w:p w14:paraId="745BA328">
      <w:pPr>
        <w:pStyle w:val="276"/>
        <w:rPr>
          <w:rFonts w:ascii="宋体" w:hAnsi="宋体" w:cs="宋体"/>
          <w:color w:val="auto"/>
          <w:highlight w:val="none"/>
        </w:rPr>
      </w:pPr>
    </w:p>
    <w:p w14:paraId="1A4FFB7E">
      <w:pPr>
        <w:pStyle w:val="276"/>
        <w:rPr>
          <w:rFonts w:ascii="宋体" w:hAnsi="宋体" w:cs="宋体"/>
          <w:color w:val="auto"/>
          <w:highlight w:val="none"/>
        </w:rPr>
      </w:pPr>
    </w:p>
    <w:p w14:paraId="58D17179">
      <w:pPr>
        <w:pStyle w:val="276"/>
        <w:rPr>
          <w:rFonts w:ascii="宋体" w:hAnsi="宋体" w:cs="宋体"/>
          <w:color w:val="auto"/>
          <w:highlight w:val="none"/>
        </w:rPr>
      </w:pPr>
    </w:p>
    <w:p w14:paraId="4375EBFC">
      <w:pPr>
        <w:pStyle w:val="276"/>
        <w:rPr>
          <w:rFonts w:ascii="宋体" w:hAnsi="宋体" w:cs="宋体"/>
          <w:color w:val="auto"/>
          <w:highlight w:val="none"/>
        </w:rPr>
      </w:pPr>
    </w:p>
    <w:p w14:paraId="001B1764">
      <w:pPr>
        <w:pStyle w:val="276"/>
        <w:rPr>
          <w:rFonts w:ascii="宋体" w:hAnsi="宋体" w:cs="宋体"/>
          <w:color w:val="auto"/>
          <w:highlight w:val="none"/>
        </w:rPr>
      </w:pPr>
    </w:p>
    <w:p w14:paraId="3DD7B3B9">
      <w:pPr>
        <w:pStyle w:val="276"/>
        <w:rPr>
          <w:rFonts w:ascii="宋体" w:hAnsi="宋体" w:cs="宋体"/>
          <w:color w:val="auto"/>
          <w:highlight w:val="none"/>
        </w:rPr>
      </w:pPr>
    </w:p>
    <w:p w14:paraId="36BE66D0">
      <w:pPr>
        <w:pStyle w:val="276"/>
        <w:rPr>
          <w:rFonts w:ascii="宋体" w:hAnsi="宋体" w:cs="宋体"/>
          <w:color w:val="auto"/>
          <w:highlight w:val="none"/>
        </w:rPr>
      </w:pPr>
    </w:p>
    <w:p w14:paraId="4F42BBC9">
      <w:pPr>
        <w:pStyle w:val="276"/>
        <w:rPr>
          <w:rFonts w:ascii="宋体" w:hAnsi="宋体" w:cs="宋体"/>
          <w:color w:val="auto"/>
          <w:highlight w:val="none"/>
        </w:rPr>
      </w:pPr>
    </w:p>
    <w:p w14:paraId="60500BBE">
      <w:pPr>
        <w:pStyle w:val="276"/>
        <w:rPr>
          <w:rFonts w:ascii="宋体" w:hAnsi="宋体" w:cs="宋体"/>
          <w:color w:val="auto"/>
          <w:highlight w:val="none"/>
        </w:rPr>
      </w:pPr>
    </w:p>
    <w:p w14:paraId="7F9B12FC">
      <w:pPr>
        <w:pStyle w:val="276"/>
        <w:rPr>
          <w:rFonts w:ascii="宋体" w:hAnsi="宋体" w:cs="宋体"/>
          <w:color w:val="auto"/>
          <w:highlight w:val="none"/>
        </w:rPr>
      </w:pPr>
    </w:p>
    <w:p w14:paraId="58027DD2">
      <w:pPr>
        <w:pStyle w:val="276"/>
        <w:rPr>
          <w:rFonts w:ascii="宋体" w:hAnsi="宋体" w:cs="宋体"/>
          <w:color w:val="auto"/>
          <w:highlight w:val="none"/>
        </w:rPr>
      </w:pPr>
    </w:p>
    <w:p w14:paraId="2F12F8EE">
      <w:pPr>
        <w:pStyle w:val="276"/>
        <w:rPr>
          <w:rFonts w:ascii="宋体" w:hAnsi="宋体" w:cs="宋体"/>
          <w:color w:val="auto"/>
          <w:highlight w:val="none"/>
        </w:rPr>
      </w:pPr>
    </w:p>
    <w:p w14:paraId="603368C4">
      <w:pPr>
        <w:pStyle w:val="276"/>
        <w:rPr>
          <w:rFonts w:ascii="宋体" w:hAnsi="宋体" w:cs="宋体"/>
          <w:color w:val="auto"/>
          <w:highlight w:val="none"/>
        </w:rPr>
      </w:pPr>
    </w:p>
    <w:p w14:paraId="6062C1CB">
      <w:pPr>
        <w:pStyle w:val="276"/>
        <w:rPr>
          <w:rFonts w:ascii="宋体" w:hAnsi="宋体" w:cs="宋体"/>
          <w:color w:val="auto"/>
          <w:highlight w:val="none"/>
        </w:rPr>
      </w:pPr>
    </w:p>
    <w:p w14:paraId="16C47499">
      <w:pPr>
        <w:pStyle w:val="276"/>
        <w:rPr>
          <w:rFonts w:ascii="宋体" w:hAnsi="宋体" w:cs="宋体"/>
          <w:color w:val="auto"/>
          <w:highlight w:val="none"/>
        </w:rPr>
      </w:pPr>
    </w:p>
    <w:p w14:paraId="515DB962">
      <w:pPr>
        <w:pStyle w:val="276"/>
        <w:rPr>
          <w:rFonts w:ascii="宋体" w:hAnsi="宋体" w:cs="宋体"/>
          <w:color w:val="auto"/>
          <w:highlight w:val="none"/>
        </w:rPr>
      </w:pPr>
    </w:p>
    <w:p w14:paraId="500710F5">
      <w:pPr>
        <w:widowControl/>
        <w:jc w:val="left"/>
        <w:rPr>
          <w:rFonts w:ascii="宋体" w:hAnsi="宋体" w:cs="宋体"/>
          <w:b/>
          <w:color w:val="auto"/>
          <w:sz w:val="24"/>
          <w:highlight w:val="none"/>
        </w:rPr>
      </w:pPr>
      <w:r>
        <w:rPr>
          <w:rFonts w:ascii="宋体" w:hAnsi="宋体" w:cs="宋体"/>
          <w:b/>
          <w:color w:val="auto"/>
          <w:sz w:val="24"/>
          <w:highlight w:val="none"/>
        </w:rPr>
        <w:br w:type="page"/>
      </w:r>
    </w:p>
    <w:p w14:paraId="02CDE957">
      <w:pPr>
        <w:pStyle w:val="276"/>
        <w:spacing w:line="360" w:lineRule="auto"/>
        <w:jc w:val="center"/>
        <w:rPr>
          <w:rFonts w:ascii="宋体" w:hAnsi="宋体" w:cs="宋体"/>
          <w:b/>
          <w:color w:val="auto"/>
          <w:sz w:val="24"/>
          <w:highlight w:val="none"/>
        </w:rPr>
        <w:sectPr>
          <w:footnotePr>
            <w:numFmt w:val="decimalEnclosedCircleChinese"/>
            <w:numRestart w:val="eachPage"/>
          </w:footnotePr>
          <w:pgSz w:w="11907" w:h="16839"/>
          <w:pgMar w:top="1418" w:right="1418" w:bottom="1418" w:left="1701" w:header="720" w:footer="720" w:gutter="0"/>
          <w:cols w:space="720" w:num="1"/>
          <w:docGrid w:linePitch="286" w:charSpace="0"/>
        </w:sectPr>
      </w:pPr>
    </w:p>
    <w:p w14:paraId="04D466F2">
      <w:pPr>
        <w:pStyle w:val="276"/>
        <w:spacing w:line="360" w:lineRule="auto"/>
        <w:jc w:val="center"/>
        <w:rPr>
          <w:rFonts w:ascii="黑体" w:hAnsi="黑体" w:eastAsia="黑体" w:cs="宋体"/>
          <w:color w:val="auto"/>
          <w:sz w:val="24"/>
          <w:highlight w:val="none"/>
        </w:rPr>
      </w:pPr>
      <w:r>
        <w:rPr>
          <w:rFonts w:hint="eastAsia" w:ascii="黑体" w:hAnsi="黑体" w:eastAsia="黑体" w:cs="宋体"/>
          <w:color w:val="auto"/>
          <w:sz w:val="24"/>
          <w:highlight w:val="none"/>
        </w:rPr>
        <w:t>表</w:t>
      </w:r>
      <w:r>
        <w:rPr>
          <w:rFonts w:ascii="黑体" w:hAnsi="黑体" w:eastAsia="黑体" w:cs="宋体"/>
          <w:color w:val="auto"/>
          <w:sz w:val="24"/>
          <w:highlight w:val="none"/>
        </w:rPr>
        <w:t xml:space="preserve">1  </w:t>
      </w:r>
      <w:r>
        <w:rPr>
          <w:rFonts w:hint="eastAsia" w:ascii="黑体" w:hAnsi="黑体" w:eastAsia="黑体" w:cs="宋体"/>
          <w:color w:val="auto"/>
          <w:sz w:val="24"/>
          <w:highlight w:val="none"/>
        </w:rPr>
        <w:t>监理试验室服务费用报价汇总表</w:t>
      </w:r>
    </w:p>
    <w:p w14:paraId="70D62223">
      <w:pPr>
        <w:pStyle w:val="276"/>
        <w:spacing w:line="360" w:lineRule="auto"/>
        <w:rPr>
          <w:rFonts w:ascii="宋体" w:hAnsi="宋体" w:cs="宋体"/>
          <w:color w:val="auto"/>
          <w:highlight w:val="none"/>
        </w:rPr>
      </w:pPr>
      <w:r>
        <w:rPr>
          <w:rFonts w:hint="eastAsia" w:ascii="宋体" w:hAnsi="宋体" w:cs="宋体"/>
          <w:color w:val="auto"/>
          <w:highlight w:val="none"/>
        </w:rPr>
        <w:t>单位：人民币元</w:t>
      </w:r>
    </w:p>
    <w:tbl>
      <w:tblPr>
        <w:tblStyle w:val="48"/>
        <w:tblW w:w="8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543"/>
        <w:gridCol w:w="2254"/>
        <w:gridCol w:w="1880"/>
        <w:gridCol w:w="1485"/>
      </w:tblGrid>
      <w:tr w14:paraId="7547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1CC827D">
            <w:pPr>
              <w:pStyle w:val="276"/>
              <w:jc w:val="center"/>
              <w:rPr>
                <w:rFonts w:ascii="宋体" w:hAnsi="宋体" w:cs="宋体"/>
                <w:color w:val="auto"/>
                <w:highlight w:val="none"/>
              </w:rPr>
            </w:pPr>
            <w:r>
              <w:rPr>
                <w:rFonts w:hint="eastAsia" w:ascii="宋体" w:hAnsi="宋体" w:cs="宋体"/>
                <w:color w:val="auto"/>
                <w:highlight w:val="none"/>
              </w:rPr>
              <w:t>序号</w:t>
            </w:r>
          </w:p>
        </w:tc>
        <w:tc>
          <w:tcPr>
            <w:tcW w:w="2543" w:type="dxa"/>
            <w:vAlign w:val="center"/>
          </w:tcPr>
          <w:p w14:paraId="496166DB">
            <w:pPr>
              <w:pStyle w:val="276"/>
              <w:jc w:val="center"/>
              <w:rPr>
                <w:rFonts w:ascii="宋体" w:hAnsi="宋体" w:cs="宋体"/>
                <w:color w:val="auto"/>
                <w:highlight w:val="none"/>
              </w:rPr>
            </w:pPr>
            <w:r>
              <w:rPr>
                <w:rFonts w:hint="eastAsia" w:ascii="宋体" w:hAnsi="宋体" w:cs="宋体"/>
                <w:color w:val="auto"/>
                <w:highlight w:val="none"/>
              </w:rPr>
              <w:t>项目</w:t>
            </w:r>
          </w:p>
        </w:tc>
        <w:tc>
          <w:tcPr>
            <w:tcW w:w="2254" w:type="dxa"/>
            <w:vAlign w:val="center"/>
          </w:tcPr>
          <w:p w14:paraId="1EA498EC">
            <w:pPr>
              <w:pStyle w:val="276"/>
              <w:jc w:val="center"/>
              <w:rPr>
                <w:rFonts w:ascii="宋体" w:hAnsi="宋体" w:cs="宋体"/>
                <w:color w:val="auto"/>
                <w:highlight w:val="none"/>
              </w:rPr>
            </w:pPr>
            <w:r>
              <w:rPr>
                <w:rFonts w:hint="eastAsia" w:ascii="宋体" w:hAnsi="宋体" w:cs="宋体"/>
                <w:color w:val="auto"/>
                <w:highlight w:val="none"/>
              </w:rPr>
              <w:t>施工期</w:t>
            </w:r>
          </w:p>
          <w:p w14:paraId="0CAFA1D6">
            <w:pPr>
              <w:pStyle w:val="276"/>
              <w:jc w:val="center"/>
              <w:rPr>
                <w:rFonts w:ascii="宋体" w:hAnsi="宋体" w:cs="宋体"/>
                <w:color w:val="auto"/>
                <w:highlight w:val="none"/>
              </w:rPr>
            </w:pPr>
            <w:r>
              <w:rPr>
                <w:rFonts w:hint="eastAsia" w:ascii="宋体" w:hAnsi="宋体" w:cs="宋体"/>
                <w:color w:val="auto"/>
                <w:highlight w:val="none"/>
              </w:rPr>
              <w:t>（含施工准备期）</w:t>
            </w:r>
          </w:p>
        </w:tc>
        <w:tc>
          <w:tcPr>
            <w:tcW w:w="1880" w:type="dxa"/>
            <w:vAlign w:val="center"/>
          </w:tcPr>
          <w:p w14:paraId="38D43ADD">
            <w:pPr>
              <w:pStyle w:val="276"/>
              <w:jc w:val="center"/>
              <w:rPr>
                <w:rFonts w:ascii="宋体" w:hAnsi="宋体" w:cs="宋体"/>
                <w:color w:val="auto"/>
                <w:highlight w:val="none"/>
              </w:rPr>
            </w:pPr>
            <w:r>
              <w:rPr>
                <w:rFonts w:hint="eastAsia" w:ascii="宋体" w:hAnsi="宋体" w:cs="宋体"/>
                <w:color w:val="auto"/>
                <w:highlight w:val="none"/>
              </w:rPr>
              <w:t>缺陷责任期</w:t>
            </w:r>
          </w:p>
        </w:tc>
        <w:tc>
          <w:tcPr>
            <w:tcW w:w="1485" w:type="dxa"/>
            <w:vAlign w:val="center"/>
          </w:tcPr>
          <w:p w14:paraId="36312E85">
            <w:pPr>
              <w:pStyle w:val="276"/>
              <w:jc w:val="center"/>
              <w:rPr>
                <w:rFonts w:ascii="宋体" w:hAnsi="宋体" w:cs="宋体"/>
                <w:color w:val="auto"/>
                <w:highlight w:val="none"/>
              </w:rPr>
            </w:pPr>
            <w:r>
              <w:rPr>
                <w:rFonts w:hint="eastAsia" w:ascii="宋体" w:hAnsi="宋体" w:cs="宋体"/>
                <w:color w:val="auto"/>
                <w:highlight w:val="none"/>
              </w:rPr>
              <w:t>小计金额</w:t>
            </w:r>
          </w:p>
        </w:tc>
      </w:tr>
      <w:tr w14:paraId="0A94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49DB919">
            <w:pPr>
              <w:pStyle w:val="276"/>
              <w:jc w:val="center"/>
              <w:rPr>
                <w:rFonts w:ascii="宋体" w:hAnsi="宋体" w:cs="宋体"/>
                <w:color w:val="auto"/>
                <w:highlight w:val="none"/>
              </w:rPr>
            </w:pPr>
            <w:r>
              <w:rPr>
                <w:rFonts w:ascii="宋体" w:hAnsi="宋体" w:cs="宋体"/>
                <w:color w:val="auto"/>
                <w:highlight w:val="none"/>
              </w:rPr>
              <w:t>1</w:t>
            </w:r>
          </w:p>
        </w:tc>
        <w:tc>
          <w:tcPr>
            <w:tcW w:w="2543" w:type="dxa"/>
            <w:vAlign w:val="center"/>
          </w:tcPr>
          <w:p w14:paraId="731A5DAC">
            <w:pPr>
              <w:pStyle w:val="276"/>
              <w:jc w:val="center"/>
              <w:rPr>
                <w:rFonts w:ascii="宋体" w:hAnsi="宋体" w:cs="宋体"/>
                <w:color w:val="auto"/>
                <w:highlight w:val="none"/>
              </w:rPr>
            </w:pPr>
            <w:r>
              <w:rPr>
                <w:rFonts w:hint="eastAsia" w:ascii="宋体" w:hAnsi="宋体" w:cs="宋体"/>
                <w:color w:val="auto"/>
                <w:highlight w:val="none"/>
              </w:rPr>
              <w:t>监理试验室人员服务费</w:t>
            </w:r>
          </w:p>
        </w:tc>
        <w:tc>
          <w:tcPr>
            <w:tcW w:w="2254" w:type="dxa"/>
            <w:vAlign w:val="center"/>
          </w:tcPr>
          <w:p w14:paraId="5B952CBA">
            <w:pPr>
              <w:pStyle w:val="276"/>
              <w:jc w:val="center"/>
              <w:rPr>
                <w:rFonts w:ascii="宋体" w:hAnsi="宋体" w:cs="宋体"/>
                <w:color w:val="auto"/>
                <w:highlight w:val="none"/>
              </w:rPr>
            </w:pPr>
          </w:p>
        </w:tc>
        <w:tc>
          <w:tcPr>
            <w:tcW w:w="1880" w:type="dxa"/>
            <w:vAlign w:val="center"/>
          </w:tcPr>
          <w:p w14:paraId="51464689">
            <w:pPr>
              <w:pStyle w:val="276"/>
              <w:jc w:val="center"/>
              <w:rPr>
                <w:rFonts w:ascii="宋体" w:hAnsi="宋体" w:cs="宋体"/>
                <w:color w:val="auto"/>
                <w:highlight w:val="none"/>
              </w:rPr>
            </w:pPr>
          </w:p>
        </w:tc>
        <w:tc>
          <w:tcPr>
            <w:tcW w:w="1485" w:type="dxa"/>
            <w:vAlign w:val="center"/>
          </w:tcPr>
          <w:p w14:paraId="0FB07E77">
            <w:pPr>
              <w:pStyle w:val="276"/>
              <w:jc w:val="center"/>
              <w:rPr>
                <w:rFonts w:ascii="宋体" w:hAnsi="宋体" w:cs="宋体"/>
                <w:color w:val="auto"/>
                <w:highlight w:val="none"/>
              </w:rPr>
            </w:pPr>
          </w:p>
        </w:tc>
      </w:tr>
      <w:tr w14:paraId="685C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73EBFEC1">
            <w:pPr>
              <w:pStyle w:val="276"/>
              <w:jc w:val="center"/>
              <w:rPr>
                <w:rFonts w:ascii="宋体" w:hAnsi="宋体" w:cs="宋体"/>
                <w:color w:val="auto"/>
                <w:highlight w:val="none"/>
              </w:rPr>
            </w:pPr>
            <w:r>
              <w:rPr>
                <w:rFonts w:ascii="宋体" w:hAnsi="宋体" w:cs="宋体"/>
                <w:color w:val="auto"/>
                <w:highlight w:val="none"/>
              </w:rPr>
              <w:t>2</w:t>
            </w:r>
          </w:p>
        </w:tc>
        <w:tc>
          <w:tcPr>
            <w:tcW w:w="2543" w:type="dxa"/>
            <w:vAlign w:val="center"/>
          </w:tcPr>
          <w:p w14:paraId="1B002920">
            <w:pPr>
              <w:pStyle w:val="276"/>
              <w:jc w:val="center"/>
              <w:rPr>
                <w:rFonts w:ascii="宋体" w:hAnsi="宋体" w:cs="宋体"/>
                <w:color w:val="auto"/>
                <w:highlight w:val="none"/>
              </w:rPr>
            </w:pPr>
            <w:r>
              <w:rPr>
                <w:rFonts w:hint="eastAsia" w:ascii="宋体" w:hAnsi="宋体" w:cs="宋体"/>
                <w:color w:val="auto"/>
                <w:highlight w:val="none"/>
              </w:rPr>
              <w:t>监理试验室办公设施费</w:t>
            </w:r>
          </w:p>
        </w:tc>
        <w:tc>
          <w:tcPr>
            <w:tcW w:w="2254" w:type="dxa"/>
            <w:vAlign w:val="center"/>
          </w:tcPr>
          <w:p w14:paraId="2C2B214A">
            <w:pPr>
              <w:pStyle w:val="276"/>
              <w:jc w:val="center"/>
              <w:rPr>
                <w:rFonts w:ascii="宋体" w:hAnsi="宋体" w:cs="宋体"/>
                <w:color w:val="auto"/>
                <w:highlight w:val="none"/>
              </w:rPr>
            </w:pPr>
          </w:p>
        </w:tc>
        <w:tc>
          <w:tcPr>
            <w:tcW w:w="1880" w:type="dxa"/>
            <w:vAlign w:val="center"/>
          </w:tcPr>
          <w:p w14:paraId="41830939">
            <w:pPr>
              <w:pStyle w:val="276"/>
              <w:jc w:val="center"/>
              <w:rPr>
                <w:rFonts w:ascii="宋体" w:hAnsi="宋体" w:cs="宋体"/>
                <w:color w:val="auto"/>
                <w:highlight w:val="none"/>
              </w:rPr>
            </w:pPr>
          </w:p>
        </w:tc>
        <w:tc>
          <w:tcPr>
            <w:tcW w:w="1485" w:type="dxa"/>
            <w:vAlign w:val="center"/>
          </w:tcPr>
          <w:p w14:paraId="19E086B9">
            <w:pPr>
              <w:pStyle w:val="276"/>
              <w:jc w:val="center"/>
              <w:rPr>
                <w:rFonts w:ascii="宋体" w:hAnsi="宋体" w:cs="宋体"/>
                <w:color w:val="auto"/>
                <w:highlight w:val="none"/>
              </w:rPr>
            </w:pPr>
          </w:p>
        </w:tc>
      </w:tr>
      <w:tr w14:paraId="5BBF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4AF08641">
            <w:pPr>
              <w:pStyle w:val="276"/>
              <w:jc w:val="center"/>
              <w:rPr>
                <w:rFonts w:ascii="宋体" w:hAnsi="宋体" w:cs="宋体"/>
                <w:color w:val="auto"/>
                <w:highlight w:val="none"/>
              </w:rPr>
            </w:pPr>
            <w:r>
              <w:rPr>
                <w:rFonts w:ascii="宋体" w:hAnsi="宋体" w:cs="宋体"/>
                <w:color w:val="auto"/>
                <w:highlight w:val="none"/>
              </w:rPr>
              <w:t>3</w:t>
            </w:r>
          </w:p>
        </w:tc>
        <w:tc>
          <w:tcPr>
            <w:tcW w:w="2543" w:type="dxa"/>
            <w:vAlign w:val="center"/>
          </w:tcPr>
          <w:p w14:paraId="51EBD5D9">
            <w:pPr>
              <w:pStyle w:val="276"/>
              <w:jc w:val="center"/>
              <w:rPr>
                <w:rFonts w:ascii="宋体" w:hAnsi="宋体" w:cs="宋体"/>
                <w:color w:val="auto"/>
                <w:highlight w:val="none"/>
              </w:rPr>
            </w:pPr>
            <w:r>
              <w:rPr>
                <w:rFonts w:hint="eastAsia" w:ascii="宋体" w:hAnsi="宋体" w:cs="宋体"/>
                <w:color w:val="auto"/>
                <w:highlight w:val="none"/>
              </w:rPr>
              <w:t>监理试验室交通设施费</w:t>
            </w:r>
          </w:p>
        </w:tc>
        <w:tc>
          <w:tcPr>
            <w:tcW w:w="2254" w:type="dxa"/>
            <w:vAlign w:val="center"/>
          </w:tcPr>
          <w:p w14:paraId="2B25A302">
            <w:pPr>
              <w:pStyle w:val="276"/>
              <w:jc w:val="center"/>
              <w:rPr>
                <w:rFonts w:ascii="宋体" w:hAnsi="宋体" w:cs="宋体"/>
                <w:color w:val="auto"/>
                <w:highlight w:val="none"/>
              </w:rPr>
            </w:pPr>
          </w:p>
        </w:tc>
        <w:tc>
          <w:tcPr>
            <w:tcW w:w="1880" w:type="dxa"/>
            <w:vAlign w:val="center"/>
          </w:tcPr>
          <w:p w14:paraId="4003DCE7">
            <w:pPr>
              <w:pStyle w:val="276"/>
              <w:jc w:val="center"/>
              <w:rPr>
                <w:rFonts w:ascii="宋体" w:hAnsi="宋体" w:cs="宋体"/>
                <w:color w:val="auto"/>
                <w:highlight w:val="none"/>
              </w:rPr>
            </w:pPr>
          </w:p>
        </w:tc>
        <w:tc>
          <w:tcPr>
            <w:tcW w:w="1485" w:type="dxa"/>
            <w:vAlign w:val="center"/>
          </w:tcPr>
          <w:p w14:paraId="4ACC9910">
            <w:pPr>
              <w:pStyle w:val="276"/>
              <w:jc w:val="center"/>
              <w:rPr>
                <w:rFonts w:ascii="宋体" w:hAnsi="宋体" w:cs="宋体"/>
                <w:color w:val="auto"/>
                <w:highlight w:val="none"/>
              </w:rPr>
            </w:pPr>
          </w:p>
        </w:tc>
      </w:tr>
      <w:tr w14:paraId="5915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07FA2B07">
            <w:pPr>
              <w:pStyle w:val="276"/>
              <w:jc w:val="center"/>
              <w:rPr>
                <w:rFonts w:ascii="宋体" w:hAnsi="宋体" w:cs="宋体"/>
                <w:color w:val="auto"/>
                <w:highlight w:val="none"/>
              </w:rPr>
            </w:pPr>
            <w:r>
              <w:rPr>
                <w:rFonts w:ascii="宋体" w:hAnsi="宋体" w:cs="宋体"/>
                <w:color w:val="auto"/>
                <w:highlight w:val="none"/>
              </w:rPr>
              <w:t>4</w:t>
            </w:r>
          </w:p>
        </w:tc>
        <w:tc>
          <w:tcPr>
            <w:tcW w:w="2543" w:type="dxa"/>
            <w:vAlign w:val="center"/>
          </w:tcPr>
          <w:p w14:paraId="71D0C8B0">
            <w:pPr>
              <w:pStyle w:val="276"/>
              <w:jc w:val="center"/>
              <w:rPr>
                <w:rFonts w:ascii="宋体" w:hAnsi="宋体" w:cs="宋体"/>
                <w:color w:val="auto"/>
                <w:highlight w:val="none"/>
              </w:rPr>
            </w:pPr>
            <w:r>
              <w:rPr>
                <w:rFonts w:hint="eastAsia" w:ascii="宋体" w:hAnsi="宋体" w:cs="宋体"/>
                <w:color w:val="auto"/>
                <w:highlight w:val="none"/>
              </w:rPr>
              <w:t>监理试验室生活设施费</w:t>
            </w:r>
          </w:p>
        </w:tc>
        <w:tc>
          <w:tcPr>
            <w:tcW w:w="2254" w:type="dxa"/>
            <w:vAlign w:val="center"/>
          </w:tcPr>
          <w:p w14:paraId="07212729">
            <w:pPr>
              <w:pStyle w:val="276"/>
              <w:jc w:val="center"/>
              <w:rPr>
                <w:rFonts w:ascii="宋体" w:hAnsi="宋体" w:cs="宋体"/>
                <w:color w:val="auto"/>
                <w:highlight w:val="none"/>
              </w:rPr>
            </w:pPr>
          </w:p>
        </w:tc>
        <w:tc>
          <w:tcPr>
            <w:tcW w:w="1880" w:type="dxa"/>
            <w:vAlign w:val="center"/>
          </w:tcPr>
          <w:p w14:paraId="557FB8F5">
            <w:pPr>
              <w:pStyle w:val="276"/>
              <w:jc w:val="center"/>
              <w:rPr>
                <w:rFonts w:ascii="宋体" w:hAnsi="宋体" w:cs="宋体"/>
                <w:color w:val="auto"/>
                <w:highlight w:val="none"/>
              </w:rPr>
            </w:pPr>
          </w:p>
        </w:tc>
        <w:tc>
          <w:tcPr>
            <w:tcW w:w="1485" w:type="dxa"/>
            <w:vAlign w:val="center"/>
          </w:tcPr>
          <w:p w14:paraId="3762D2B1">
            <w:pPr>
              <w:pStyle w:val="276"/>
              <w:jc w:val="center"/>
              <w:rPr>
                <w:rFonts w:ascii="宋体" w:hAnsi="宋体" w:cs="宋体"/>
                <w:color w:val="auto"/>
                <w:highlight w:val="none"/>
              </w:rPr>
            </w:pPr>
          </w:p>
        </w:tc>
      </w:tr>
      <w:tr w14:paraId="1811A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496DB9C9">
            <w:pPr>
              <w:pStyle w:val="276"/>
              <w:jc w:val="center"/>
              <w:rPr>
                <w:rFonts w:ascii="宋体" w:hAnsi="宋体" w:cs="宋体"/>
                <w:color w:val="auto"/>
                <w:highlight w:val="none"/>
              </w:rPr>
            </w:pPr>
            <w:r>
              <w:rPr>
                <w:rFonts w:ascii="宋体" w:hAnsi="宋体" w:cs="宋体"/>
                <w:color w:val="auto"/>
                <w:highlight w:val="none"/>
              </w:rPr>
              <w:t>5</w:t>
            </w:r>
          </w:p>
        </w:tc>
        <w:tc>
          <w:tcPr>
            <w:tcW w:w="2543" w:type="dxa"/>
            <w:vAlign w:val="center"/>
          </w:tcPr>
          <w:p w14:paraId="11600049">
            <w:pPr>
              <w:pStyle w:val="276"/>
              <w:jc w:val="center"/>
              <w:rPr>
                <w:rFonts w:ascii="宋体" w:hAnsi="宋体" w:cs="宋体"/>
                <w:color w:val="auto"/>
                <w:highlight w:val="none"/>
              </w:rPr>
            </w:pPr>
            <w:r>
              <w:rPr>
                <w:rFonts w:ascii="宋体" w:hAnsi="宋体" w:cs="宋体"/>
                <w:color w:val="auto"/>
                <w:kern w:val="0"/>
                <w:szCs w:val="21"/>
                <w:highlight w:val="none"/>
              </w:rPr>
              <w:t xml:space="preserve"> </w:t>
            </w:r>
            <w:r>
              <w:rPr>
                <w:rFonts w:hint="eastAsia" w:ascii="宋体" w:hAnsi="宋体" w:cs="宋体"/>
                <w:color w:val="auto"/>
                <w:highlight w:val="none"/>
              </w:rPr>
              <w:t>监理试验室试验设施费</w:t>
            </w:r>
          </w:p>
        </w:tc>
        <w:tc>
          <w:tcPr>
            <w:tcW w:w="2254" w:type="dxa"/>
            <w:vAlign w:val="center"/>
          </w:tcPr>
          <w:p w14:paraId="4474CE78">
            <w:pPr>
              <w:pStyle w:val="276"/>
              <w:jc w:val="center"/>
              <w:rPr>
                <w:rFonts w:ascii="宋体" w:hAnsi="宋体" w:cs="宋体"/>
                <w:color w:val="auto"/>
                <w:highlight w:val="none"/>
              </w:rPr>
            </w:pPr>
          </w:p>
        </w:tc>
        <w:tc>
          <w:tcPr>
            <w:tcW w:w="1880" w:type="dxa"/>
            <w:vAlign w:val="center"/>
          </w:tcPr>
          <w:p w14:paraId="5B11F239">
            <w:pPr>
              <w:pStyle w:val="276"/>
              <w:jc w:val="center"/>
              <w:rPr>
                <w:rFonts w:ascii="宋体" w:hAnsi="宋体" w:cs="宋体"/>
                <w:color w:val="auto"/>
                <w:highlight w:val="none"/>
              </w:rPr>
            </w:pPr>
          </w:p>
        </w:tc>
        <w:tc>
          <w:tcPr>
            <w:tcW w:w="1485" w:type="dxa"/>
            <w:vAlign w:val="center"/>
          </w:tcPr>
          <w:p w14:paraId="48BD212E">
            <w:pPr>
              <w:pStyle w:val="276"/>
              <w:jc w:val="center"/>
              <w:rPr>
                <w:rFonts w:ascii="宋体" w:hAnsi="宋体" w:cs="宋体"/>
                <w:color w:val="auto"/>
                <w:highlight w:val="none"/>
              </w:rPr>
            </w:pPr>
          </w:p>
        </w:tc>
      </w:tr>
      <w:tr w14:paraId="335A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A0B3E1E">
            <w:pPr>
              <w:pStyle w:val="276"/>
              <w:jc w:val="center"/>
              <w:rPr>
                <w:rFonts w:ascii="宋体" w:hAnsi="宋体" w:cs="宋体"/>
                <w:color w:val="auto"/>
                <w:highlight w:val="none"/>
              </w:rPr>
            </w:pPr>
            <w:r>
              <w:rPr>
                <w:rFonts w:ascii="宋体" w:hAnsi="宋体" w:cs="宋体"/>
                <w:color w:val="auto"/>
                <w:highlight w:val="none"/>
              </w:rPr>
              <w:t>6</w:t>
            </w:r>
          </w:p>
        </w:tc>
        <w:tc>
          <w:tcPr>
            <w:tcW w:w="2543" w:type="dxa"/>
            <w:vAlign w:val="center"/>
          </w:tcPr>
          <w:p w14:paraId="00591025">
            <w:pPr>
              <w:pStyle w:val="276"/>
              <w:jc w:val="center"/>
              <w:rPr>
                <w:rFonts w:ascii="宋体" w:hAnsi="宋体" w:cs="宋体"/>
                <w:color w:val="auto"/>
                <w:highlight w:val="none"/>
              </w:rPr>
            </w:pPr>
            <w:r>
              <w:rPr>
                <w:rFonts w:hint="eastAsia" w:ascii="宋体" w:hAnsi="宋体" w:cs="宋体"/>
                <w:b/>
                <w:bCs/>
                <w:color w:val="auto"/>
                <w:sz w:val="24"/>
                <w:highlight w:val="none"/>
              </w:rPr>
              <w:t>□</w:t>
            </w:r>
            <w:r>
              <w:rPr>
                <w:rFonts w:ascii="宋体" w:hAnsi="宋体" w:cs="宋体"/>
                <w:b/>
                <w:bCs/>
                <w:color w:val="auto"/>
                <w:sz w:val="24"/>
                <w:highlight w:val="none"/>
              </w:rPr>
              <w:t xml:space="preserve"> </w:t>
            </w:r>
            <w:r>
              <w:rPr>
                <w:rFonts w:hint="eastAsia" w:ascii="宋体" w:hAnsi="宋体" w:cs="宋体"/>
                <w:color w:val="auto"/>
                <w:highlight w:val="none"/>
              </w:rPr>
              <w:t>其他</w:t>
            </w:r>
          </w:p>
        </w:tc>
        <w:tc>
          <w:tcPr>
            <w:tcW w:w="2254" w:type="dxa"/>
            <w:vAlign w:val="center"/>
          </w:tcPr>
          <w:p w14:paraId="0B11BF84">
            <w:pPr>
              <w:pStyle w:val="276"/>
              <w:jc w:val="center"/>
              <w:rPr>
                <w:rFonts w:ascii="宋体" w:hAnsi="宋体" w:cs="宋体"/>
                <w:color w:val="auto"/>
                <w:highlight w:val="none"/>
              </w:rPr>
            </w:pPr>
          </w:p>
        </w:tc>
        <w:tc>
          <w:tcPr>
            <w:tcW w:w="1880" w:type="dxa"/>
            <w:vAlign w:val="center"/>
          </w:tcPr>
          <w:p w14:paraId="67562D4C">
            <w:pPr>
              <w:pStyle w:val="276"/>
              <w:jc w:val="center"/>
              <w:rPr>
                <w:rFonts w:ascii="宋体" w:hAnsi="宋体" w:cs="宋体"/>
                <w:color w:val="auto"/>
                <w:highlight w:val="none"/>
              </w:rPr>
            </w:pPr>
          </w:p>
        </w:tc>
        <w:tc>
          <w:tcPr>
            <w:tcW w:w="1485" w:type="dxa"/>
            <w:vAlign w:val="center"/>
          </w:tcPr>
          <w:p w14:paraId="43A1033C">
            <w:pPr>
              <w:pStyle w:val="276"/>
              <w:jc w:val="center"/>
              <w:rPr>
                <w:rFonts w:ascii="宋体" w:hAnsi="宋体" w:cs="宋体"/>
                <w:color w:val="auto"/>
                <w:highlight w:val="none"/>
              </w:rPr>
            </w:pPr>
          </w:p>
        </w:tc>
      </w:tr>
      <w:tr w14:paraId="6B7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431D66C2">
            <w:pPr>
              <w:pStyle w:val="276"/>
              <w:jc w:val="center"/>
              <w:rPr>
                <w:rFonts w:ascii="宋体" w:hAnsi="宋体" w:cs="宋体"/>
                <w:color w:val="auto"/>
                <w:highlight w:val="none"/>
              </w:rPr>
            </w:pPr>
            <w:r>
              <w:rPr>
                <w:rFonts w:ascii="宋体" w:hAnsi="宋体" w:cs="宋体"/>
                <w:color w:val="auto"/>
                <w:highlight w:val="none"/>
              </w:rPr>
              <w:t>7</w:t>
            </w:r>
          </w:p>
        </w:tc>
        <w:tc>
          <w:tcPr>
            <w:tcW w:w="6677" w:type="dxa"/>
            <w:gridSpan w:val="3"/>
            <w:vAlign w:val="center"/>
          </w:tcPr>
          <w:p w14:paraId="2F9ACFAA">
            <w:pPr>
              <w:pStyle w:val="276"/>
              <w:jc w:val="center"/>
              <w:rPr>
                <w:rFonts w:ascii="宋体" w:hAnsi="宋体" w:cs="宋体"/>
                <w:color w:val="auto"/>
                <w:highlight w:val="none"/>
              </w:rPr>
            </w:pPr>
            <w:r>
              <w:rPr>
                <w:rFonts w:hint="eastAsia" w:ascii="宋体" w:hAnsi="宋体" w:cs="宋体"/>
                <w:color w:val="auto"/>
                <w:highlight w:val="none"/>
              </w:rPr>
              <w:t>各项费用合计（</w:t>
            </w:r>
            <w:r>
              <w:rPr>
                <w:rFonts w:ascii="宋体" w:hAnsi="宋体" w:cs="宋体"/>
                <w:color w:val="auto"/>
                <w:highlight w:val="none"/>
              </w:rPr>
              <w:t>7=1+2+3+4+5+6）</w:t>
            </w:r>
          </w:p>
        </w:tc>
        <w:tc>
          <w:tcPr>
            <w:tcW w:w="1485" w:type="dxa"/>
            <w:vAlign w:val="center"/>
          </w:tcPr>
          <w:p w14:paraId="719F83BE">
            <w:pPr>
              <w:pStyle w:val="276"/>
              <w:jc w:val="center"/>
              <w:rPr>
                <w:rFonts w:ascii="宋体" w:hAnsi="宋体" w:cs="宋体"/>
                <w:color w:val="auto"/>
                <w:highlight w:val="none"/>
              </w:rPr>
            </w:pPr>
          </w:p>
        </w:tc>
      </w:tr>
      <w:tr w14:paraId="0B741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69EC620">
            <w:pPr>
              <w:pStyle w:val="276"/>
              <w:jc w:val="center"/>
              <w:rPr>
                <w:rFonts w:ascii="宋体" w:hAnsi="宋体" w:cs="宋体"/>
                <w:color w:val="auto"/>
                <w:highlight w:val="none"/>
              </w:rPr>
            </w:pPr>
            <w:r>
              <w:rPr>
                <w:rFonts w:ascii="宋体" w:hAnsi="宋体" w:cs="宋体"/>
                <w:color w:val="auto"/>
                <w:highlight w:val="none"/>
              </w:rPr>
              <w:t>8</w:t>
            </w:r>
          </w:p>
        </w:tc>
        <w:tc>
          <w:tcPr>
            <w:tcW w:w="6677" w:type="dxa"/>
            <w:gridSpan w:val="3"/>
            <w:vAlign w:val="center"/>
          </w:tcPr>
          <w:p w14:paraId="0411A7F0">
            <w:pPr>
              <w:pStyle w:val="276"/>
              <w:jc w:val="center"/>
              <w:rPr>
                <w:rFonts w:ascii="宋体" w:hAnsi="宋体" w:cs="宋体"/>
                <w:color w:val="auto"/>
                <w:highlight w:val="none"/>
              </w:rPr>
            </w:pPr>
            <w:r>
              <w:rPr>
                <w:rFonts w:hint="eastAsia" w:ascii="宋体" w:hAnsi="宋体" w:cs="宋体"/>
                <w:color w:val="auto"/>
                <w:szCs w:val="21"/>
                <w:highlight w:val="none"/>
              </w:rPr>
              <w:t>利润</w:t>
            </w:r>
          </w:p>
        </w:tc>
        <w:tc>
          <w:tcPr>
            <w:tcW w:w="1485" w:type="dxa"/>
            <w:vAlign w:val="center"/>
          </w:tcPr>
          <w:p w14:paraId="02425F46">
            <w:pPr>
              <w:pStyle w:val="276"/>
              <w:jc w:val="center"/>
              <w:rPr>
                <w:rFonts w:ascii="宋体" w:hAnsi="宋体" w:cs="宋体"/>
                <w:color w:val="auto"/>
                <w:highlight w:val="none"/>
              </w:rPr>
            </w:pPr>
          </w:p>
        </w:tc>
      </w:tr>
      <w:tr w14:paraId="4A1A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26BC922B">
            <w:pPr>
              <w:pStyle w:val="276"/>
              <w:jc w:val="center"/>
              <w:rPr>
                <w:rFonts w:ascii="宋体" w:hAnsi="宋体" w:cs="宋体"/>
                <w:color w:val="auto"/>
                <w:highlight w:val="none"/>
              </w:rPr>
            </w:pPr>
            <w:r>
              <w:rPr>
                <w:rFonts w:ascii="宋体" w:hAnsi="宋体" w:cs="宋体"/>
                <w:color w:val="auto"/>
                <w:highlight w:val="none"/>
              </w:rPr>
              <w:t>9</w:t>
            </w:r>
          </w:p>
        </w:tc>
        <w:tc>
          <w:tcPr>
            <w:tcW w:w="6677" w:type="dxa"/>
            <w:gridSpan w:val="3"/>
            <w:vAlign w:val="center"/>
          </w:tcPr>
          <w:p w14:paraId="34150FA5">
            <w:pPr>
              <w:pStyle w:val="276"/>
              <w:rPr>
                <w:rFonts w:ascii="宋体" w:hAnsi="宋体" w:cs="宋体"/>
                <w:color w:val="auto"/>
                <w:highlight w:val="none"/>
              </w:rPr>
            </w:pPr>
            <w:r>
              <w:rPr>
                <w:rFonts w:hint="eastAsia" w:ascii="宋体" w:hAnsi="宋体" w:cs="宋体"/>
                <w:color w:val="auto"/>
                <w:highlight w:val="none"/>
              </w:rPr>
              <w:t>专项暂估价（招标人最高投标限价中公布金额）</w:t>
            </w:r>
          </w:p>
        </w:tc>
        <w:tc>
          <w:tcPr>
            <w:tcW w:w="1485" w:type="dxa"/>
            <w:vAlign w:val="center"/>
          </w:tcPr>
          <w:p w14:paraId="7231F660">
            <w:pPr>
              <w:pStyle w:val="276"/>
              <w:jc w:val="center"/>
              <w:rPr>
                <w:rFonts w:ascii="宋体" w:hAnsi="宋体" w:cs="宋体"/>
                <w:color w:val="auto"/>
                <w:highlight w:val="none"/>
              </w:rPr>
            </w:pPr>
          </w:p>
        </w:tc>
      </w:tr>
      <w:tr w14:paraId="5BE99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18AE3E9C">
            <w:pPr>
              <w:pStyle w:val="276"/>
              <w:jc w:val="center"/>
              <w:rPr>
                <w:rFonts w:ascii="宋体" w:hAnsi="宋体" w:cs="宋体"/>
                <w:color w:val="auto"/>
                <w:highlight w:val="none"/>
              </w:rPr>
            </w:pPr>
            <w:r>
              <w:rPr>
                <w:rFonts w:ascii="宋体" w:hAnsi="宋体" w:cs="宋体"/>
                <w:color w:val="auto"/>
                <w:highlight w:val="none"/>
              </w:rPr>
              <w:t>10</w:t>
            </w:r>
          </w:p>
        </w:tc>
        <w:tc>
          <w:tcPr>
            <w:tcW w:w="6677" w:type="dxa"/>
            <w:gridSpan w:val="3"/>
            <w:vAlign w:val="center"/>
          </w:tcPr>
          <w:p w14:paraId="66B0EBD3">
            <w:pPr>
              <w:pStyle w:val="276"/>
              <w:rPr>
                <w:rFonts w:ascii="宋体" w:hAnsi="宋体" w:cs="宋体"/>
                <w:color w:val="auto"/>
                <w:highlight w:val="none"/>
              </w:rPr>
            </w:pPr>
            <w:r>
              <w:rPr>
                <w:rFonts w:hint="eastAsia" w:ascii="宋体" w:hAnsi="宋体" w:cs="宋体"/>
                <w:color w:val="auto"/>
                <w:highlight w:val="none"/>
              </w:rPr>
              <w:t>暂列金额（招标人最高投标限价中公布金额）</w:t>
            </w:r>
          </w:p>
        </w:tc>
        <w:tc>
          <w:tcPr>
            <w:tcW w:w="1485" w:type="dxa"/>
            <w:vAlign w:val="center"/>
          </w:tcPr>
          <w:p w14:paraId="1A745FD5">
            <w:pPr>
              <w:pStyle w:val="276"/>
              <w:jc w:val="center"/>
              <w:rPr>
                <w:rFonts w:ascii="宋体" w:hAnsi="宋体" w:cs="宋体"/>
                <w:color w:val="auto"/>
                <w:highlight w:val="none"/>
              </w:rPr>
            </w:pPr>
          </w:p>
        </w:tc>
      </w:tr>
      <w:tr w14:paraId="1E4F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14:paraId="580C4D07">
            <w:pPr>
              <w:pStyle w:val="276"/>
              <w:jc w:val="center"/>
              <w:rPr>
                <w:rFonts w:ascii="宋体" w:hAnsi="宋体" w:cs="宋体"/>
                <w:color w:val="auto"/>
                <w:highlight w:val="none"/>
              </w:rPr>
            </w:pPr>
            <w:r>
              <w:rPr>
                <w:rFonts w:ascii="宋体" w:hAnsi="宋体" w:cs="宋体"/>
                <w:color w:val="auto"/>
                <w:highlight w:val="none"/>
              </w:rPr>
              <w:t>11</w:t>
            </w:r>
          </w:p>
        </w:tc>
        <w:tc>
          <w:tcPr>
            <w:tcW w:w="6677" w:type="dxa"/>
            <w:gridSpan w:val="3"/>
            <w:vAlign w:val="center"/>
          </w:tcPr>
          <w:p w14:paraId="05B91382">
            <w:pPr>
              <w:pStyle w:val="276"/>
              <w:jc w:val="center"/>
              <w:rPr>
                <w:rFonts w:ascii="宋体" w:hAnsi="宋体" w:cs="宋体"/>
                <w:color w:val="auto"/>
                <w:highlight w:val="none"/>
              </w:rPr>
            </w:pPr>
            <w:r>
              <w:rPr>
                <w:rFonts w:hint="eastAsia" w:ascii="宋体" w:hAnsi="宋体" w:cs="宋体"/>
                <w:color w:val="auto"/>
                <w:highlight w:val="none"/>
              </w:rPr>
              <w:t>投标报价总计（</w:t>
            </w:r>
            <w:r>
              <w:rPr>
                <w:rFonts w:ascii="宋体" w:hAnsi="宋体" w:cs="宋体"/>
                <w:color w:val="auto"/>
                <w:highlight w:val="none"/>
              </w:rPr>
              <w:t>11=7+8+9+10）</w:t>
            </w:r>
          </w:p>
        </w:tc>
        <w:tc>
          <w:tcPr>
            <w:tcW w:w="1485" w:type="dxa"/>
            <w:vAlign w:val="center"/>
          </w:tcPr>
          <w:p w14:paraId="1058D4AD">
            <w:pPr>
              <w:pStyle w:val="276"/>
              <w:jc w:val="center"/>
              <w:rPr>
                <w:rFonts w:ascii="宋体" w:hAnsi="宋体" w:cs="宋体"/>
                <w:color w:val="auto"/>
                <w:highlight w:val="none"/>
              </w:rPr>
            </w:pPr>
          </w:p>
        </w:tc>
      </w:tr>
    </w:tbl>
    <w:p w14:paraId="62E0E1C3">
      <w:pPr>
        <w:pStyle w:val="276"/>
        <w:jc w:val="center"/>
        <w:rPr>
          <w:rFonts w:ascii="宋体" w:hAnsi="宋体" w:cs="宋体"/>
          <w:color w:val="auto"/>
          <w:highlight w:val="none"/>
        </w:rPr>
      </w:pPr>
    </w:p>
    <w:p w14:paraId="625DD739">
      <w:pPr>
        <w:pStyle w:val="276"/>
        <w:rPr>
          <w:rFonts w:ascii="宋体" w:hAnsi="宋体" w:cs="宋体"/>
          <w:color w:val="auto"/>
          <w:highlight w:val="none"/>
        </w:rPr>
      </w:pPr>
      <w:r>
        <w:rPr>
          <w:rFonts w:hint="eastAsia" w:ascii="宋体" w:hAnsi="宋体" w:cs="宋体"/>
          <w:color w:val="auto"/>
          <w:highlight w:val="none"/>
        </w:rPr>
        <w:t>注：</w:t>
      </w:r>
      <w:r>
        <w:rPr>
          <w:rFonts w:hint="eastAsia" w:ascii="宋体" w:hAnsi="宋体" w:cs="宋体"/>
          <w:color w:val="auto"/>
          <w:szCs w:val="21"/>
          <w:highlight w:val="none"/>
        </w:rPr>
        <w:t>本表各栏金额应与各附表金额一致，当不一致时以本表为准。</w:t>
      </w:r>
    </w:p>
    <w:p w14:paraId="07DEB156">
      <w:pPr>
        <w:framePr w:hSpace="180" w:wrap="around" w:vAnchor="text" w:hAnchor="margin" w:xAlign="center" w:y="480"/>
        <w:widowControl/>
        <w:adjustRightInd w:val="0"/>
        <w:snapToGrid w:val="0"/>
        <w:rPr>
          <w:rFonts w:ascii="宋体" w:hAnsi="宋体" w:cs="宋体"/>
          <w:color w:val="auto"/>
          <w:szCs w:val="21"/>
          <w:highlight w:val="none"/>
        </w:rPr>
      </w:pPr>
    </w:p>
    <w:p w14:paraId="777C3F68">
      <w:pPr>
        <w:pStyle w:val="276"/>
        <w:ind w:firstLine="420" w:firstLineChars="200"/>
        <w:rPr>
          <w:rFonts w:ascii="宋体" w:hAnsi="宋体" w:cs="宋体"/>
          <w:color w:val="auto"/>
          <w:highlight w:val="none"/>
        </w:rPr>
      </w:pPr>
    </w:p>
    <w:p w14:paraId="10707CF9">
      <w:pPr>
        <w:pStyle w:val="276"/>
        <w:spacing w:line="360" w:lineRule="auto"/>
        <w:jc w:val="center"/>
        <w:rPr>
          <w:rFonts w:ascii="黑体" w:hAnsi="黑体" w:eastAsia="黑体" w:cs="宋体"/>
          <w:color w:val="auto"/>
          <w:sz w:val="24"/>
          <w:highlight w:val="none"/>
        </w:rPr>
      </w:pPr>
      <w:r>
        <w:rPr>
          <w:rFonts w:ascii="宋体" w:hAnsi="宋体" w:cs="宋体"/>
          <w:b/>
          <w:color w:val="auto"/>
          <w:sz w:val="24"/>
          <w:highlight w:val="none"/>
        </w:rPr>
        <w:br w:type="page"/>
      </w:r>
      <w:r>
        <w:rPr>
          <w:rFonts w:hint="eastAsia" w:ascii="黑体" w:hAnsi="黑体" w:eastAsia="黑体" w:cs="宋体"/>
          <w:color w:val="auto"/>
          <w:sz w:val="24"/>
          <w:highlight w:val="none"/>
        </w:rPr>
        <w:t>表</w:t>
      </w:r>
      <w:r>
        <w:rPr>
          <w:rFonts w:ascii="黑体" w:hAnsi="黑体" w:eastAsia="黑体" w:cs="宋体"/>
          <w:color w:val="auto"/>
          <w:sz w:val="24"/>
          <w:highlight w:val="none"/>
        </w:rPr>
        <w:t xml:space="preserve"> 2</w:t>
      </w:r>
      <w:r>
        <w:rPr>
          <w:rFonts w:ascii="黑体" w:hAnsi="黑体" w:eastAsia="黑体" w:cs="宋体"/>
          <w:color w:val="auto"/>
          <w:sz w:val="24"/>
          <w:highlight w:val="none"/>
        </w:rPr>
        <w:tab/>
      </w:r>
      <w:r>
        <w:rPr>
          <w:rFonts w:hint="eastAsia" w:ascii="黑体" w:hAnsi="黑体" w:eastAsia="黑体" w:cs="宋体"/>
          <w:color w:val="auto"/>
          <w:sz w:val="24"/>
          <w:highlight w:val="none"/>
        </w:rPr>
        <w:t>监理试验室人员服务费报价表</w:t>
      </w:r>
    </w:p>
    <w:tbl>
      <w:tblPr>
        <w:tblStyle w:val="48"/>
        <w:tblW w:w="90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6"/>
        <w:gridCol w:w="1901"/>
        <w:gridCol w:w="625"/>
        <w:gridCol w:w="1832"/>
        <w:gridCol w:w="924"/>
        <w:gridCol w:w="536"/>
        <w:gridCol w:w="1737"/>
        <w:gridCol w:w="1015"/>
      </w:tblGrid>
      <w:tr w14:paraId="18343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exact"/>
        </w:trPr>
        <w:tc>
          <w:tcPr>
            <w:tcW w:w="466" w:type="dxa"/>
            <w:vMerge w:val="restart"/>
            <w:vAlign w:val="center"/>
          </w:tcPr>
          <w:p w14:paraId="1DB949AA">
            <w:pPr>
              <w:pStyle w:val="276"/>
              <w:jc w:val="center"/>
              <w:rPr>
                <w:rFonts w:ascii="宋体" w:hAnsi="宋体" w:cs="宋体"/>
                <w:color w:val="auto"/>
                <w:highlight w:val="none"/>
              </w:rPr>
            </w:pPr>
            <w:r>
              <w:rPr>
                <w:rFonts w:hint="eastAsia" w:ascii="宋体" w:hAnsi="宋体" w:cs="宋体"/>
                <w:color w:val="auto"/>
                <w:highlight w:val="none"/>
              </w:rPr>
              <w:t>序</w:t>
            </w:r>
          </w:p>
          <w:p w14:paraId="64A7A3AF">
            <w:pPr>
              <w:pStyle w:val="276"/>
              <w:jc w:val="center"/>
              <w:rPr>
                <w:rFonts w:ascii="宋体" w:hAnsi="宋体" w:cs="宋体"/>
                <w:color w:val="auto"/>
                <w:highlight w:val="none"/>
              </w:rPr>
            </w:pPr>
            <w:r>
              <w:rPr>
                <w:rFonts w:hint="eastAsia" w:ascii="宋体" w:hAnsi="宋体" w:cs="宋体"/>
                <w:color w:val="auto"/>
                <w:highlight w:val="none"/>
              </w:rPr>
              <w:t>号</w:t>
            </w:r>
          </w:p>
        </w:tc>
        <w:tc>
          <w:tcPr>
            <w:tcW w:w="1901" w:type="dxa"/>
            <w:vMerge w:val="restart"/>
            <w:vAlign w:val="center"/>
          </w:tcPr>
          <w:p w14:paraId="5082994D">
            <w:pPr>
              <w:pStyle w:val="276"/>
              <w:jc w:val="center"/>
              <w:rPr>
                <w:rFonts w:ascii="宋体" w:hAnsi="宋体" w:cs="宋体"/>
                <w:color w:val="auto"/>
                <w:highlight w:val="none"/>
              </w:rPr>
            </w:pPr>
            <w:r>
              <w:rPr>
                <w:rFonts w:hint="eastAsia" w:ascii="宋体" w:hAnsi="宋体" w:cs="宋体"/>
                <w:color w:val="auto"/>
                <w:highlight w:val="none"/>
              </w:rPr>
              <w:t>人员</w:t>
            </w:r>
          </w:p>
        </w:tc>
        <w:tc>
          <w:tcPr>
            <w:tcW w:w="3381" w:type="dxa"/>
            <w:gridSpan w:val="3"/>
            <w:vAlign w:val="center"/>
          </w:tcPr>
          <w:p w14:paraId="2606D7CE">
            <w:pPr>
              <w:pStyle w:val="276"/>
              <w:jc w:val="center"/>
              <w:rPr>
                <w:rFonts w:ascii="宋体" w:hAnsi="宋体" w:cs="宋体"/>
                <w:color w:val="auto"/>
                <w:highlight w:val="none"/>
              </w:rPr>
            </w:pPr>
            <w:r>
              <w:rPr>
                <w:rFonts w:hint="eastAsia" w:ascii="宋体" w:hAnsi="宋体" w:cs="宋体"/>
                <w:color w:val="auto"/>
                <w:highlight w:val="none"/>
              </w:rPr>
              <w:t>施工期（含施工准备期）</w:t>
            </w:r>
          </w:p>
        </w:tc>
        <w:tc>
          <w:tcPr>
            <w:tcW w:w="3288" w:type="dxa"/>
            <w:gridSpan w:val="3"/>
            <w:vAlign w:val="center"/>
          </w:tcPr>
          <w:p w14:paraId="24D729A1">
            <w:pPr>
              <w:pStyle w:val="276"/>
              <w:jc w:val="center"/>
              <w:rPr>
                <w:rFonts w:ascii="宋体" w:hAnsi="宋体" w:cs="宋体"/>
                <w:color w:val="auto"/>
                <w:highlight w:val="none"/>
              </w:rPr>
            </w:pPr>
            <w:r>
              <w:rPr>
                <w:rFonts w:hint="eastAsia" w:ascii="宋体" w:hAnsi="宋体" w:cs="宋体"/>
                <w:color w:val="auto"/>
                <w:highlight w:val="none"/>
              </w:rPr>
              <w:t>缺陷责任期</w:t>
            </w:r>
          </w:p>
        </w:tc>
      </w:tr>
      <w:tr w14:paraId="5B28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5" w:hRule="exact"/>
        </w:trPr>
        <w:tc>
          <w:tcPr>
            <w:tcW w:w="466" w:type="dxa"/>
            <w:vMerge w:val="continue"/>
            <w:vAlign w:val="center"/>
          </w:tcPr>
          <w:p w14:paraId="1A4268E5">
            <w:pPr>
              <w:pStyle w:val="276"/>
              <w:jc w:val="center"/>
              <w:rPr>
                <w:rFonts w:ascii="宋体" w:hAnsi="宋体" w:cs="宋体"/>
                <w:color w:val="auto"/>
                <w:highlight w:val="none"/>
              </w:rPr>
            </w:pPr>
          </w:p>
        </w:tc>
        <w:tc>
          <w:tcPr>
            <w:tcW w:w="1901" w:type="dxa"/>
            <w:vMerge w:val="continue"/>
            <w:vAlign w:val="center"/>
          </w:tcPr>
          <w:p w14:paraId="7483CA96">
            <w:pPr>
              <w:pStyle w:val="276"/>
              <w:jc w:val="center"/>
              <w:rPr>
                <w:rFonts w:ascii="宋体" w:hAnsi="宋体" w:cs="宋体"/>
                <w:color w:val="auto"/>
                <w:highlight w:val="none"/>
              </w:rPr>
            </w:pPr>
          </w:p>
        </w:tc>
        <w:tc>
          <w:tcPr>
            <w:tcW w:w="625" w:type="dxa"/>
            <w:vAlign w:val="center"/>
          </w:tcPr>
          <w:p w14:paraId="1D700CDC">
            <w:pPr>
              <w:pStyle w:val="276"/>
              <w:jc w:val="center"/>
              <w:rPr>
                <w:rFonts w:ascii="宋体" w:hAnsi="宋体" w:cs="宋体"/>
                <w:color w:val="auto"/>
                <w:highlight w:val="none"/>
              </w:rPr>
            </w:pPr>
            <w:r>
              <w:rPr>
                <w:rFonts w:hint="eastAsia" w:ascii="宋体" w:hAnsi="宋体" w:cs="宋体"/>
                <w:color w:val="auto"/>
                <w:highlight w:val="none"/>
              </w:rPr>
              <w:t>数量</w:t>
            </w:r>
          </w:p>
        </w:tc>
        <w:tc>
          <w:tcPr>
            <w:tcW w:w="1832" w:type="dxa"/>
            <w:vAlign w:val="center"/>
          </w:tcPr>
          <w:p w14:paraId="1855D23E">
            <w:pPr>
              <w:pStyle w:val="276"/>
              <w:jc w:val="center"/>
              <w:rPr>
                <w:rFonts w:ascii="宋体" w:hAnsi="宋体" w:cs="宋体"/>
                <w:color w:val="auto"/>
                <w:highlight w:val="none"/>
              </w:rPr>
            </w:pPr>
            <w:r>
              <w:rPr>
                <w:rFonts w:hint="eastAsia" w:ascii="宋体" w:hAnsi="宋体" w:cs="宋体"/>
                <w:color w:val="auto"/>
                <w:highlight w:val="none"/>
              </w:rPr>
              <w:t>单价</w:t>
            </w:r>
          </w:p>
          <w:p w14:paraId="10BF88FB">
            <w:pPr>
              <w:pStyle w:val="276"/>
              <w:jc w:val="center"/>
              <w:rPr>
                <w:rFonts w:ascii="宋体" w:hAnsi="宋体" w:cs="宋体"/>
                <w:color w:val="auto"/>
                <w:highlight w:val="none"/>
              </w:rPr>
            </w:pP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元</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lang w:eastAsia="zh-CN"/>
                <w14:textFill>
                  <w14:solidFill>
                    <w14:schemeClr w14:val="tx1"/>
                  </w14:solidFill>
                </w14:textFill>
              </w:rPr>
              <w:t>（</w:t>
            </w:r>
            <w:r>
              <w:rPr>
                <w:rFonts w:ascii="宋体" w:hAnsi="宋体" w:cs="宋体"/>
                <w:color w:val="000000" w:themeColor="text1"/>
                <w14:textFill>
                  <w14:solidFill>
                    <w14:schemeClr w14:val="tx1"/>
                  </w14:solidFill>
                </w14:textFill>
              </w:rPr>
              <w:t>人</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p>
        </w:tc>
        <w:tc>
          <w:tcPr>
            <w:tcW w:w="924" w:type="dxa"/>
            <w:vAlign w:val="center"/>
          </w:tcPr>
          <w:p w14:paraId="60F78161">
            <w:pPr>
              <w:pStyle w:val="276"/>
              <w:jc w:val="center"/>
              <w:rPr>
                <w:rFonts w:ascii="宋体" w:hAnsi="宋体" w:cs="宋体"/>
                <w:color w:val="auto"/>
                <w:highlight w:val="none"/>
              </w:rPr>
            </w:pPr>
            <w:r>
              <w:rPr>
                <w:rFonts w:hint="eastAsia" w:ascii="宋体" w:hAnsi="宋体" w:cs="宋体"/>
                <w:color w:val="auto"/>
                <w:highlight w:val="none"/>
              </w:rPr>
              <w:t>金额（元）</w:t>
            </w:r>
          </w:p>
        </w:tc>
        <w:tc>
          <w:tcPr>
            <w:tcW w:w="536" w:type="dxa"/>
            <w:vAlign w:val="center"/>
          </w:tcPr>
          <w:p w14:paraId="57D4F8D2">
            <w:pPr>
              <w:pStyle w:val="276"/>
              <w:jc w:val="center"/>
              <w:rPr>
                <w:rFonts w:ascii="宋体" w:hAnsi="宋体" w:cs="宋体"/>
                <w:color w:val="auto"/>
                <w:highlight w:val="none"/>
              </w:rPr>
            </w:pPr>
            <w:r>
              <w:rPr>
                <w:rFonts w:hint="eastAsia" w:ascii="宋体" w:hAnsi="宋体" w:cs="宋体"/>
                <w:color w:val="auto"/>
                <w:highlight w:val="none"/>
              </w:rPr>
              <w:t>数量</w:t>
            </w:r>
          </w:p>
        </w:tc>
        <w:tc>
          <w:tcPr>
            <w:tcW w:w="1737" w:type="dxa"/>
            <w:vAlign w:val="center"/>
          </w:tcPr>
          <w:p w14:paraId="0877A176">
            <w:pPr>
              <w:pStyle w:val="276"/>
              <w:jc w:val="center"/>
              <w:rPr>
                <w:rFonts w:ascii="宋体" w:hAnsi="宋体" w:cs="宋体"/>
                <w:color w:val="auto"/>
                <w:highlight w:val="none"/>
              </w:rPr>
            </w:pPr>
            <w:r>
              <w:rPr>
                <w:rFonts w:hint="eastAsia" w:ascii="宋体" w:hAnsi="宋体" w:cs="宋体"/>
                <w:color w:val="auto"/>
                <w:highlight w:val="none"/>
              </w:rPr>
              <w:t>单价</w:t>
            </w:r>
          </w:p>
          <w:p w14:paraId="09E382CA">
            <w:pPr>
              <w:pStyle w:val="276"/>
              <w:jc w:val="center"/>
              <w:rPr>
                <w:rFonts w:ascii="宋体" w:hAnsi="宋体" w:cs="宋体"/>
                <w:color w:val="auto"/>
                <w:highlight w:val="none"/>
              </w:rPr>
            </w:pPr>
            <w:r>
              <w:rPr>
                <w:rFonts w:hint="eastAsia" w:ascii="宋体" w:hAnsi="宋体" w:eastAsia="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元</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lang w:eastAsia="zh-CN"/>
                <w14:textFill>
                  <w14:solidFill>
                    <w14:schemeClr w14:val="tx1"/>
                  </w14:solidFill>
                </w14:textFill>
              </w:rPr>
              <w:t>（</w:t>
            </w:r>
            <w:r>
              <w:rPr>
                <w:rFonts w:ascii="宋体" w:hAnsi="宋体" w:cs="宋体"/>
                <w:color w:val="000000" w:themeColor="text1"/>
                <w14:textFill>
                  <w14:solidFill>
                    <w14:schemeClr w14:val="tx1"/>
                  </w14:solidFill>
                </w14:textFill>
              </w:rPr>
              <w:t>人</w:t>
            </w:r>
            <w:r>
              <w:rPr>
                <w:rFonts w:hint="eastAsia" w:ascii="宋体" w:hAnsi="宋体" w:cs="宋体"/>
                <w:color w:val="000000" w:themeColor="text1"/>
                <w14:textFill>
                  <w14:solidFill>
                    <w14:schemeClr w14:val="tx1"/>
                  </w14:solidFill>
                </w14:textFill>
              </w:rPr>
              <w:t>·月</w:t>
            </w:r>
            <w:r>
              <w:rPr>
                <w:rFonts w:hint="eastAsia" w:ascii="宋体" w:hAnsi="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w:t>
            </w:r>
          </w:p>
        </w:tc>
        <w:tc>
          <w:tcPr>
            <w:tcW w:w="1015" w:type="dxa"/>
            <w:vAlign w:val="center"/>
          </w:tcPr>
          <w:p w14:paraId="52693C9F">
            <w:pPr>
              <w:pStyle w:val="276"/>
              <w:jc w:val="center"/>
              <w:rPr>
                <w:rFonts w:ascii="宋体" w:hAnsi="宋体" w:cs="宋体"/>
                <w:color w:val="auto"/>
                <w:highlight w:val="none"/>
              </w:rPr>
            </w:pPr>
            <w:r>
              <w:rPr>
                <w:rFonts w:hint="eastAsia" w:ascii="宋体" w:hAnsi="宋体" w:cs="宋体"/>
                <w:color w:val="auto"/>
                <w:highlight w:val="none"/>
              </w:rPr>
              <w:t>金额（元）</w:t>
            </w:r>
          </w:p>
        </w:tc>
      </w:tr>
      <w:tr w14:paraId="27B8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466" w:type="dxa"/>
            <w:vAlign w:val="center"/>
          </w:tcPr>
          <w:p w14:paraId="268D2DEE">
            <w:pPr>
              <w:pStyle w:val="276"/>
              <w:jc w:val="center"/>
              <w:rPr>
                <w:rFonts w:ascii="宋体" w:hAnsi="宋体" w:cs="宋体"/>
                <w:color w:val="auto"/>
                <w:highlight w:val="none"/>
              </w:rPr>
            </w:pPr>
            <w:r>
              <w:rPr>
                <w:rFonts w:ascii="宋体" w:hAnsi="宋体" w:cs="宋体"/>
                <w:color w:val="auto"/>
                <w:highlight w:val="none"/>
              </w:rPr>
              <w:t>1</w:t>
            </w:r>
          </w:p>
        </w:tc>
        <w:tc>
          <w:tcPr>
            <w:tcW w:w="1901" w:type="dxa"/>
            <w:vAlign w:val="center"/>
          </w:tcPr>
          <w:p w14:paraId="0A8A1BE4">
            <w:pPr>
              <w:pStyle w:val="276"/>
              <w:jc w:val="center"/>
              <w:rPr>
                <w:rFonts w:ascii="宋体" w:hAnsi="宋体" w:cs="宋体"/>
                <w:color w:val="auto"/>
                <w:highlight w:val="none"/>
              </w:rPr>
            </w:pPr>
            <w:r>
              <w:rPr>
                <w:rFonts w:hint="eastAsia" w:ascii="宋体" w:hAnsi="宋体" w:cs="宋体"/>
                <w:color w:val="auto"/>
                <w:highlight w:val="none"/>
              </w:rPr>
              <w:t>试验室主任</w:t>
            </w:r>
          </w:p>
        </w:tc>
        <w:tc>
          <w:tcPr>
            <w:tcW w:w="625" w:type="dxa"/>
            <w:vAlign w:val="center"/>
          </w:tcPr>
          <w:p w14:paraId="7F0D60A2">
            <w:pPr>
              <w:pStyle w:val="276"/>
              <w:jc w:val="center"/>
              <w:rPr>
                <w:rFonts w:ascii="宋体" w:hAnsi="宋体" w:cs="宋体"/>
                <w:color w:val="auto"/>
                <w:highlight w:val="none"/>
              </w:rPr>
            </w:pPr>
          </w:p>
        </w:tc>
        <w:tc>
          <w:tcPr>
            <w:tcW w:w="1832" w:type="dxa"/>
            <w:vAlign w:val="center"/>
          </w:tcPr>
          <w:p w14:paraId="2BD8DFA7">
            <w:pPr>
              <w:pStyle w:val="276"/>
              <w:jc w:val="center"/>
              <w:rPr>
                <w:rFonts w:ascii="宋体" w:hAnsi="宋体" w:cs="宋体"/>
                <w:color w:val="auto"/>
                <w:highlight w:val="none"/>
              </w:rPr>
            </w:pPr>
          </w:p>
        </w:tc>
        <w:tc>
          <w:tcPr>
            <w:tcW w:w="924" w:type="dxa"/>
            <w:vAlign w:val="center"/>
          </w:tcPr>
          <w:p w14:paraId="5C6DE964">
            <w:pPr>
              <w:pStyle w:val="276"/>
              <w:jc w:val="center"/>
              <w:rPr>
                <w:rFonts w:ascii="宋体" w:hAnsi="宋体" w:cs="宋体"/>
                <w:color w:val="auto"/>
                <w:highlight w:val="none"/>
              </w:rPr>
            </w:pPr>
          </w:p>
        </w:tc>
        <w:tc>
          <w:tcPr>
            <w:tcW w:w="536" w:type="dxa"/>
            <w:vAlign w:val="center"/>
          </w:tcPr>
          <w:p w14:paraId="37788F42">
            <w:pPr>
              <w:pStyle w:val="276"/>
              <w:jc w:val="center"/>
              <w:rPr>
                <w:rFonts w:ascii="宋体" w:hAnsi="宋体" w:cs="宋体"/>
                <w:color w:val="auto"/>
                <w:highlight w:val="none"/>
              </w:rPr>
            </w:pPr>
          </w:p>
        </w:tc>
        <w:tc>
          <w:tcPr>
            <w:tcW w:w="1737" w:type="dxa"/>
            <w:vAlign w:val="center"/>
          </w:tcPr>
          <w:p w14:paraId="1502505E">
            <w:pPr>
              <w:pStyle w:val="276"/>
              <w:jc w:val="center"/>
              <w:rPr>
                <w:rFonts w:ascii="宋体" w:hAnsi="宋体" w:cs="宋体"/>
                <w:color w:val="auto"/>
                <w:highlight w:val="none"/>
              </w:rPr>
            </w:pPr>
          </w:p>
        </w:tc>
        <w:tc>
          <w:tcPr>
            <w:tcW w:w="1015" w:type="dxa"/>
            <w:vAlign w:val="center"/>
          </w:tcPr>
          <w:p w14:paraId="32DD6D5E">
            <w:pPr>
              <w:pStyle w:val="276"/>
              <w:jc w:val="center"/>
              <w:rPr>
                <w:rFonts w:ascii="宋体" w:hAnsi="宋体" w:cs="宋体"/>
                <w:color w:val="auto"/>
                <w:highlight w:val="none"/>
              </w:rPr>
            </w:pPr>
          </w:p>
        </w:tc>
      </w:tr>
      <w:tr w14:paraId="7095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466" w:type="dxa"/>
            <w:vAlign w:val="center"/>
          </w:tcPr>
          <w:p w14:paraId="4541408E">
            <w:pPr>
              <w:pStyle w:val="276"/>
              <w:jc w:val="center"/>
              <w:rPr>
                <w:rFonts w:ascii="宋体" w:hAnsi="宋体" w:cs="宋体"/>
                <w:color w:val="auto"/>
                <w:highlight w:val="none"/>
              </w:rPr>
            </w:pPr>
            <w:r>
              <w:rPr>
                <w:rFonts w:ascii="宋体" w:hAnsi="宋体" w:cs="宋体"/>
                <w:color w:val="auto"/>
                <w:highlight w:val="none"/>
              </w:rPr>
              <w:t>2</w:t>
            </w:r>
          </w:p>
        </w:tc>
        <w:tc>
          <w:tcPr>
            <w:tcW w:w="1901" w:type="dxa"/>
            <w:vAlign w:val="center"/>
          </w:tcPr>
          <w:p w14:paraId="650D5EA7">
            <w:pPr>
              <w:pStyle w:val="276"/>
              <w:jc w:val="center"/>
              <w:rPr>
                <w:rFonts w:ascii="宋体" w:hAnsi="宋体" w:cs="宋体"/>
                <w:color w:val="auto"/>
                <w:highlight w:val="none"/>
              </w:rPr>
            </w:pPr>
            <w:r>
              <w:rPr>
                <w:rFonts w:hint="eastAsia" w:ascii="宋体" w:hAnsi="宋体" w:cs="宋体"/>
                <w:color w:val="auto"/>
                <w:highlight w:val="none"/>
              </w:rPr>
              <w:t>技术负责人</w:t>
            </w:r>
          </w:p>
        </w:tc>
        <w:tc>
          <w:tcPr>
            <w:tcW w:w="625" w:type="dxa"/>
            <w:vAlign w:val="center"/>
          </w:tcPr>
          <w:p w14:paraId="6CD04AF7">
            <w:pPr>
              <w:pStyle w:val="276"/>
              <w:jc w:val="center"/>
              <w:rPr>
                <w:rFonts w:ascii="宋体" w:hAnsi="宋体" w:cs="宋体"/>
                <w:color w:val="auto"/>
                <w:highlight w:val="none"/>
              </w:rPr>
            </w:pPr>
          </w:p>
        </w:tc>
        <w:tc>
          <w:tcPr>
            <w:tcW w:w="1832" w:type="dxa"/>
            <w:vAlign w:val="center"/>
          </w:tcPr>
          <w:p w14:paraId="564E67EC">
            <w:pPr>
              <w:pStyle w:val="276"/>
              <w:jc w:val="center"/>
              <w:rPr>
                <w:rFonts w:ascii="宋体" w:hAnsi="宋体" w:cs="宋体"/>
                <w:color w:val="auto"/>
                <w:highlight w:val="none"/>
              </w:rPr>
            </w:pPr>
          </w:p>
        </w:tc>
        <w:tc>
          <w:tcPr>
            <w:tcW w:w="924" w:type="dxa"/>
            <w:vAlign w:val="center"/>
          </w:tcPr>
          <w:p w14:paraId="45CA3ACD">
            <w:pPr>
              <w:pStyle w:val="276"/>
              <w:jc w:val="center"/>
              <w:rPr>
                <w:rFonts w:ascii="宋体" w:hAnsi="宋体" w:cs="宋体"/>
                <w:color w:val="auto"/>
                <w:highlight w:val="none"/>
              </w:rPr>
            </w:pPr>
          </w:p>
        </w:tc>
        <w:tc>
          <w:tcPr>
            <w:tcW w:w="536" w:type="dxa"/>
            <w:vAlign w:val="center"/>
          </w:tcPr>
          <w:p w14:paraId="41B991DF">
            <w:pPr>
              <w:pStyle w:val="276"/>
              <w:jc w:val="center"/>
              <w:rPr>
                <w:rFonts w:ascii="宋体" w:hAnsi="宋体" w:cs="宋体"/>
                <w:color w:val="auto"/>
                <w:highlight w:val="none"/>
              </w:rPr>
            </w:pPr>
          </w:p>
        </w:tc>
        <w:tc>
          <w:tcPr>
            <w:tcW w:w="1737" w:type="dxa"/>
            <w:vAlign w:val="center"/>
          </w:tcPr>
          <w:p w14:paraId="5A2D7E4C">
            <w:pPr>
              <w:pStyle w:val="276"/>
              <w:jc w:val="center"/>
              <w:rPr>
                <w:rFonts w:ascii="宋体" w:hAnsi="宋体" w:cs="宋体"/>
                <w:color w:val="auto"/>
                <w:highlight w:val="none"/>
              </w:rPr>
            </w:pPr>
          </w:p>
        </w:tc>
        <w:tc>
          <w:tcPr>
            <w:tcW w:w="1015" w:type="dxa"/>
            <w:vAlign w:val="center"/>
          </w:tcPr>
          <w:p w14:paraId="5408AB0D">
            <w:pPr>
              <w:pStyle w:val="276"/>
              <w:jc w:val="center"/>
              <w:rPr>
                <w:rFonts w:ascii="宋体" w:hAnsi="宋体" w:cs="宋体"/>
                <w:color w:val="auto"/>
                <w:highlight w:val="none"/>
              </w:rPr>
            </w:pPr>
          </w:p>
        </w:tc>
      </w:tr>
      <w:tr w14:paraId="0C08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466" w:type="dxa"/>
            <w:vAlign w:val="center"/>
          </w:tcPr>
          <w:p w14:paraId="0DC8D1C9">
            <w:pPr>
              <w:pStyle w:val="276"/>
              <w:jc w:val="center"/>
              <w:rPr>
                <w:rFonts w:ascii="宋体" w:hAnsi="宋体" w:cs="宋体"/>
                <w:color w:val="auto"/>
                <w:highlight w:val="none"/>
              </w:rPr>
            </w:pPr>
            <w:r>
              <w:rPr>
                <w:rFonts w:ascii="宋体" w:hAnsi="宋体" w:cs="宋体"/>
                <w:color w:val="auto"/>
                <w:highlight w:val="none"/>
              </w:rPr>
              <w:t>3</w:t>
            </w:r>
          </w:p>
        </w:tc>
        <w:tc>
          <w:tcPr>
            <w:tcW w:w="1901" w:type="dxa"/>
            <w:vAlign w:val="center"/>
          </w:tcPr>
          <w:p w14:paraId="207022F2">
            <w:pPr>
              <w:pStyle w:val="276"/>
              <w:jc w:val="center"/>
              <w:rPr>
                <w:rFonts w:ascii="宋体" w:hAnsi="宋体" w:cs="宋体"/>
                <w:color w:val="auto"/>
                <w:highlight w:val="none"/>
              </w:rPr>
            </w:pPr>
            <w:r>
              <w:rPr>
                <w:rFonts w:hint="eastAsia" w:ascii="宋体" w:hAnsi="宋体" w:cs="宋体"/>
                <w:color w:val="auto"/>
                <w:highlight w:val="none"/>
              </w:rPr>
              <w:t>试验检测工程师</w:t>
            </w:r>
          </w:p>
        </w:tc>
        <w:tc>
          <w:tcPr>
            <w:tcW w:w="625" w:type="dxa"/>
            <w:vAlign w:val="center"/>
          </w:tcPr>
          <w:p w14:paraId="5E7A23D4">
            <w:pPr>
              <w:pStyle w:val="276"/>
              <w:jc w:val="center"/>
              <w:rPr>
                <w:rFonts w:ascii="宋体" w:hAnsi="宋体" w:cs="宋体"/>
                <w:color w:val="auto"/>
                <w:highlight w:val="none"/>
              </w:rPr>
            </w:pPr>
          </w:p>
        </w:tc>
        <w:tc>
          <w:tcPr>
            <w:tcW w:w="1832" w:type="dxa"/>
            <w:vAlign w:val="center"/>
          </w:tcPr>
          <w:p w14:paraId="0DEF41DB">
            <w:pPr>
              <w:pStyle w:val="276"/>
              <w:jc w:val="center"/>
              <w:rPr>
                <w:rFonts w:ascii="宋体" w:hAnsi="宋体" w:cs="宋体"/>
                <w:color w:val="auto"/>
                <w:highlight w:val="none"/>
              </w:rPr>
            </w:pPr>
          </w:p>
        </w:tc>
        <w:tc>
          <w:tcPr>
            <w:tcW w:w="924" w:type="dxa"/>
            <w:vAlign w:val="center"/>
          </w:tcPr>
          <w:p w14:paraId="1840036E">
            <w:pPr>
              <w:pStyle w:val="276"/>
              <w:jc w:val="center"/>
              <w:rPr>
                <w:rFonts w:ascii="宋体" w:hAnsi="宋体" w:cs="宋体"/>
                <w:color w:val="auto"/>
                <w:highlight w:val="none"/>
              </w:rPr>
            </w:pPr>
          </w:p>
        </w:tc>
        <w:tc>
          <w:tcPr>
            <w:tcW w:w="536" w:type="dxa"/>
            <w:vAlign w:val="center"/>
          </w:tcPr>
          <w:p w14:paraId="09DD418E">
            <w:pPr>
              <w:pStyle w:val="276"/>
              <w:jc w:val="center"/>
              <w:rPr>
                <w:rFonts w:ascii="宋体" w:hAnsi="宋体" w:cs="宋体"/>
                <w:color w:val="auto"/>
                <w:highlight w:val="none"/>
              </w:rPr>
            </w:pPr>
          </w:p>
        </w:tc>
        <w:tc>
          <w:tcPr>
            <w:tcW w:w="1737" w:type="dxa"/>
            <w:vAlign w:val="center"/>
          </w:tcPr>
          <w:p w14:paraId="5D98A1BE">
            <w:pPr>
              <w:pStyle w:val="276"/>
              <w:jc w:val="center"/>
              <w:rPr>
                <w:rFonts w:ascii="宋体" w:hAnsi="宋体" w:cs="宋体"/>
                <w:color w:val="auto"/>
                <w:highlight w:val="none"/>
              </w:rPr>
            </w:pPr>
          </w:p>
        </w:tc>
        <w:tc>
          <w:tcPr>
            <w:tcW w:w="1015" w:type="dxa"/>
            <w:vAlign w:val="center"/>
          </w:tcPr>
          <w:p w14:paraId="249C3B34">
            <w:pPr>
              <w:pStyle w:val="276"/>
              <w:jc w:val="center"/>
              <w:rPr>
                <w:rFonts w:ascii="宋体" w:hAnsi="宋体" w:cs="宋体"/>
                <w:color w:val="auto"/>
                <w:highlight w:val="none"/>
              </w:rPr>
            </w:pPr>
          </w:p>
        </w:tc>
      </w:tr>
      <w:tr w14:paraId="2615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466" w:type="dxa"/>
            <w:vAlign w:val="center"/>
          </w:tcPr>
          <w:p w14:paraId="53B52390">
            <w:pPr>
              <w:pStyle w:val="276"/>
              <w:jc w:val="center"/>
              <w:rPr>
                <w:rFonts w:ascii="宋体" w:hAnsi="宋体" w:cs="宋体"/>
                <w:color w:val="auto"/>
                <w:highlight w:val="none"/>
              </w:rPr>
            </w:pPr>
            <w:r>
              <w:rPr>
                <w:rFonts w:ascii="宋体" w:hAnsi="宋体" w:cs="宋体"/>
                <w:color w:val="auto"/>
                <w:highlight w:val="none"/>
              </w:rPr>
              <w:t>4</w:t>
            </w:r>
          </w:p>
        </w:tc>
        <w:tc>
          <w:tcPr>
            <w:tcW w:w="1901" w:type="dxa"/>
            <w:vAlign w:val="center"/>
          </w:tcPr>
          <w:p w14:paraId="49F8AE6F">
            <w:pPr>
              <w:pStyle w:val="276"/>
              <w:jc w:val="center"/>
              <w:rPr>
                <w:rFonts w:ascii="宋体" w:hAnsi="宋体" w:cs="宋体"/>
                <w:color w:val="auto"/>
                <w:highlight w:val="none"/>
              </w:rPr>
            </w:pPr>
            <w:r>
              <w:rPr>
                <w:rFonts w:hint="eastAsia" w:ascii="宋体" w:hAnsi="宋体" w:cs="宋体"/>
                <w:color w:val="auto"/>
                <w:highlight w:val="none"/>
              </w:rPr>
              <w:t>试验员</w:t>
            </w:r>
            <w:r>
              <w:rPr>
                <w:rFonts w:ascii="宋体" w:hAnsi="宋体" w:cs="宋体"/>
                <w:color w:val="auto"/>
                <w:highlight w:val="none"/>
              </w:rPr>
              <w:t>/助理试验检测工程师</w:t>
            </w:r>
          </w:p>
        </w:tc>
        <w:tc>
          <w:tcPr>
            <w:tcW w:w="625" w:type="dxa"/>
            <w:vAlign w:val="center"/>
          </w:tcPr>
          <w:p w14:paraId="7823A779">
            <w:pPr>
              <w:pStyle w:val="276"/>
              <w:jc w:val="center"/>
              <w:rPr>
                <w:rFonts w:ascii="宋体" w:hAnsi="宋体" w:cs="宋体"/>
                <w:color w:val="auto"/>
                <w:highlight w:val="none"/>
              </w:rPr>
            </w:pPr>
          </w:p>
        </w:tc>
        <w:tc>
          <w:tcPr>
            <w:tcW w:w="1832" w:type="dxa"/>
            <w:vAlign w:val="center"/>
          </w:tcPr>
          <w:p w14:paraId="5FB5C2AE">
            <w:pPr>
              <w:pStyle w:val="276"/>
              <w:jc w:val="center"/>
              <w:rPr>
                <w:rFonts w:ascii="宋体" w:hAnsi="宋体" w:cs="宋体"/>
                <w:color w:val="auto"/>
                <w:highlight w:val="none"/>
              </w:rPr>
            </w:pPr>
          </w:p>
        </w:tc>
        <w:tc>
          <w:tcPr>
            <w:tcW w:w="924" w:type="dxa"/>
            <w:vAlign w:val="center"/>
          </w:tcPr>
          <w:p w14:paraId="130B301D">
            <w:pPr>
              <w:pStyle w:val="276"/>
              <w:jc w:val="center"/>
              <w:rPr>
                <w:rFonts w:ascii="宋体" w:hAnsi="宋体" w:cs="宋体"/>
                <w:color w:val="auto"/>
                <w:highlight w:val="none"/>
              </w:rPr>
            </w:pPr>
          </w:p>
        </w:tc>
        <w:tc>
          <w:tcPr>
            <w:tcW w:w="536" w:type="dxa"/>
            <w:vAlign w:val="center"/>
          </w:tcPr>
          <w:p w14:paraId="08CFE5C8">
            <w:pPr>
              <w:pStyle w:val="276"/>
              <w:jc w:val="center"/>
              <w:rPr>
                <w:rFonts w:ascii="宋体" w:hAnsi="宋体" w:cs="宋体"/>
                <w:color w:val="auto"/>
                <w:highlight w:val="none"/>
              </w:rPr>
            </w:pPr>
          </w:p>
        </w:tc>
        <w:tc>
          <w:tcPr>
            <w:tcW w:w="1737" w:type="dxa"/>
            <w:vAlign w:val="center"/>
          </w:tcPr>
          <w:p w14:paraId="3F83950F">
            <w:pPr>
              <w:pStyle w:val="276"/>
              <w:jc w:val="center"/>
              <w:rPr>
                <w:rFonts w:ascii="宋体" w:hAnsi="宋体" w:cs="宋体"/>
                <w:color w:val="auto"/>
                <w:highlight w:val="none"/>
              </w:rPr>
            </w:pPr>
          </w:p>
        </w:tc>
        <w:tc>
          <w:tcPr>
            <w:tcW w:w="1015" w:type="dxa"/>
            <w:vAlign w:val="center"/>
          </w:tcPr>
          <w:p w14:paraId="1045705A">
            <w:pPr>
              <w:pStyle w:val="276"/>
              <w:jc w:val="center"/>
              <w:rPr>
                <w:rFonts w:ascii="宋体" w:hAnsi="宋体" w:cs="宋体"/>
                <w:color w:val="auto"/>
                <w:highlight w:val="none"/>
              </w:rPr>
            </w:pPr>
          </w:p>
        </w:tc>
      </w:tr>
      <w:tr w14:paraId="6777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466" w:type="dxa"/>
            <w:vAlign w:val="center"/>
          </w:tcPr>
          <w:p w14:paraId="689DC974">
            <w:pPr>
              <w:pStyle w:val="276"/>
              <w:jc w:val="center"/>
              <w:rPr>
                <w:rFonts w:ascii="宋体" w:hAnsi="宋体" w:cs="宋体"/>
                <w:color w:val="auto"/>
                <w:highlight w:val="none"/>
              </w:rPr>
            </w:pPr>
            <w:r>
              <w:rPr>
                <w:rFonts w:ascii="宋体" w:hAnsi="宋体" w:cs="宋体"/>
                <w:color w:val="auto"/>
                <w:highlight w:val="none"/>
              </w:rPr>
              <w:t>5</w:t>
            </w:r>
          </w:p>
        </w:tc>
        <w:tc>
          <w:tcPr>
            <w:tcW w:w="1901" w:type="dxa"/>
            <w:vAlign w:val="center"/>
          </w:tcPr>
          <w:p w14:paraId="37244105">
            <w:pPr>
              <w:pStyle w:val="276"/>
              <w:jc w:val="center"/>
              <w:rPr>
                <w:rFonts w:ascii="宋体" w:hAnsi="宋体" w:cs="宋体"/>
                <w:color w:val="auto"/>
                <w:highlight w:val="none"/>
              </w:rPr>
            </w:pPr>
            <w:r>
              <w:rPr>
                <w:rFonts w:hint="eastAsia" w:ascii="宋体" w:hAnsi="宋体" w:cs="宋体"/>
                <w:color w:val="auto"/>
                <w:highlight w:val="none"/>
              </w:rPr>
              <w:t>其他人员</w:t>
            </w:r>
          </w:p>
        </w:tc>
        <w:tc>
          <w:tcPr>
            <w:tcW w:w="625" w:type="dxa"/>
            <w:vAlign w:val="center"/>
          </w:tcPr>
          <w:p w14:paraId="65C178ED">
            <w:pPr>
              <w:pStyle w:val="276"/>
              <w:jc w:val="center"/>
              <w:rPr>
                <w:rFonts w:ascii="宋体" w:hAnsi="宋体" w:cs="宋体"/>
                <w:color w:val="auto"/>
                <w:highlight w:val="none"/>
              </w:rPr>
            </w:pPr>
          </w:p>
        </w:tc>
        <w:tc>
          <w:tcPr>
            <w:tcW w:w="1832" w:type="dxa"/>
            <w:vAlign w:val="center"/>
          </w:tcPr>
          <w:p w14:paraId="2BEF35F0">
            <w:pPr>
              <w:pStyle w:val="276"/>
              <w:jc w:val="center"/>
              <w:rPr>
                <w:rFonts w:ascii="宋体" w:hAnsi="宋体" w:cs="宋体"/>
                <w:color w:val="auto"/>
                <w:highlight w:val="none"/>
              </w:rPr>
            </w:pPr>
          </w:p>
        </w:tc>
        <w:tc>
          <w:tcPr>
            <w:tcW w:w="924" w:type="dxa"/>
            <w:vAlign w:val="center"/>
          </w:tcPr>
          <w:p w14:paraId="4E354C0C">
            <w:pPr>
              <w:pStyle w:val="276"/>
              <w:jc w:val="center"/>
              <w:rPr>
                <w:rFonts w:ascii="宋体" w:hAnsi="宋体" w:cs="宋体"/>
                <w:color w:val="auto"/>
                <w:highlight w:val="none"/>
              </w:rPr>
            </w:pPr>
          </w:p>
        </w:tc>
        <w:tc>
          <w:tcPr>
            <w:tcW w:w="536" w:type="dxa"/>
            <w:vAlign w:val="center"/>
          </w:tcPr>
          <w:p w14:paraId="0C7C2C37">
            <w:pPr>
              <w:pStyle w:val="276"/>
              <w:jc w:val="center"/>
              <w:rPr>
                <w:rFonts w:ascii="宋体" w:hAnsi="宋体" w:cs="宋体"/>
                <w:color w:val="auto"/>
                <w:highlight w:val="none"/>
              </w:rPr>
            </w:pPr>
          </w:p>
        </w:tc>
        <w:tc>
          <w:tcPr>
            <w:tcW w:w="1737" w:type="dxa"/>
            <w:vAlign w:val="center"/>
          </w:tcPr>
          <w:p w14:paraId="561DAFC2">
            <w:pPr>
              <w:pStyle w:val="276"/>
              <w:jc w:val="center"/>
              <w:rPr>
                <w:rFonts w:ascii="宋体" w:hAnsi="宋体" w:cs="宋体"/>
                <w:color w:val="auto"/>
                <w:highlight w:val="none"/>
              </w:rPr>
            </w:pPr>
          </w:p>
        </w:tc>
        <w:tc>
          <w:tcPr>
            <w:tcW w:w="1015" w:type="dxa"/>
            <w:vAlign w:val="center"/>
          </w:tcPr>
          <w:p w14:paraId="7495702D">
            <w:pPr>
              <w:pStyle w:val="276"/>
              <w:jc w:val="center"/>
              <w:rPr>
                <w:rFonts w:ascii="宋体" w:hAnsi="宋体" w:cs="宋体"/>
                <w:color w:val="auto"/>
                <w:highlight w:val="none"/>
              </w:rPr>
            </w:pPr>
          </w:p>
        </w:tc>
      </w:tr>
      <w:tr w14:paraId="23914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466" w:type="dxa"/>
            <w:vAlign w:val="center"/>
          </w:tcPr>
          <w:p w14:paraId="0D1FAF4B">
            <w:pPr>
              <w:pStyle w:val="276"/>
              <w:jc w:val="center"/>
              <w:rPr>
                <w:rFonts w:ascii="宋体" w:hAnsi="宋体" w:cs="宋体"/>
                <w:color w:val="auto"/>
                <w:highlight w:val="none"/>
              </w:rPr>
            </w:pPr>
            <w:r>
              <w:rPr>
                <w:rFonts w:ascii="宋体" w:hAnsi="宋体" w:cs="宋体"/>
                <w:color w:val="auto"/>
                <w:highlight w:val="none"/>
              </w:rPr>
              <w:t>6</w:t>
            </w:r>
          </w:p>
        </w:tc>
        <w:tc>
          <w:tcPr>
            <w:tcW w:w="1901" w:type="dxa"/>
            <w:vAlign w:val="center"/>
          </w:tcPr>
          <w:p w14:paraId="4F13C647">
            <w:pPr>
              <w:pStyle w:val="276"/>
              <w:jc w:val="center"/>
              <w:rPr>
                <w:rFonts w:ascii="宋体" w:hAnsi="宋体" w:cs="宋体"/>
                <w:color w:val="auto"/>
                <w:highlight w:val="none"/>
              </w:rPr>
            </w:pPr>
            <w:r>
              <w:rPr>
                <w:rFonts w:hint="eastAsia" w:ascii="宋体" w:hAnsi="宋体" w:cs="宋体"/>
                <w:color w:val="auto"/>
                <w:highlight w:val="none"/>
              </w:rPr>
              <w:t>……</w:t>
            </w:r>
          </w:p>
        </w:tc>
        <w:tc>
          <w:tcPr>
            <w:tcW w:w="625" w:type="dxa"/>
            <w:vAlign w:val="center"/>
          </w:tcPr>
          <w:p w14:paraId="3D3AB05A">
            <w:pPr>
              <w:pStyle w:val="276"/>
              <w:jc w:val="center"/>
              <w:rPr>
                <w:rFonts w:ascii="宋体" w:hAnsi="宋体" w:cs="宋体"/>
                <w:color w:val="auto"/>
                <w:highlight w:val="none"/>
              </w:rPr>
            </w:pPr>
          </w:p>
        </w:tc>
        <w:tc>
          <w:tcPr>
            <w:tcW w:w="1832" w:type="dxa"/>
            <w:vAlign w:val="center"/>
          </w:tcPr>
          <w:p w14:paraId="409BA9B2">
            <w:pPr>
              <w:pStyle w:val="276"/>
              <w:jc w:val="center"/>
              <w:rPr>
                <w:rFonts w:ascii="宋体" w:hAnsi="宋体" w:cs="宋体"/>
                <w:color w:val="auto"/>
                <w:highlight w:val="none"/>
              </w:rPr>
            </w:pPr>
          </w:p>
        </w:tc>
        <w:tc>
          <w:tcPr>
            <w:tcW w:w="924" w:type="dxa"/>
            <w:vAlign w:val="center"/>
          </w:tcPr>
          <w:p w14:paraId="71BFDD4F">
            <w:pPr>
              <w:pStyle w:val="276"/>
              <w:jc w:val="center"/>
              <w:rPr>
                <w:rFonts w:ascii="宋体" w:hAnsi="宋体" w:cs="宋体"/>
                <w:color w:val="auto"/>
                <w:highlight w:val="none"/>
              </w:rPr>
            </w:pPr>
          </w:p>
        </w:tc>
        <w:tc>
          <w:tcPr>
            <w:tcW w:w="536" w:type="dxa"/>
            <w:vAlign w:val="center"/>
          </w:tcPr>
          <w:p w14:paraId="03F07F51">
            <w:pPr>
              <w:pStyle w:val="276"/>
              <w:jc w:val="center"/>
              <w:rPr>
                <w:rFonts w:ascii="宋体" w:hAnsi="宋体" w:cs="宋体"/>
                <w:color w:val="auto"/>
                <w:highlight w:val="none"/>
              </w:rPr>
            </w:pPr>
          </w:p>
        </w:tc>
        <w:tc>
          <w:tcPr>
            <w:tcW w:w="1737" w:type="dxa"/>
            <w:vAlign w:val="center"/>
          </w:tcPr>
          <w:p w14:paraId="44CA971A">
            <w:pPr>
              <w:pStyle w:val="276"/>
              <w:jc w:val="center"/>
              <w:rPr>
                <w:rFonts w:ascii="宋体" w:hAnsi="宋体" w:cs="宋体"/>
                <w:color w:val="auto"/>
                <w:highlight w:val="none"/>
              </w:rPr>
            </w:pPr>
          </w:p>
        </w:tc>
        <w:tc>
          <w:tcPr>
            <w:tcW w:w="1015" w:type="dxa"/>
            <w:vAlign w:val="center"/>
          </w:tcPr>
          <w:p w14:paraId="1D4616A0">
            <w:pPr>
              <w:pStyle w:val="276"/>
              <w:jc w:val="center"/>
              <w:rPr>
                <w:rFonts w:ascii="宋体" w:hAnsi="宋体" w:cs="宋体"/>
                <w:color w:val="auto"/>
                <w:highlight w:val="none"/>
              </w:rPr>
            </w:pPr>
          </w:p>
        </w:tc>
      </w:tr>
      <w:tr w14:paraId="1574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466" w:type="dxa"/>
            <w:vAlign w:val="center"/>
          </w:tcPr>
          <w:p w14:paraId="0AEB93E6">
            <w:pPr>
              <w:pStyle w:val="276"/>
              <w:jc w:val="center"/>
              <w:rPr>
                <w:rFonts w:ascii="宋体" w:hAnsi="宋体" w:cs="宋体"/>
                <w:color w:val="auto"/>
                <w:highlight w:val="none"/>
              </w:rPr>
            </w:pPr>
            <w:r>
              <w:rPr>
                <w:rFonts w:ascii="宋体" w:hAnsi="宋体" w:cs="宋体"/>
                <w:color w:val="auto"/>
                <w:highlight w:val="none"/>
              </w:rPr>
              <w:t>7</w:t>
            </w:r>
          </w:p>
        </w:tc>
        <w:tc>
          <w:tcPr>
            <w:tcW w:w="1901" w:type="dxa"/>
            <w:vAlign w:val="center"/>
          </w:tcPr>
          <w:p w14:paraId="39DA8F71">
            <w:pPr>
              <w:pStyle w:val="276"/>
              <w:jc w:val="center"/>
              <w:rPr>
                <w:rFonts w:ascii="宋体" w:hAnsi="宋体" w:cs="宋体"/>
                <w:color w:val="auto"/>
                <w:highlight w:val="none"/>
              </w:rPr>
            </w:pPr>
            <w:r>
              <w:rPr>
                <w:rFonts w:hint="eastAsia" w:ascii="宋体" w:hAnsi="宋体" w:cs="宋体"/>
                <w:color w:val="auto"/>
                <w:highlight w:val="none"/>
              </w:rPr>
              <w:t>……</w:t>
            </w:r>
          </w:p>
        </w:tc>
        <w:tc>
          <w:tcPr>
            <w:tcW w:w="625" w:type="dxa"/>
            <w:vAlign w:val="center"/>
          </w:tcPr>
          <w:p w14:paraId="42EB981D">
            <w:pPr>
              <w:pStyle w:val="276"/>
              <w:jc w:val="center"/>
              <w:rPr>
                <w:rFonts w:ascii="宋体" w:hAnsi="宋体" w:cs="宋体"/>
                <w:color w:val="auto"/>
                <w:highlight w:val="none"/>
              </w:rPr>
            </w:pPr>
          </w:p>
        </w:tc>
        <w:tc>
          <w:tcPr>
            <w:tcW w:w="1832" w:type="dxa"/>
            <w:vAlign w:val="center"/>
          </w:tcPr>
          <w:p w14:paraId="0304F5B3">
            <w:pPr>
              <w:pStyle w:val="276"/>
              <w:jc w:val="center"/>
              <w:rPr>
                <w:rFonts w:ascii="宋体" w:hAnsi="宋体" w:cs="宋体"/>
                <w:color w:val="auto"/>
                <w:highlight w:val="none"/>
              </w:rPr>
            </w:pPr>
          </w:p>
        </w:tc>
        <w:tc>
          <w:tcPr>
            <w:tcW w:w="924" w:type="dxa"/>
            <w:vAlign w:val="center"/>
          </w:tcPr>
          <w:p w14:paraId="714E969D">
            <w:pPr>
              <w:pStyle w:val="276"/>
              <w:jc w:val="center"/>
              <w:rPr>
                <w:rFonts w:ascii="宋体" w:hAnsi="宋体" w:cs="宋体"/>
                <w:color w:val="auto"/>
                <w:highlight w:val="none"/>
              </w:rPr>
            </w:pPr>
          </w:p>
        </w:tc>
        <w:tc>
          <w:tcPr>
            <w:tcW w:w="536" w:type="dxa"/>
            <w:vAlign w:val="center"/>
          </w:tcPr>
          <w:p w14:paraId="7461C719">
            <w:pPr>
              <w:pStyle w:val="276"/>
              <w:jc w:val="center"/>
              <w:rPr>
                <w:rFonts w:ascii="宋体" w:hAnsi="宋体" w:cs="宋体"/>
                <w:color w:val="auto"/>
                <w:highlight w:val="none"/>
              </w:rPr>
            </w:pPr>
          </w:p>
        </w:tc>
        <w:tc>
          <w:tcPr>
            <w:tcW w:w="1737" w:type="dxa"/>
            <w:vAlign w:val="center"/>
          </w:tcPr>
          <w:p w14:paraId="5315EB93">
            <w:pPr>
              <w:pStyle w:val="276"/>
              <w:jc w:val="center"/>
              <w:rPr>
                <w:rFonts w:ascii="宋体" w:hAnsi="宋体" w:cs="宋体"/>
                <w:color w:val="auto"/>
                <w:highlight w:val="none"/>
              </w:rPr>
            </w:pPr>
          </w:p>
        </w:tc>
        <w:tc>
          <w:tcPr>
            <w:tcW w:w="1015" w:type="dxa"/>
            <w:vAlign w:val="center"/>
          </w:tcPr>
          <w:p w14:paraId="77CD0F8B">
            <w:pPr>
              <w:pStyle w:val="276"/>
              <w:jc w:val="center"/>
              <w:rPr>
                <w:rFonts w:ascii="宋体" w:hAnsi="宋体" w:cs="宋体"/>
                <w:color w:val="auto"/>
                <w:highlight w:val="none"/>
              </w:rPr>
            </w:pPr>
          </w:p>
        </w:tc>
      </w:tr>
      <w:tr w14:paraId="1D5C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2367" w:type="dxa"/>
            <w:gridSpan w:val="2"/>
            <w:vAlign w:val="center"/>
          </w:tcPr>
          <w:p w14:paraId="7EFE119A">
            <w:pPr>
              <w:pStyle w:val="276"/>
              <w:jc w:val="center"/>
              <w:rPr>
                <w:rFonts w:ascii="宋体" w:hAnsi="宋体" w:cs="宋体"/>
                <w:color w:val="auto"/>
                <w:highlight w:val="none"/>
              </w:rPr>
            </w:pPr>
            <w:r>
              <w:rPr>
                <w:rFonts w:hint="eastAsia" w:ascii="宋体" w:hAnsi="宋体" w:cs="宋体"/>
                <w:color w:val="auto"/>
                <w:highlight w:val="none"/>
              </w:rPr>
              <w:t>合计（元）</w:t>
            </w:r>
          </w:p>
        </w:tc>
        <w:tc>
          <w:tcPr>
            <w:tcW w:w="625" w:type="dxa"/>
            <w:vAlign w:val="center"/>
          </w:tcPr>
          <w:p w14:paraId="62EEDDB6">
            <w:pPr>
              <w:pStyle w:val="276"/>
              <w:jc w:val="center"/>
              <w:rPr>
                <w:rFonts w:ascii="宋体" w:hAnsi="宋体" w:cs="宋体"/>
                <w:color w:val="auto"/>
                <w:highlight w:val="none"/>
              </w:rPr>
            </w:pPr>
          </w:p>
        </w:tc>
        <w:tc>
          <w:tcPr>
            <w:tcW w:w="1832" w:type="dxa"/>
            <w:vAlign w:val="center"/>
          </w:tcPr>
          <w:p w14:paraId="4B03BEB4">
            <w:pPr>
              <w:pStyle w:val="276"/>
              <w:jc w:val="center"/>
              <w:rPr>
                <w:rFonts w:ascii="宋体" w:hAnsi="宋体" w:cs="宋体"/>
                <w:color w:val="auto"/>
                <w:highlight w:val="none"/>
              </w:rPr>
            </w:pPr>
          </w:p>
        </w:tc>
        <w:tc>
          <w:tcPr>
            <w:tcW w:w="924" w:type="dxa"/>
            <w:vAlign w:val="center"/>
          </w:tcPr>
          <w:p w14:paraId="4203E5ED">
            <w:pPr>
              <w:pStyle w:val="276"/>
              <w:jc w:val="center"/>
              <w:rPr>
                <w:rFonts w:ascii="宋体" w:hAnsi="宋体" w:cs="宋体"/>
                <w:color w:val="auto"/>
                <w:highlight w:val="none"/>
              </w:rPr>
            </w:pPr>
          </w:p>
        </w:tc>
        <w:tc>
          <w:tcPr>
            <w:tcW w:w="536" w:type="dxa"/>
            <w:vAlign w:val="center"/>
          </w:tcPr>
          <w:p w14:paraId="33FCF8B8">
            <w:pPr>
              <w:pStyle w:val="276"/>
              <w:jc w:val="center"/>
              <w:rPr>
                <w:rFonts w:ascii="宋体" w:hAnsi="宋体" w:cs="宋体"/>
                <w:color w:val="auto"/>
                <w:highlight w:val="none"/>
              </w:rPr>
            </w:pPr>
          </w:p>
        </w:tc>
        <w:tc>
          <w:tcPr>
            <w:tcW w:w="1737" w:type="dxa"/>
            <w:vAlign w:val="center"/>
          </w:tcPr>
          <w:p w14:paraId="1D1CEAF8">
            <w:pPr>
              <w:pStyle w:val="276"/>
              <w:jc w:val="center"/>
              <w:rPr>
                <w:rFonts w:ascii="宋体" w:hAnsi="宋体" w:cs="宋体"/>
                <w:color w:val="auto"/>
                <w:highlight w:val="none"/>
              </w:rPr>
            </w:pPr>
          </w:p>
        </w:tc>
        <w:tc>
          <w:tcPr>
            <w:tcW w:w="1015" w:type="dxa"/>
            <w:vAlign w:val="center"/>
          </w:tcPr>
          <w:p w14:paraId="468C9B08">
            <w:pPr>
              <w:pStyle w:val="276"/>
              <w:jc w:val="center"/>
              <w:rPr>
                <w:rFonts w:ascii="宋体" w:hAnsi="宋体" w:cs="宋体"/>
                <w:color w:val="auto"/>
                <w:highlight w:val="none"/>
              </w:rPr>
            </w:pPr>
          </w:p>
        </w:tc>
      </w:tr>
    </w:tbl>
    <w:p w14:paraId="6B0B338F">
      <w:pPr>
        <w:pStyle w:val="276"/>
        <w:jc w:val="center"/>
        <w:rPr>
          <w:rFonts w:ascii="宋体" w:hAnsi="宋体" w:cs="宋体"/>
          <w:b/>
          <w:color w:val="auto"/>
          <w:sz w:val="24"/>
          <w:highlight w:val="none"/>
        </w:rPr>
      </w:pPr>
    </w:p>
    <w:p w14:paraId="2258811C">
      <w:pPr>
        <w:pStyle w:val="301"/>
        <w:numPr>
          <w:ilvl w:val="-1"/>
          <w:numId w:val="0"/>
        </w:numPr>
        <w:spacing w:line="360" w:lineRule="auto"/>
        <w:ind w:firstLine="420" w:firstLineChars="200"/>
        <w:jc w:val="both"/>
        <w:rPr>
          <w:rStyle w:val="50"/>
          <w:rFonts w:hint="eastAsia" w:ascii="宋体" w:hAnsi="宋体" w:eastAsia="宋体" w:cs="宋体"/>
          <w:color w:val="auto"/>
          <w:sz w:val="21"/>
          <w:szCs w:val="21"/>
          <w:highlight w:val="none"/>
          <w:lang w:val="en-US" w:eastAsia="zh-CN"/>
        </w:rPr>
      </w:pPr>
      <w:r>
        <w:rPr>
          <w:rStyle w:val="50"/>
          <w:rFonts w:hint="eastAsia" w:ascii="宋体" w:hAnsi="宋体" w:cs="宋体"/>
          <w:color w:val="auto"/>
          <w:sz w:val="21"/>
          <w:szCs w:val="21"/>
          <w:highlight w:val="none"/>
          <w:lang w:val="en-US" w:eastAsia="zh-CN"/>
        </w:rPr>
        <w:t>注：</w:t>
      </w:r>
      <w:r>
        <w:rPr>
          <w:rStyle w:val="50"/>
          <w:rFonts w:hint="eastAsia" w:ascii="宋体" w:hAnsi="宋体" w:eastAsia="宋体" w:cs="宋体"/>
          <w:color w:val="auto"/>
          <w:sz w:val="21"/>
          <w:szCs w:val="21"/>
          <w:highlight w:val="none"/>
          <w:lang w:val="en-US" w:eastAsia="zh-CN"/>
        </w:rPr>
        <w:t>表中数量：为投标人拟投入的某个岗位的人员数</w:t>
      </w:r>
      <w:r>
        <w:rPr>
          <w:rStyle w:val="50"/>
          <w:rFonts w:hint="default" w:ascii="Arial" w:hAnsi="Arial" w:eastAsia="宋体" w:cs="Arial"/>
          <w:color w:val="auto"/>
          <w:sz w:val="21"/>
          <w:szCs w:val="21"/>
          <w:highlight w:val="none"/>
          <w:lang w:val="en-US" w:eastAsia="zh-CN"/>
        </w:rPr>
        <w:t>×</w:t>
      </w:r>
      <w:r>
        <w:rPr>
          <w:rStyle w:val="50"/>
          <w:rFonts w:hint="eastAsia" w:ascii="宋体" w:hAnsi="宋体" w:eastAsia="宋体" w:cs="宋体"/>
          <w:color w:val="auto"/>
          <w:sz w:val="21"/>
          <w:szCs w:val="21"/>
          <w:highlight w:val="none"/>
          <w:lang w:val="en-US" w:eastAsia="zh-CN"/>
        </w:rPr>
        <w:t>服务月数</w:t>
      </w:r>
    </w:p>
    <w:p w14:paraId="25AF6C91">
      <w:pPr>
        <w:pStyle w:val="301"/>
        <w:numPr>
          <w:ilvl w:val="0"/>
          <w:numId w:val="0"/>
        </w:numPr>
        <w:spacing w:line="360" w:lineRule="auto"/>
        <w:ind w:firstLine="840" w:firstLineChars="400"/>
        <w:jc w:val="both"/>
        <w:rPr>
          <w:rStyle w:val="50"/>
          <w:rFonts w:hint="default" w:ascii="宋体" w:hAnsi="宋体" w:eastAsia="宋体" w:cs="宋体"/>
          <w:color w:val="auto"/>
          <w:sz w:val="21"/>
          <w:szCs w:val="21"/>
          <w:highlight w:val="none"/>
          <w:lang w:val="en-US" w:eastAsia="zh-CN"/>
        </w:rPr>
      </w:pPr>
      <w:r>
        <w:rPr>
          <w:rStyle w:val="50"/>
          <w:rFonts w:hint="eastAsia" w:ascii="宋体" w:hAnsi="宋体" w:eastAsia="宋体" w:cs="宋体"/>
          <w:color w:val="auto"/>
          <w:sz w:val="21"/>
          <w:szCs w:val="21"/>
          <w:highlight w:val="none"/>
          <w:lang w:val="en-US" w:eastAsia="zh-CN"/>
        </w:rPr>
        <w:t>服务月数：指某个岗位人员在现场的服务月数</w:t>
      </w:r>
    </w:p>
    <w:p w14:paraId="1D2F764C">
      <w:pPr>
        <w:widowControl/>
        <w:spacing w:line="360" w:lineRule="auto"/>
        <w:ind w:firstLine="1260" w:firstLineChars="600"/>
        <w:jc w:val="left"/>
        <w:rPr>
          <w:rFonts w:ascii="宋体" w:hAnsi="宋体" w:cs="宋体"/>
          <w:b/>
          <w:color w:val="auto"/>
          <w:sz w:val="24"/>
          <w:highlight w:val="none"/>
        </w:rPr>
      </w:pPr>
      <w:r>
        <w:rPr>
          <w:rStyle w:val="50"/>
          <w:rFonts w:hint="eastAsia" w:ascii="宋体" w:hAnsi="宋体" w:eastAsia="宋体" w:cs="宋体"/>
          <w:color w:val="auto"/>
          <w:sz w:val="21"/>
          <w:szCs w:val="21"/>
          <w:highlight w:val="none"/>
          <w:lang w:val="en-US" w:eastAsia="zh-CN"/>
        </w:rPr>
        <w:t>金额=数量</w:t>
      </w:r>
      <w:r>
        <w:rPr>
          <w:rStyle w:val="50"/>
          <w:rFonts w:hint="default" w:ascii="Arial" w:hAnsi="Arial" w:eastAsia="宋体" w:cs="Arial"/>
          <w:color w:val="auto"/>
          <w:sz w:val="21"/>
          <w:szCs w:val="21"/>
          <w:highlight w:val="none"/>
          <w:lang w:val="en-US" w:eastAsia="zh-CN"/>
        </w:rPr>
        <w:t>×</w:t>
      </w:r>
      <w:r>
        <w:rPr>
          <w:rStyle w:val="50"/>
          <w:rFonts w:hint="eastAsia" w:ascii="宋体" w:hAnsi="宋体" w:eastAsia="宋体" w:cs="宋体"/>
          <w:color w:val="auto"/>
          <w:sz w:val="21"/>
          <w:szCs w:val="21"/>
          <w:highlight w:val="none"/>
          <w:lang w:val="en-US" w:eastAsia="zh-CN"/>
        </w:rPr>
        <w:t>单价</w:t>
      </w:r>
      <w:r>
        <w:rPr>
          <w:rFonts w:ascii="宋体" w:hAnsi="宋体" w:cs="宋体"/>
          <w:b/>
          <w:color w:val="auto"/>
          <w:sz w:val="24"/>
          <w:highlight w:val="none"/>
        </w:rPr>
        <w:br w:type="page"/>
      </w:r>
    </w:p>
    <w:p w14:paraId="3477455F">
      <w:pPr>
        <w:pStyle w:val="276"/>
        <w:jc w:val="center"/>
        <w:rPr>
          <w:rFonts w:ascii="黑体" w:hAnsi="黑体" w:eastAsia="黑体" w:cs="宋体"/>
          <w:color w:val="auto"/>
          <w:sz w:val="24"/>
          <w:highlight w:val="none"/>
        </w:rPr>
      </w:pPr>
      <w:r>
        <w:rPr>
          <w:rFonts w:hint="eastAsia" w:ascii="黑体" w:hAnsi="黑体" w:eastAsia="黑体" w:cs="宋体"/>
          <w:color w:val="auto"/>
          <w:sz w:val="24"/>
          <w:highlight w:val="none"/>
        </w:rPr>
        <w:t>表</w:t>
      </w:r>
      <w:r>
        <w:rPr>
          <w:rFonts w:ascii="黑体" w:hAnsi="黑体" w:eastAsia="黑体" w:cs="宋体"/>
          <w:color w:val="auto"/>
          <w:sz w:val="24"/>
          <w:highlight w:val="none"/>
        </w:rPr>
        <w:t>3</w:t>
      </w:r>
      <w:r>
        <w:rPr>
          <w:rFonts w:ascii="黑体" w:hAnsi="黑体" w:eastAsia="黑体" w:cs="宋体"/>
          <w:color w:val="auto"/>
          <w:sz w:val="24"/>
          <w:highlight w:val="none"/>
        </w:rPr>
        <w:tab/>
      </w:r>
      <w:r>
        <w:rPr>
          <w:rFonts w:hint="eastAsia" w:ascii="黑体" w:hAnsi="黑体" w:eastAsia="黑体" w:cs="宋体"/>
          <w:color w:val="auto"/>
          <w:sz w:val="24"/>
          <w:highlight w:val="none"/>
        </w:rPr>
        <w:t>监理试验室办公设施费报价表</w:t>
      </w:r>
    </w:p>
    <w:p w14:paraId="34763092">
      <w:pPr>
        <w:pStyle w:val="276"/>
        <w:rPr>
          <w:rFonts w:ascii="宋体" w:hAnsi="宋体" w:cs="宋体"/>
          <w:color w:val="auto"/>
          <w:highlight w:val="none"/>
        </w:rPr>
      </w:pPr>
    </w:p>
    <w:tbl>
      <w:tblPr>
        <w:tblStyle w:val="48"/>
        <w:tblW w:w="892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2"/>
        <w:gridCol w:w="663"/>
        <w:gridCol w:w="663"/>
        <w:gridCol w:w="669"/>
        <w:gridCol w:w="665"/>
        <w:gridCol w:w="666"/>
        <w:gridCol w:w="672"/>
        <w:gridCol w:w="664"/>
        <w:gridCol w:w="664"/>
        <w:gridCol w:w="669"/>
        <w:gridCol w:w="664"/>
        <w:gridCol w:w="898"/>
        <w:gridCol w:w="702"/>
      </w:tblGrid>
      <w:tr w14:paraId="4793C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exact"/>
        </w:trPr>
        <w:tc>
          <w:tcPr>
            <w:tcW w:w="662" w:type="dxa"/>
            <w:vMerge w:val="restart"/>
            <w:vAlign w:val="center"/>
          </w:tcPr>
          <w:p w14:paraId="0B27AB4A">
            <w:pPr>
              <w:pStyle w:val="276"/>
              <w:jc w:val="center"/>
              <w:rPr>
                <w:rFonts w:ascii="宋体" w:hAnsi="宋体" w:cs="宋体"/>
                <w:color w:val="auto"/>
                <w:highlight w:val="none"/>
              </w:rPr>
            </w:pPr>
            <w:r>
              <w:rPr>
                <w:rFonts w:hint="eastAsia" w:ascii="宋体" w:hAnsi="宋体" w:cs="宋体"/>
                <w:color w:val="auto"/>
                <w:highlight w:val="none"/>
              </w:rPr>
              <w:t>序号</w:t>
            </w:r>
          </w:p>
        </w:tc>
        <w:tc>
          <w:tcPr>
            <w:tcW w:w="3998" w:type="dxa"/>
            <w:gridSpan w:val="6"/>
            <w:vAlign w:val="center"/>
          </w:tcPr>
          <w:p w14:paraId="580D6521">
            <w:pPr>
              <w:pStyle w:val="276"/>
              <w:jc w:val="center"/>
              <w:rPr>
                <w:rFonts w:ascii="宋体" w:hAnsi="宋体" w:cs="宋体"/>
                <w:color w:val="auto"/>
                <w:highlight w:val="none"/>
              </w:rPr>
            </w:pPr>
            <w:r>
              <w:rPr>
                <w:rFonts w:hint="eastAsia" w:ascii="宋体" w:hAnsi="宋体" w:cs="宋体"/>
                <w:color w:val="auto"/>
                <w:szCs w:val="21"/>
                <w:highlight w:val="none"/>
              </w:rPr>
              <w:t>施工期（含施工准备期）</w:t>
            </w:r>
          </w:p>
        </w:tc>
        <w:tc>
          <w:tcPr>
            <w:tcW w:w="4261" w:type="dxa"/>
            <w:gridSpan w:val="6"/>
            <w:vAlign w:val="center"/>
          </w:tcPr>
          <w:p w14:paraId="1B1ACA5D">
            <w:pPr>
              <w:pStyle w:val="276"/>
              <w:jc w:val="center"/>
              <w:rPr>
                <w:rFonts w:ascii="宋体" w:hAnsi="宋体" w:cs="宋体"/>
                <w:color w:val="auto"/>
                <w:highlight w:val="none"/>
              </w:rPr>
            </w:pPr>
            <w:r>
              <w:rPr>
                <w:rFonts w:hint="eastAsia" w:ascii="宋体" w:hAnsi="宋体" w:cs="宋体"/>
                <w:color w:val="auto"/>
                <w:szCs w:val="21"/>
                <w:highlight w:val="none"/>
              </w:rPr>
              <w:t>缺陷责任期</w:t>
            </w:r>
          </w:p>
        </w:tc>
      </w:tr>
      <w:tr w14:paraId="322B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6" w:hRule="exact"/>
        </w:trPr>
        <w:tc>
          <w:tcPr>
            <w:tcW w:w="662" w:type="dxa"/>
            <w:vMerge w:val="continue"/>
            <w:vAlign w:val="center"/>
          </w:tcPr>
          <w:p w14:paraId="6196120C">
            <w:pPr>
              <w:pStyle w:val="276"/>
              <w:jc w:val="center"/>
              <w:rPr>
                <w:rFonts w:ascii="宋体" w:hAnsi="宋体" w:cs="宋体"/>
                <w:color w:val="auto"/>
                <w:highlight w:val="none"/>
              </w:rPr>
            </w:pPr>
          </w:p>
        </w:tc>
        <w:tc>
          <w:tcPr>
            <w:tcW w:w="663" w:type="dxa"/>
            <w:vAlign w:val="center"/>
          </w:tcPr>
          <w:p w14:paraId="43F17FE2">
            <w:pPr>
              <w:pStyle w:val="276"/>
              <w:jc w:val="center"/>
              <w:rPr>
                <w:rFonts w:ascii="宋体" w:hAnsi="宋体" w:cs="宋体"/>
                <w:color w:val="auto"/>
                <w:highlight w:val="none"/>
              </w:rPr>
            </w:pPr>
            <w:r>
              <w:rPr>
                <w:rFonts w:hint="eastAsia" w:ascii="宋体" w:hAnsi="宋体" w:cs="宋体"/>
                <w:color w:val="auto"/>
                <w:highlight w:val="none"/>
              </w:rPr>
              <w:t>名称及型号</w:t>
            </w:r>
          </w:p>
        </w:tc>
        <w:tc>
          <w:tcPr>
            <w:tcW w:w="663" w:type="dxa"/>
            <w:vAlign w:val="center"/>
          </w:tcPr>
          <w:p w14:paraId="0805B6A4">
            <w:pPr>
              <w:pStyle w:val="276"/>
              <w:jc w:val="center"/>
              <w:rPr>
                <w:rFonts w:ascii="宋体" w:hAnsi="宋体" w:cs="宋体"/>
                <w:color w:val="auto"/>
                <w:highlight w:val="none"/>
              </w:rPr>
            </w:pPr>
            <w:r>
              <w:rPr>
                <w:rFonts w:hint="eastAsia" w:ascii="宋体" w:hAnsi="宋体" w:cs="宋体"/>
                <w:color w:val="auto"/>
                <w:highlight w:val="none"/>
              </w:rPr>
              <w:t>数量</w:t>
            </w:r>
          </w:p>
        </w:tc>
        <w:tc>
          <w:tcPr>
            <w:tcW w:w="669" w:type="dxa"/>
            <w:vAlign w:val="center"/>
          </w:tcPr>
          <w:p w14:paraId="5D3B2F48">
            <w:pPr>
              <w:pStyle w:val="276"/>
              <w:jc w:val="center"/>
              <w:rPr>
                <w:rFonts w:ascii="宋体" w:hAnsi="宋体" w:cs="宋体"/>
                <w:color w:val="auto"/>
                <w:highlight w:val="none"/>
              </w:rPr>
            </w:pPr>
            <w:r>
              <w:rPr>
                <w:rFonts w:hint="eastAsia" w:ascii="宋体" w:hAnsi="宋体" w:cs="宋体"/>
                <w:color w:val="auto"/>
                <w:highlight w:val="none"/>
              </w:rPr>
              <w:t>购置</w:t>
            </w:r>
          </w:p>
          <w:p w14:paraId="3DA6BB2E">
            <w:pPr>
              <w:pStyle w:val="276"/>
              <w:jc w:val="center"/>
              <w:rPr>
                <w:rFonts w:ascii="宋体" w:hAnsi="宋体" w:cs="宋体"/>
                <w:color w:val="auto"/>
                <w:highlight w:val="none"/>
              </w:rPr>
            </w:pPr>
            <w:r>
              <w:rPr>
                <w:rFonts w:hint="eastAsia" w:ascii="宋体" w:hAnsi="宋体" w:cs="宋体"/>
                <w:color w:val="auto"/>
                <w:highlight w:val="none"/>
              </w:rPr>
              <w:t>合价</w:t>
            </w:r>
            <w:r>
              <w:rPr>
                <w:rFonts w:ascii="宋体" w:hAnsi="宋体" w:cs="宋体"/>
                <w:color w:val="auto"/>
                <w:highlight w:val="none"/>
              </w:rPr>
              <w:t xml:space="preserve"> </w:t>
            </w:r>
            <w:r>
              <w:rPr>
                <w:rFonts w:hint="eastAsia" w:ascii="宋体" w:hAnsi="宋体" w:cs="宋体"/>
                <w:color w:val="auto"/>
                <w:highlight w:val="none"/>
              </w:rPr>
              <w:t>（元）</w:t>
            </w:r>
          </w:p>
        </w:tc>
        <w:tc>
          <w:tcPr>
            <w:tcW w:w="665" w:type="dxa"/>
            <w:vAlign w:val="center"/>
          </w:tcPr>
          <w:p w14:paraId="4B24E717">
            <w:pPr>
              <w:pStyle w:val="276"/>
              <w:jc w:val="center"/>
              <w:rPr>
                <w:rFonts w:ascii="宋体" w:hAnsi="宋体" w:cs="宋体"/>
                <w:color w:val="auto"/>
                <w:highlight w:val="none"/>
              </w:rPr>
            </w:pPr>
            <w:r>
              <w:rPr>
                <w:rFonts w:hint="eastAsia" w:ascii="宋体" w:hAnsi="宋体" w:cs="宋体"/>
                <w:color w:val="auto"/>
                <w:highlight w:val="none"/>
              </w:rPr>
              <w:t>折旧费（元）</w:t>
            </w:r>
          </w:p>
        </w:tc>
        <w:tc>
          <w:tcPr>
            <w:tcW w:w="666" w:type="dxa"/>
            <w:vAlign w:val="center"/>
          </w:tcPr>
          <w:p w14:paraId="2C6C46FF">
            <w:pPr>
              <w:pStyle w:val="276"/>
              <w:jc w:val="center"/>
              <w:rPr>
                <w:rFonts w:ascii="宋体" w:hAnsi="宋体" w:cs="宋体"/>
                <w:color w:val="auto"/>
                <w:highlight w:val="none"/>
              </w:rPr>
            </w:pPr>
            <w:r>
              <w:rPr>
                <w:rFonts w:hint="eastAsia" w:ascii="宋体" w:hAnsi="宋体" w:cs="宋体"/>
                <w:color w:val="auto"/>
                <w:highlight w:val="none"/>
              </w:rPr>
              <w:t>使用费（元）</w:t>
            </w:r>
          </w:p>
        </w:tc>
        <w:tc>
          <w:tcPr>
            <w:tcW w:w="672" w:type="dxa"/>
            <w:vAlign w:val="center"/>
          </w:tcPr>
          <w:p w14:paraId="72E37507">
            <w:pPr>
              <w:pStyle w:val="276"/>
              <w:jc w:val="center"/>
              <w:rPr>
                <w:rFonts w:ascii="宋体" w:hAnsi="宋体" w:cs="宋体"/>
                <w:color w:val="auto"/>
                <w:highlight w:val="none"/>
              </w:rPr>
            </w:pPr>
            <w:r>
              <w:rPr>
                <w:rFonts w:hint="eastAsia" w:ascii="宋体" w:hAnsi="宋体" w:cs="宋体"/>
                <w:color w:val="auto"/>
                <w:highlight w:val="none"/>
              </w:rPr>
              <w:t>小计折旧及使用费（元）</w:t>
            </w:r>
          </w:p>
        </w:tc>
        <w:tc>
          <w:tcPr>
            <w:tcW w:w="664" w:type="dxa"/>
            <w:vAlign w:val="center"/>
          </w:tcPr>
          <w:p w14:paraId="169E623C">
            <w:pPr>
              <w:pStyle w:val="276"/>
              <w:jc w:val="center"/>
              <w:rPr>
                <w:rFonts w:ascii="宋体" w:hAnsi="宋体" w:cs="宋体"/>
                <w:color w:val="auto"/>
                <w:highlight w:val="none"/>
              </w:rPr>
            </w:pPr>
            <w:r>
              <w:rPr>
                <w:rFonts w:hint="eastAsia" w:ascii="宋体" w:hAnsi="宋体" w:cs="宋体"/>
                <w:color w:val="auto"/>
                <w:highlight w:val="none"/>
              </w:rPr>
              <w:t>名称及型号</w:t>
            </w:r>
          </w:p>
        </w:tc>
        <w:tc>
          <w:tcPr>
            <w:tcW w:w="664" w:type="dxa"/>
            <w:vAlign w:val="center"/>
          </w:tcPr>
          <w:p w14:paraId="0D6BB126">
            <w:pPr>
              <w:pStyle w:val="276"/>
              <w:jc w:val="center"/>
              <w:rPr>
                <w:rFonts w:ascii="宋体" w:hAnsi="宋体" w:cs="宋体"/>
                <w:color w:val="auto"/>
                <w:highlight w:val="none"/>
              </w:rPr>
            </w:pPr>
            <w:r>
              <w:rPr>
                <w:rFonts w:hint="eastAsia" w:ascii="宋体" w:hAnsi="宋体" w:cs="宋体"/>
                <w:color w:val="auto"/>
                <w:highlight w:val="none"/>
              </w:rPr>
              <w:t>数量</w:t>
            </w:r>
          </w:p>
        </w:tc>
        <w:tc>
          <w:tcPr>
            <w:tcW w:w="669" w:type="dxa"/>
            <w:vAlign w:val="center"/>
          </w:tcPr>
          <w:p w14:paraId="3A5C9565">
            <w:pPr>
              <w:pStyle w:val="276"/>
              <w:jc w:val="center"/>
              <w:rPr>
                <w:rFonts w:ascii="宋体" w:hAnsi="宋体" w:cs="宋体"/>
                <w:color w:val="auto"/>
                <w:highlight w:val="none"/>
              </w:rPr>
            </w:pPr>
            <w:r>
              <w:rPr>
                <w:rFonts w:hint="eastAsia" w:ascii="宋体" w:hAnsi="宋体" w:cs="宋体"/>
                <w:color w:val="auto"/>
                <w:highlight w:val="none"/>
              </w:rPr>
              <w:t>购置合价（元）</w:t>
            </w:r>
          </w:p>
        </w:tc>
        <w:tc>
          <w:tcPr>
            <w:tcW w:w="664" w:type="dxa"/>
            <w:vAlign w:val="center"/>
          </w:tcPr>
          <w:p w14:paraId="44B94ECA">
            <w:pPr>
              <w:pStyle w:val="276"/>
              <w:jc w:val="center"/>
              <w:rPr>
                <w:rFonts w:ascii="宋体" w:hAnsi="宋体" w:cs="宋体"/>
                <w:color w:val="auto"/>
                <w:highlight w:val="none"/>
              </w:rPr>
            </w:pPr>
            <w:r>
              <w:rPr>
                <w:rFonts w:hint="eastAsia" w:ascii="宋体" w:hAnsi="宋体" w:cs="宋体"/>
                <w:color w:val="auto"/>
                <w:highlight w:val="none"/>
              </w:rPr>
              <w:t>折旧费</w:t>
            </w:r>
          </w:p>
          <w:p w14:paraId="482571A6">
            <w:pPr>
              <w:pStyle w:val="276"/>
              <w:jc w:val="center"/>
              <w:rPr>
                <w:rFonts w:ascii="宋体" w:hAnsi="宋体" w:cs="宋体"/>
                <w:color w:val="auto"/>
                <w:highlight w:val="none"/>
              </w:rPr>
            </w:pPr>
            <w:r>
              <w:rPr>
                <w:rFonts w:hint="eastAsia" w:ascii="宋体" w:hAnsi="宋体" w:cs="宋体"/>
                <w:color w:val="auto"/>
                <w:highlight w:val="none"/>
              </w:rPr>
              <w:t>（元）</w:t>
            </w:r>
          </w:p>
        </w:tc>
        <w:tc>
          <w:tcPr>
            <w:tcW w:w="898" w:type="dxa"/>
            <w:vAlign w:val="center"/>
          </w:tcPr>
          <w:p w14:paraId="526ECB3B">
            <w:pPr>
              <w:pStyle w:val="276"/>
              <w:jc w:val="center"/>
              <w:rPr>
                <w:rFonts w:ascii="宋体" w:hAnsi="宋体" w:cs="宋体"/>
                <w:color w:val="auto"/>
                <w:highlight w:val="none"/>
              </w:rPr>
            </w:pPr>
            <w:r>
              <w:rPr>
                <w:rFonts w:hint="eastAsia" w:ascii="宋体" w:hAnsi="宋体" w:cs="宋体"/>
                <w:color w:val="auto"/>
                <w:highlight w:val="none"/>
              </w:rPr>
              <w:t>使用费</w:t>
            </w:r>
          </w:p>
          <w:p w14:paraId="3B8F512A">
            <w:pPr>
              <w:pStyle w:val="276"/>
              <w:jc w:val="center"/>
              <w:rPr>
                <w:rFonts w:ascii="宋体" w:hAnsi="宋体" w:cs="宋体"/>
                <w:color w:val="auto"/>
                <w:highlight w:val="none"/>
              </w:rPr>
            </w:pPr>
            <w:r>
              <w:rPr>
                <w:rFonts w:hint="eastAsia" w:ascii="宋体" w:hAnsi="宋体" w:cs="宋体"/>
                <w:color w:val="auto"/>
                <w:highlight w:val="none"/>
              </w:rPr>
              <w:t>（元）</w:t>
            </w:r>
          </w:p>
        </w:tc>
        <w:tc>
          <w:tcPr>
            <w:tcW w:w="702" w:type="dxa"/>
            <w:vAlign w:val="center"/>
          </w:tcPr>
          <w:p w14:paraId="16734430">
            <w:pPr>
              <w:pStyle w:val="276"/>
              <w:jc w:val="center"/>
              <w:rPr>
                <w:rFonts w:ascii="宋体" w:hAnsi="宋体" w:cs="宋体"/>
                <w:color w:val="auto"/>
                <w:highlight w:val="none"/>
              </w:rPr>
            </w:pPr>
            <w:r>
              <w:rPr>
                <w:rFonts w:hint="eastAsia" w:ascii="宋体" w:hAnsi="宋体" w:cs="宋体"/>
                <w:color w:val="auto"/>
                <w:highlight w:val="none"/>
              </w:rPr>
              <w:t>小计折旧及使用</w:t>
            </w:r>
            <w:r>
              <w:rPr>
                <w:rFonts w:ascii="宋体" w:hAnsi="宋体" w:cs="宋体"/>
                <w:color w:val="auto"/>
                <w:highlight w:val="none"/>
              </w:rPr>
              <w:t xml:space="preserve"> </w:t>
            </w:r>
            <w:r>
              <w:rPr>
                <w:rFonts w:hint="eastAsia" w:ascii="宋体" w:hAnsi="宋体" w:cs="宋体"/>
                <w:color w:val="auto"/>
                <w:highlight w:val="none"/>
              </w:rPr>
              <w:t>费（元）</w:t>
            </w:r>
          </w:p>
        </w:tc>
      </w:tr>
      <w:tr w14:paraId="674D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exact"/>
        </w:trPr>
        <w:tc>
          <w:tcPr>
            <w:tcW w:w="662" w:type="dxa"/>
            <w:vAlign w:val="center"/>
          </w:tcPr>
          <w:p w14:paraId="7D998DE9">
            <w:pPr>
              <w:pStyle w:val="276"/>
              <w:jc w:val="center"/>
              <w:rPr>
                <w:rFonts w:ascii="宋体" w:hAnsi="宋体" w:cs="宋体"/>
                <w:color w:val="auto"/>
                <w:highlight w:val="none"/>
              </w:rPr>
            </w:pPr>
            <w:r>
              <w:rPr>
                <w:rFonts w:ascii="宋体" w:hAnsi="宋体" w:cs="宋体"/>
                <w:color w:val="auto"/>
                <w:highlight w:val="none"/>
              </w:rPr>
              <w:t>1</w:t>
            </w:r>
          </w:p>
        </w:tc>
        <w:tc>
          <w:tcPr>
            <w:tcW w:w="663" w:type="dxa"/>
            <w:vAlign w:val="center"/>
          </w:tcPr>
          <w:p w14:paraId="42214F99">
            <w:pPr>
              <w:pStyle w:val="276"/>
              <w:jc w:val="center"/>
              <w:rPr>
                <w:rFonts w:ascii="宋体" w:hAnsi="宋体" w:cs="宋体"/>
                <w:color w:val="auto"/>
                <w:highlight w:val="none"/>
              </w:rPr>
            </w:pPr>
          </w:p>
        </w:tc>
        <w:tc>
          <w:tcPr>
            <w:tcW w:w="663" w:type="dxa"/>
            <w:vAlign w:val="center"/>
          </w:tcPr>
          <w:p w14:paraId="437F0451">
            <w:pPr>
              <w:pStyle w:val="276"/>
              <w:jc w:val="center"/>
              <w:rPr>
                <w:rFonts w:ascii="宋体" w:hAnsi="宋体" w:cs="宋体"/>
                <w:color w:val="auto"/>
                <w:highlight w:val="none"/>
              </w:rPr>
            </w:pPr>
          </w:p>
        </w:tc>
        <w:tc>
          <w:tcPr>
            <w:tcW w:w="669" w:type="dxa"/>
            <w:vAlign w:val="center"/>
          </w:tcPr>
          <w:p w14:paraId="04A0BE61">
            <w:pPr>
              <w:pStyle w:val="276"/>
              <w:jc w:val="center"/>
              <w:rPr>
                <w:rFonts w:ascii="宋体" w:hAnsi="宋体" w:cs="宋体"/>
                <w:color w:val="auto"/>
                <w:highlight w:val="none"/>
              </w:rPr>
            </w:pPr>
          </w:p>
        </w:tc>
        <w:tc>
          <w:tcPr>
            <w:tcW w:w="665" w:type="dxa"/>
            <w:vAlign w:val="center"/>
          </w:tcPr>
          <w:p w14:paraId="041AFFE6">
            <w:pPr>
              <w:pStyle w:val="276"/>
              <w:jc w:val="center"/>
              <w:rPr>
                <w:rFonts w:ascii="宋体" w:hAnsi="宋体" w:cs="宋体"/>
                <w:color w:val="auto"/>
                <w:highlight w:val="none"/>
              </w:rPr>
            </w:pPr>
          </w:p>
        </w:tc>
        <w:tc>
          <w:tcPr>
            <w:tcW w:w="666" w:type="dxa"/>
            <w:vAlign w:val="center"/>
          </w:tcPr>
          <w:p w14:paraId="4D0AC3E3">
            <w:pPr>
              <w:pStyle w:val="276"/>
              <w:jc w:val="center"/>
              <w:rPr>
                <w:rFonts w:ascii="宋体" w:hAnsi="宋体" w:cs="宋体"/>
                <w:color w:val="auto"/>
                <w:highlight w:val="none"/>
              </w:rPr>
            </w:pPr>
          </w:p>
        </w:tc>
        <w:tc>
          <w:tcPr>
            <w:tcW w:w="672" w:type="dxa"/>
            <w:vAlign w:val="center"/>
          </w:tcPr>
          <w:p w14:paraId="69F04AF6">
            <w:pPr>
              <w:pStyle w:val="276"/>
              <w:jc w:val="center"/>
              <w:rPr>
                <w:rFonts w:ascii="宋体" w:hAnsi="宋体" w:cs="宋体"/>
                <w:color w:val="auto"/>
                <w:highlight w:val="none"/>
              </w:rPr>
            </w:pPr>
          </w:p>
        </w:tc>
        <w:tc>
          <w:tcPr>
            <w:tcW w:w="664" w:type="dxa"/>
            <w:vAlign w:val="center"/>
          </w:tcPr>
          <w:p w14:paraId="0917D1FB">
            <w:pPr>
              <w:pStyle w:val="276"/>
              <w:jc w:val="center"/>
              <w:rPr>
                <w:rFonts w:ascii="宋体" w:hAnsi="宋体" w:cs="宋体"/>
                <w:color w:val="auto"/>
                <w:highlight w:val="none"/>
              </w:rPr>
            </w:pPr>
          </w:p>
        </w:tc>
        <w:tc>
          <w:tcPr>
            <w:tcW w:w="664" w:type="dxa"/>
            <w:vAlign w:val="center"/>
          </w:tcPr>
          <w:p w14:paraId="1A2C0F5F">
            <w:pPr>
              <w:pStyle w:val="276"/>
              <w:jc w:val="center"/>
              <w:rPr>
                <w:rFonts w:ascii="宋体" w:hAnsi="宋体" w:cs="宋体"/>
                <w:color w:val="auto"/>
                <w:highlight w:val="none"/>
              </w:rPr>
            </w:pPr>
          </w:p>
        </w:tc>
        <w:tc>
          <w:tcPr>
            <w:tcW w:w="669" w:type="dxa"/>
            <w:vAlign w:val="center"/>
          </w:tcPr>
          <w:p w14:paraId="5AF94A0F">
            <w:pPr>
              <w:pStyle w:val="276"/>
              <w:jc w:val="center"/>
              <w:rPr>
                <w:rFonts w:ascii="宋体" w:hAnsi="宋体" w:cs="宋体"/>
                <w:color w:val="auto"/>
                <w:highlight w:val="none"/>
              </w:rPr>
            </w:pPr>
          </w:p>
        </w:tc>
        <w:tc>
          <w:tcPr>
            <w:tcW w:w="664" w:type="dxa"/>
            <w:vAlign w:val="center"/>
          </w:tcPr>
          <w:p w14:paraId="5414BDC8">
            <w:pPr>
              <w:pStyle w:val="276"/>
              <w:jc w:val="center"/>
              <w:rPr>
                <w:rFonts w:ascii="宋体" w:hAnsi="宋体" w:cs="宋体"/>
                <w:color w:val="auto"/>
                <w:highlight w:val="none"/>
              </w:rPr>
            </w:pPr>
          </w:p>
        </w:tc>
        <w:tc>
          <w:tcPr>
            <w:tcW w:w="898" w:type="dxa"/>
            <w:vAlign w:val="center"/>
          </w:tcPr>
          <w:p w14:paraId="447124BE">
            <w:pPr>
              <w:pStyle w:val="276"/>
              <w:jc w:val="center"/>
              <w:rPr>
                <w:rFonts w:ascii="宋体" w:hAnsi="宋体" w:cs="宋体"/>
                <w:color w:val="auto"/>
                <w:highlight w:val="none"/>
              </w:rPr>
            </w:pPr>
          </w:p>
        </w:tc>
        <w:tc>
          <w:tcPr>
            <w:tcW w:w="702" w:type="dxa"/>
            <w:vAlign w:val="center"/>
          </w:tcPr>
          <w:p w14:paraId="70898BC3">
            <w:pPr>
              <w:pStyle w:val="276"/>
              <w:jc w:val="center"/>
              <w:rPr>
                <w:rFonts w:ascii="宋体" w:hAnsi="宋体" w:cs="宋体"/>
                <w:color w:val="auto"/>
                <w:highlight w:val="none"/>
              </w:rPr>
            </w:pPr>
          </w:p>
        </w:tc>
      </w:tr>
      <w:tr w14:paraId="6270C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exact"/>
        </w:trPr>
        <w:tc>
          <w:tcPr>
            <w:tcW w:w="662" w:type="dxa"/>
            <w:vAlign w:val="center"/>
          </w:tcPr>
          <w:p w14:paraId="1E8F5618">
            <w:pPr>
              <w:pStyle w:val="276"/>
              <w:jc w:val="center"/>
              <w:rPr>
                <w:rFonts w:ascii="宋体" w:hAnsi="宋体" w:cs="宋体"/>
                <w:color w:val="auto"/>
                <w:highlight w:val="none"/>
              </w:rPr>
            </w:pPr>
            <w:r>
              <w:rPr>
                <w:rFonts w:ascii="宋体" w:hAnsi="宋体" w:cs="宋体"/>
                <w:color w:val="auto"/>
                <w:highlight w:val="none"/>
              </w:rPr>
              <w:t>2</w:t>
            </w:r>
          </w:p>
        </w:tc>
        <w:tc>
          <w:tcPr>
            <w:tcW w:w="663" w:type="dxa"/>
            <w:vAlign w:val="center"/>
          </w:tcPr>
          <w:p w14:paraId="7054A2E9">
            <w:pPr>
              <w:pStyle w:val="276"/>
              <w:jc w:val="center"/>
              <w:rPr>
                <w:rFonts w:ascii="宋体" w:hAnsi="宋体" w:cs="宋体"/>
                <w:color w:val="auto"/>
                <w:highlight w:val="none"/>
              </w:rPr>
            </w:pPr>
          </w:p>
        </w:tc>
        <w:tc>
          <w:tcPr>
            <w:tcW w:w="663" w:type="dxa"/>
            <w:vAlign w:val="center"/>
          </w:tcPr>
          <w:p w14:paraId="58BC7CBF">
            <w:pPr>
              <w:pStyle w:val="276"/>
              <w:jc w:val="center"/>
              <w:rPr>
                <w:rFonts w:ascii="宋体" w:hAnsi="宋体" w:cs="宋体"/>
                <w:color w:val="auto"/>
                <w:highlight w:val="none"/>
              </w:rPr>
            </w:pPr>
          </w:p>
        </w:tc>
        <w:tc>
          <w:tcPr>
            <w:tcW w:w="669" w:type="dxa"/>
            <w:vAlign w:val="center"/>
          </w:tcPr>
          <w:p w14:paraId="1621D077">
            <w:pPr>
              <w:pStyle w:val="276"/>
              <w:jc w:val="center"/>
              <w:rPr>
                <w:rFonts w:ascii="宋体" w:hAnsi="宋体" w:cs="宋体"/>
                <w:color w:val="auto"/>
                <w:highlight w:val="none"/>
              </w:rPr>
            </w:pPr>
          </w:p>
        </w:tc>
        <w:tc>
          <w:tcPr>
            <w:tcW w:w="665" w:type="dxa"/>
            <w:vAlign w:val="center"/>
          </w:tcPr>
          <w:p w14:paraId="41FCF683">
            <w:pPr>
              <w:pStyle w:val="276"/>
              <w:jc w:val="center"/>
              <w:rPr>
                <w:rFonts w:ascii="宋体" w:hAnsi="宋体" w:cs="宋体"/>
                <w:color w:val="auto"/>
                <w:highlight w:val="none"/>
              </w:rPr>
            </w:pPr>
          </w:p>
        </w:tc>
        <w:tc>
          <w:tcPr>
            <w:tcW w:w="666" w:type="dxa"/>
            <w:vAlign w:val="center"/>
          </w:tcPr>
          <w:p w14:paraId="11D4615C">
            <w:pPr>
              <w:pStyle w:val="276"/>
              <w:jc w:val="center"/>
              <w:rPr>
                <w:rFonts w:ascii="宋体" w:hAnsi="宋体" w:cs="宋体"/>
                <w:color w:val="auto"/>
                <w:highlight w:val="none"/>
              </w:rPr>
            </w:pPr>
          </w:p>
        </w:tc>
        <w:tc>
          <w:tcPr>
            <w:tcW w:w="672" w:type="dxa"/>
            <w:vAlign w:val="center"/>
          </w:tcPr>
          <w:p w14:paraId="1BDC6957">
            <w:pPr>
              <w:pStyle w:val="276"/>
              <w:jc w:val="center"/>
              <w:rPr>
                <w:rFonts w:ascii="宋体" w:hAnsi="宋体" w:cs="宋体"/>
                <w:color w:val="auto"/>
                <w:highlight w:val="none"/>
              </w:rPr>
            </w:pPr>
          </w:p>
        </w:tc>
        <w:tc>
          <w:tcPr>
            <w:tcW w:w="664" w:type="dxa"/>
            <w:vAlign w:val="center"/>
          </w:tcPr>
          <w:p w14:paraId="654A5192">
            <w:pPr>
              <w:pStyle w:val="276"/>
              <w:jc w:val="center"/>
              <w:rPr>
                <w:rFonts w:ascii="宋体" w:hAnsi="宋体" w:cs="宋体"/>
                <w:color w:val="auto"/>
                <w:highlight w:val="none"/>
              </w:rPr>
            </w:pPr>
          </w:p>
        </w:tc>
        <w:tc>
          <w:tcPr>
            <w:tcW w:w="664" w:type="dxa"/>
            <w:vAlign w:val="center"/>
          </w:tcPr>
          <w:p w14:paraId="274A5B34">
            <w:pPr>
              <w:pStyle w:val="276"/>
              <w:jc w:val="center"/>
              <w:rPr>
                <w:rFonts w:ascii="宋体" w:hAnsi="宋体" w:cs="宋体"/>
                <w:color w:val="auto"/>
                <w:highlight w:val="none"/>
              </w:rPr>
            </w:pPr>
          </w:p>
        </w:tc>
        <w:tc>
          <w:tcPr>
            <w:tcW w:w="669" w:type="dxa"/>
            <w:vAlign w:val="center"/>
          </w:tcPr>
          <w:p w14:paraId="20CCA3BD">
            <w:pPr>
              <w:pStyle w:val="276"/>
              <w:jc w:val="center"/>
              <w:rPr>
                <w:rFonts w:ascii="宋体" w:hAnsi="宋体" w:cs="宋体"/>
                <w:color w:val="auto"/>
                <w:highlight w:val="none"/>
              </w:rPr>
            </w:pPr>
          </w:p>
        </w:tc>
        <w:tc>
          <w:tcPr>
            <w:tcW w:w="664" w:type="dxa"/>
            <w:vAlign w:val="center"/>
          </w:tcPr>
          <w:p w14:paraId="4615D02D">
            <w:pPr>
              <w:pStyle w:val="276"/>
              <w:jc w:val="center"/>
              <w:rPr>
                <w:rFonts w:ascii="宋体" w:hAnsi="宋体" w:cs="宋体"/>
                <w:color w:val="auto"/>
                <w:highlight w:val="none"/>
              </w:rPr>
            </w:pPr>
          </w:p>
        </w:tc>
        <w:tc>
          <w:tcPr>
            <w:tcW w:w="898" w:type="dxa"/>
            <w:vAlign w:val="center"/>
          </w:tcPr>
          <w:p w14:paraId="7D81125F">
            <w:pPr>
              <w:pStyle w:val="276"/>
              <w:jc w:val="center"/>
              <w:rPr>
                <w:rFonts w:ascii="宋体" w:hAnsi="宋体" w:cs="宋体"/>
                <w:color w:val="auto"/>
                <w:highlight w:val="none"/>
              </w:rPr>
            </w:pPr>
          </w:p>
        </w:tc>
        <w:tc>
          <w:tcPr>
            <w:tcW w:w="702" w:type="dxa"/>
            <w:vAlign w:val="center"/>
          </w:tcPr>
          <w:p w14:paraId="6B3B0EB1">
            <w:pPr>
              <w:pStyle w:val="276"/>
              <w:jc w:val="center"/>
              <w:rPr>
                <w:rFonts w:ascii="宋体" w:hAnsi="宋体" w:cs="宋体"/>
                <w:color w:val="auto"/>
                <w:highlight w:val="none"/>
              </w:rPr>
            </w:pPr>
          </w:p>
        </w:tc>
      </w:tr>
      <w:tr w14:paraId="39512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exact"/>
        </w:trPr>
        <w:tc>
          <w:tcPr>
            <w:tcW w:w="662" w:type="dxa"/>
            <w:vAlign w:val="center"/>
          </w:tcPr>
          <w:p w14:paraId="2000A7D3">
            <w:pPr>
              <w:pStyle w:val="276"/>
              <w:jc w:val="center"/>
              <w:rPr>
                <w:rFonts w:ascii="宋体" w:hAnsi="宋体" w:cs="宋体"/>
                <w:color w:val="auto"/>
                <w:highlight w:val="none"/>
              </w:rPr>
            </w:pPr>
            <w:r>
              <w:rPr>
                <w:rFonts w:ascii="宋体" w:hAnsi="宋体" w:cs="宋体"/>
                <w:color w:val="auto"/>
                <w:highlight w:val="none"/>
              </w:rPr>
              <w:t>3</w:t>
            </w:r>
          </w:p>
        </w:tc>
        <w:tc>
          <w:tcPr>
            <w:tcW w:w="663" w:type="dxa"/>
            <w:vAlign w:val="center"/>
          </w:tcPr>
          <w:p w14:paraId="3B0CF714">
            <w:pPr>
              <w:pStyle w:val="276"/>
              <w:jc w:val="center"/>
              <w:rPr>
                <w:rFonts w:ascii="宋体" w:hAnsi="宋体" w:cs="宋体"/>
                <w:color w:val="auto"/>
                <w:highlight w:val="none"/>
              </w:rPr>
            </w:pPr>
          </w:p>
        </w:tc>
        <w:tc>
          <w:tcPr>
            <w:tcW w:w="663" w:type="dxa"/>
            <w:vAlign w:val="center"/>
          </w:tcPr>
          <w:p w14:paraId="654F9475">
            <w:pPr>
              <w:pStyle w:val="276"/>
              <w:jc w:val="center"/>
              <w:rPr>
                <w:rFonts w:ascii="宋体" w:hAnsi="宋体" w:cs="宋体"/>
                <w:color w:val="auto"/>
                <w:highlight w:val="none"/>
              </w:rPr>
            </w:pPr>
          </w:p>
        </w:tc>
        <w:tc>
          <w:tcPr>
            <w:tcW w:w="669" w:type="dxa"/>
            <w:vAlign w:val="center"/>
          </w:tcPr>
          <w:p w14:paraId="4BE4F836">
            <w:pPr>
              <w:pStyle w:val="276"/>
              <w:jc w:val="center"/>
              <w:rPr>
                <w:rFonts w:ascii="宋体" w:hAnsi="宋体" w:cs="宋体"/>
                <w:color w:val="auto"/>
                <w:highlight w:val="none"/>
              </w:rPr>
            </w:pPr>
          </w:p>
        </w:tc>
        <w:tc>
          <w:tcPr>
            <w:tcW w:w="665" w:type="dxa"/>
            <w:vAlign w:val="center"/>
          </w:tcPr>
          <w:p w14:paraId="7D45DB08">
            <w:pPr>
              <w:pStyle w:val="276"/>
              <w:jc w:val="center"/>
              <w:rPr>
                <w:rFonts w:ascii="宋体" w:hAnsi="宋体" w:cs="宋体"/>
                <w:color w:val="auto"/>
                <w:highlight w:val="none"/>
              </w:rPr>
            </w:pPr>
          </w:p>
        </w:tc>
        <w:tc>
          <w:tcPr>
            <w:tcW w:w="666" w:type="dxa"/>
            <w:vAlign w:val="center"/>
          </w:tcPr>
          <w:p w14:paraId="2B24AF1A">
            <w:pPr>
              <w:pStyle w:val="276"/>
              <w:jc w:val="center"/>
              <w:rPr>
                <w:rFonts w:ascii="宋体" w:hAnsi="宋体" w:cs="宋体"/>
                <w:color w:val="auto"/>
                <w:highlight w:val="none"/>
              </w:rPr>
            </w:pPr>
          </w:p>
        </w:tc>
        <w:tc>
          <w:tcPr>
            <w:tcW w:w="672" w:type="dxa"/>
            <w:vAlign w:val="center"/>
          </w:tcPr>
          <w:p w14:paraId="0BD00A02">
            <w:pPr>
              <w:pStyle w:val="276"/>
              <w:jc w:val="center"/>
              <w:rPr>
                <w:rFonts w:ascii="宋体" w:hAnsi="宋体" w:cs="宋体"/>
                <w:color w:val="auto"/>
                <w:highlight w:val="none"/>
              </w:rPr>
            </w:pPr>
          </w:p>
        </w:tc>
        <w:tc>
          <w:tcPr>
            <w:tcW w:w="664" w:type="dxa"/>
            <w:vAlign w:val="center"/>
          </w:tcPr>
          <w:p w14:paraId="067BA7F9">
            <w:pPr>
              <w:pStyle w:val="276"/>
              <w:jc w:val="center"/>
              <w:rPr>
                <w:rFonts w:ascii="宋体" w:hAnsi="宋体" w:cs="宋体"/>
                <w:color w:val="auto"/>
                <w:highlight w:val="none"/>
              </w:rPr>
            </w:pPr>
          </w:p>
        </w:tc>
        <w:tc>
          <w:tcPr>
            <w:tcW w:w="664" w:type="dxa"/>
            <w:vAlign w:val="center"/>
          </w:tcPr>
          <w:p w14:paraId="29522D3E">
            <w:pPr>
              <w:pStyle w:val="276"/>
              <w:jc w:val="center"/>
              <w:rPr>
                <w:rFonts w:ascii="宋体" w:hAnsi="宋体" w:cs="宋体"/>
                <w:color w:val="auto"/>
                <w:highlight w:val="none"/>
              </w:rPr>
            </w:pPr>
          </w:p>
        </w:tc>
        <w:tc>
          <w:tcPr>
            <w:tcW w:w="669" w:type="dxa"/>
            <w:vAlign w:val="center"/>
          </w:tcPr>
          <w:p w14:paraId="3CEAEC19">
            <w:pPr>
              <w:pStyle w:val="276"/>
              <w:jc w:val="center"/>
              <w:rPr>
                <w:rFonts w:ascii="宋体" w:hAnsi="宋体" w:cs="宋体"/>
                <w:color w:val="auto"/>
                <w:highlight w:val="none"/>
              </w:rPr>
            </w:pPr>
          </w:p>
        </w:tc>
        <w:tc>
          <w:tcPr>
            <w:tcW w:w="664" w:type="dxa"/>
            <w:vAlign w:val="center"/>
          </w:tcPr>
          <w:p w14:paraId="4C7B9697">
            <w:pPr>
              <w:pStyle w:val="276"/>
              <w:jc w:val="center"/>
              <w:rPr>
                <w:rFonts w:ascii="宋体" w:hAnsi="宋体" w:cs="宋体"/>
                <w:color w:val="auto"/>
                <w:highlight w:val="none"/>
              </w:rPr>
            </w:pPr>
          </w:p>
        </w:tc>
        <w:tc>
          <w:tcPr>
            <w:tcW w:w="898" w:type="dxa"/>
            <w:vAlign w:val="center"/>
          </w:tcPr>
          <w:p w14:paraId="7B4F3094">
            <w:pPr>
              <w:pStyle w:val="276"/>
              <w:jc w:val="center"/>
              <w:rPr>
                <w:rFonts w:ascii="宋体" w:hAnsi="宋体" w:cs="宋体"/>
                <w:color w:val="auto"/>
                <w:highlight w:val="none"/>
              </w:rPr>
            </w:pPr>
          </w:p>
        </w:tc>
        <w:tc>
          <w:tcPr>
            <w:tcW w:w="702" w:type="dxa"/>
            <w:vAlign w:val="center"/>
          </w:tcPr>
          <w:p w14:paraId="5701ACE5">
            <w:pPr>
              <w:pStyle w:val="276"/>
              <w:jc w:val="center"/>
              <w:rPr>
                <w:rFonts w:ascii="宋体" w:hAnsi="宋体" w:cs="宋体"/>
                <w:color w:val="auto"/>
                <w:highlight w:val="none"/>
              </w:rPr>
            </w:pPr>
          </w:p>
        </w:tc>
      </w:tr>
      <w:tr w14:paraId="0E39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exact"/>
        </w:trPr>
        <w:tc>
          <w:tcPr>
            <w:tcW w:w="662" w:type="dxa"/>
            <w:vAlign w:val="center"/>
          </w:tcPr>
          <w:p w14:paraId="30D8EC93">
            <w:pPr>
              <w:pStyle w:val="276"/>
              <w:jc w:val="center"/>
              <w:rPr>
                <w:rFonts w:ascii="宋体" w:hAnsi="宋体" w:cs="宋体"/>
                <w:color w:val="auto"/>
                <w:highlight w:val="none"/>
              </w:rPr>
            </w:pPr>
            <w:r>
              <w:rPr>
                <w:rFonts w:ascii="宋体" w:hAnsi="宋体" w:cs="宋体"/>
                <w:color w:val="auto"/>
                <w:highlight w:val="none"/>
              </w:rPr>
              <w:t>4</w:t>
            </w:r>
          </w:p>
        </w:tc>
        <w:tc>
          <w:tcPr>
            <w:tcW w:w="663" w:type="dxa"/>
            <w:vAlign w:val="center"/>
          </w:tcPr>
          <w:p w14:paraId="660C397D">
            <w:pPr>
              <w:pStyle w:val="276"/>
              <w:jc w:val="center"/>
              <w:rPr>
                <w:rFonts w:ascii="宋体" w:hAnsi="宋体" w:cs="宋体"/>
                <w:color w:val="auto"/>
                <w:highlight w:val="none"/>
              </w:rPr>
            </w:pPr>
          </w:p>
        </w:tc>
        <w:tc>
          <w:tcPr>
            <w:tcW w:w="663" w:type="dxa"/>
            <w:vAlign w:val="center"/>
          </w:tcPr>
          <w:p w14:paraId="46924329">
            <w:pPr>
              <w:pStyle w:val="276"/>
              <w:jc w:val="center"/>
              <w:rPr>
                <w:rFonts w:ascii="宋体" w:hAnsi="宋体" w:cs="宋体"/>
                <w:color w:val="auto"/>
                <w:highlight w:val="none"/>
              </w:rPr>
            </w:pPr>
          </w:p>
        </w:tc>
        <w:tc>
          <w:tcPr>
            <w:tcW w:w="669" w:type="dxa"/>
            <w:vAlign w:val="center"/>
          </w:tcPr>
          <w:p w14:paraId="31E453A5">
            <w:pPr>
              <w:pStyle w:val="276"/>
              <w:jc w:val="center"/>
              <w:rPr>
                <w:rFonts w:ascii="宋体" w:hAnsi="宋体" w:cs="宋体"/>
                <w:color w:val="auto"/>
                <w:highlight w:val="none"/>
              </w:rPr>
            </w:pPr>
          </w:p>
        </w:tc>
        <w:tc>
          <w:tcPr>
            <w:tcW w:w="665" w:type="dxa"/>
            <w:vAlign w:val="center"/>
          </w:tcPr>
          <w:p w14:paraId="793BC679">
            <w:pPr>
              <w:pStyle w:val="276"/>
              <w:jc w:val="center"/>
              <w:rPr>
                <w:rFonts w:ascii="宋体" w:hAnsi="宋体" w:cs="宋体"/>
                <w:color w:val="auto"/>
                <w:highlight w:val="none"/>
              </w:rPr>
            </w:pPr>
          </w:p>
        </w:tc>
        <w:tc>
          <w:tcPr>
            <w:tcW w:w="666" w:type="dxa"/>
            <w:vAlign w:val="center"/>
          </w:tcPr>
          <w:p w14:paraId="0CB65709">
            <w:pPr>
              <w:pStyle w:val="276"/>
              <w:jc w:val="center"/>
              <w:rPr>
                <w:rFonts w:ascii="宋体" w:hAnsi="宋体" w:cs="宋体"/>
                <w:color w:val="auto"/>
                <w:highlight w:val="none"/>
              </w:rPr>
            </w:pPr>
          </w:p>
        </w:tc>
        <w:tc>
          <w:tcPr>
            <w:tcW w:w="672" w:type="dxa"/>
            <w:vAlign w:val="center"/>
          </w:tcPr>
          <w:p w14:paraId="5CC94193">
            <w:pPr>
              <w:pStyle w:val="276"/>
              <w:jc w:val="center"/>
              <w:rPr>
                <w:rFonts w:ascii="宋体" w:hAnsi="宋体" w:cs="宋体"/>
                <w:color w:val="auto"/>
                <w:highlight w:val="none"/>
              </w:rPr>
            </w:pPr>
          </w:p>
        </w:tc>
        <w:tc>
          <w:tcPr>
            <w:tcW w:w="664" w:type="dxa"/>
            <w:vAlign w:val="center"/>
          </w:tcPr>
          <w:p w14:paraId="1A25F259">
            <w:pPr>
              <w:pStyle w:val="276"/>
              <w:jc w:val="center"/>
              <w:rPr>
                <w:rFonts w:ascii="宋体" w:hAnsi="宋体" w:cs="宋体"/>
                <w:color w:val="auto"/>
                <w:highlight w:val="none"/>
              </w:rPr>
            </w:pPr>
          </w:p>
        </w:tc>
        <w:tc>
          <w:tcPr>
            <w:tcW w:w="664" w:type="dxa"/>
            <w:vAlign w:val="center"/>
          </w:tcPr>
          <w:p w14:paraId="09A3FFCE">
            <w:pPr>
              <w:pStyle w:val="276"/>
              <w:jc w:val="center"/>
              <w:rPr>
                <w:rFonts w:ascii="宋体" w:hAnsi="宋体" w:cs="宋体"/>
                <w:color w:val="auto"/>
                <w:highlight w:val="none"/>
              </w:rPr>
            </w:pPr>
          </w:p>
        </w:tc>
        <w:tc>
          <w:tcPr>
            <w:tcW w:w="669" w:type="dxa"/>
            <w:vAlign w:val="center"/>
          </w:tcPr>
          <w:p w14:paraId="610C302B">
            <w:pPr>
              <w:pStyle w:val="276"/>
              <w:jc w:val="center"/>
              <w:rPr>
                <w:rFonts w:ascii="宋体" w:hAnsi="宋体" w:cs="宋体"/>
                <w:color w:val="auto"/>
                <w:highlight w:val="none"/>
              </w:rPr>
            </w:pPr>
          </w:p>
        </w:tc>
        <w:tc>
          <w:tcPr>
            <w:tcW w:w="664" w:type="dxa"/>
            <w:vAlign w:val="center"/>
          </w:tcPr>
          <w:p w14:paraId="369D8A2D">
            <w:pPr>
              <w:pStyle w:val="276"/>
              <w:jc w:val="center"/>
              <w:rPr>
                <w:rFonts w:ascii="宋体" w:hAnsi="宋体" w:cs="宋体"/>
                <w:color w:val="auto"/>
                <w:highlight w:val="none"/>
              </w:rPr>
            </w:pPr>
          </w:p>
        </w:tc>
        <w:tc>
          <w:tcPr>
            <w:tcW w:w="898" w:type="dxa"/>
            <w:vAlign w:val="center"/>
          </w:tcPr>
          <w:p w14:paraId="394537B8">
            <w:pPr>
              <w:pStyle w:val="276"/>
              <w:jc w:val="center"/>
              <w:rPr>
                <w:rFonts w:ascii="宋体" w:hAnsi="宋体" w:cs="宋体"/>
                <w:color w:val="auto"/>
                <w:highlight w:val="none"/>
              </w:rPr>
            </w:pPr>
          </w:p>
        </w:tc>
        <w:tc>
          <w:tcPr>
            <w:tcW w:w="702" w:type="dxa"/>
            <w:vAlign w:val="center"/>
          </w:tcPr>
          <w:p w14:paraId="555E383F">
            <w:pPr>
              <w:pStyle w:val="276"/>
              <w:jc w:val="center"/>
              <w:rPr>
                <w:rFonts w:ascii="宋体" w:hAnsi="宋体" w:cs="宋体"/>
                <w:color w:val="auto"/>
                <w:highlight w:val="none"/>
              </w:rPr>
            </w:pPr>
          </w:p>
        </w:tc>
      </w:tr>
      <w:tr w14:paraId="4A4C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exact"/>
        </w:trPr>
        <w:tc>
          <w:tcPr>
            <w:tcW w:w="662" w:type="dxa"/>
            <w:vAlign w:val="center"/>
          </w:tcPr>
          <w:p w14:paraId="5579FEB7">
            <w:pPr>
              <w:pStyle w:val="276"/>
              <w:jc w:val="center"/>
              <w:rPr>
                <w:rFonts w:ascii="宋体" w:hAnsi="宋体" w:cs="宋体"/>
                <w:color w:val="auto"/>
                <w:highlight w:val="none"/>
              </w:rPr>
            </w:pPr>
            <w:r>
              <w:rPr>
                <w:rFonts w:ascii="宋体" w:hAnsi="宋体" w:cs="宋体"/>
                <w:color w:val="auto"/>
                <w:highlight w:val="none"/>
              </w:rPr>
              <w:t>5</w:t>
            </w:r>
          </w:p>
        </w:tc>
        <w:tc>
          <w:tcPr>
            <w:tcW w:w="663" w:type="dxa"/>
            <w:vAlign w:val="center"/>
          </w:tcPr>
          <w:p w14:paraId="4ACB03BB">
            <w:pPr>
              <w:pStyle w:val="276"/>
              <w:jc w:val="center"/>
              <w:rPr>
                <w:rFonts w:ascii="宋体" w:hAnsi="宋体" w:cs="宋体"/>
                <w:color w:val="auto"/>
                <w:highlight w:val="none"/>
              </w:rPr>
            </w:pPr>
          </w:p>
        </w:tc>
        <w:tc>
          <w:tcPr>
            <w:tcW w:w="663" w:type="dxa"/>
            <w:vAlign w:val="center"/>
          </w:tcPr>
          <w:p w14:paraId="0232DA06">
            <w:pPr>
              <w:pStyle w:val="276"/>
              <w:jc w:val="center"/>
              <w:rPr>
                <w:rFonts w:ascii="宋体" w:hAnsi="宋体" w:cs="宋体"/>
                <w:color w:val="auto"/>
                <w:highlight w:val="none"/>
              </w:rPr>
            </w:pPr>
          </w:p>
        </w:tc>
        <w:tc>
          <w:tcPr>
            <w:tcW w:w="669" w:type="dxa"/>
            <w:vAlign w:val="center"/>
          </w:tcPr>
          <w:p w14:paraId="6B67193A">
            <w:pPr>
              <w:pStyle w:val="276"/>
              <w:jc w:val="center"/>
              <w:rPr>
                <w:rFonts w:ascii="宋体" w:hAnsi="宋体" w:cs="宋体"/>
                <w:color w:val="auto"/>
                <w:highlight w:val="none"/>
              </w:rPr>
            </w:pPr>
          </w:p>
        </w:tc>
        <w:tc>
          <w:tcPr>
            <w:tcW w:w="665" w:type="dxa"/>
            <w:vAlign w:val="center"/>
          </w:tcPr>
          <w:p w14:paraId="7DC30B8E">
            <w:pPr>
              <w:pStyle w:val="276"/>
              <w:jc w:val="center"/>
              <w:rPr>
                <w:rFonts w:ascii="宋体" w:hAnsi="宋体" w:cs="宋体"/>
                <w:color w:val="auto"/>
                <w:highlight w:val="none"/>
              </w:rPr>
            </w:pPr>
          </w:p>
        </w:tc>
        <w:tc>
          <w:tcPr>
            <w:tcW w:w="666" w:type="dxa"/>
            <w:vAlign w:val="center"/>
          </w:tcPr>
          <w:p w14:paraId="3CCB67F2">
            <w:pPr>
              <w:pStyle w:val="276"/>
              <w:jc w:val="center"/>
              <w:rPr>
                <w:rFonts w:ascii="宋体" w:hAnsi="宋体" w:cs="宋体"/>
                <w:color w:val="auto"/>
                <w:highlight w:val="none"/>
              </w:rPr>
            </w:pPr>
          </w:p>
        </w:tc>
        <w:tc>
          <w:tcPr>
            <w:tcW w:w="672" w:type="dxa"/>
            <w:vAlign w:val="center"/>
          </w:tcPr>
          <w:p w14:paraId="5A647EB3">
            <w:pPr>
              <w:pStyle w:val="276"/>
              <w:jc w:val="center"/>
              <w:rPr>
                <w:rFonts w:ascii="宋体" w:hAnsi="宋体" w:cs="宋体"/>
                <w:color w:val="auto"/>
                <w:highlight w:val="none"/>
              </w:rPr>
            </w:pPr>
          </w:p>
        </w:tc>
        <w:tc>
          <w:tcPr>
            <w:tcW w:w="664" w:type="dxa"/>
            <w:vAlign w:val="center"/>
          </w:tcPr>
          <w:p w14:paraId="6ABC007F">
            <w:pPr>
              <w:pStyle w:val="276"/>
              <w:jc w:val="center"/>
              <w:rPr>
                <w:rFonts w:ascii="宋体" w:hAnsi="宋体" w:cs="宋体"/>
                <w:color w:val="auto"/>
                <w:highlight w:val="none"/>
              </w:rPr>
            </w:pPr>
          </w:p>
        </w:tc>
        <w:tc>
          <w:tcPr>
            <w:tcW w:w="664" w:type="dxa"/>
            <w:vAlign w:val="center"/>
          </w:tcPr>
          <w:p w14:paraId="3F728237">
            <w:pPr>
              <w:pStyle w:val="276"/>
              <w:jc w:val="center"/>
              <w:rPr>
                <w:rFonts w:ascii="宋体" w:hAnsi="宋体" w:cs="宋体"/>
                <w:color w:val="auto"/>
                <w:highlight w:val="none"/>
              </w:rPr>
            </w:pPr>
          </w:p>
        </w:tc>
        <w:tc>
          <w:tcPr>
            <w:tcW w:w="669" w:type="dxa"/>
            <w:vAlign w:val="center"/>
          </w:tcPr>
          <w:p w14:paraId="79D58D0C">
            <w:pPr>
              <w:pStyle w:val="276"/>
              <w:jc w:val="center"/>
              <w:rPr>
                <w:rFonts w:ascii="宋体" w:hAnsi="宋体" w:cs="宋体"/>
                <w:color w:val="auto"/>
                <w:highlight w:val="none"/>
              </w:rPr>
            </w:pPr>
          </w:p>
        </w:tc>
        <w:tc>
          <w:tcPr>
            <w:tcW w:w="664" w:type="dxa"/>
            <w:vAlign w:val="center"/>
          </w:tcPr>
          <w:p w14:paraId="30D4CACE">
            <w:pPr>
              <w:pStyle w:val="276"/>
              <w:jc w:val="center"/>
              <w:rPr>
                <w:rFonts w:ascii="宋体" w:hAnsi="宋体" w:cs="宋体"/>
                <w:color w:val="auto"/>
                <w:highlight w:val="none"/>
              </w:rPr>
            </w:pPr>
          </w:p>
        </w:tc>
        <w:tc>
          <w:tcPr>
            <w:tcW w:w="898" w:type="dxa"/>
            <w:vAlign w:val="center"/>
          </w:tcPr>
          <w:p w14:paraId="3054B27C">
            <w:pPr>
              <w:pStyle w:val="276"/>
              <w:jc w:val="center"/>
              <w:rPr>
                <w:rFonts w:ascii="宋体" w:hAnsi="宋体" w:cs="宋体"/>
                <w:color w:val="auto"/>
                <w:highlight w:val="none"/>
              </w:rPr>
            </w:pPr>
          </w:p>
        </w:tc>
        <w:tc>
          <w:tcPr>
            <w:tcW w:w="702" w:type="dxa"/>
            <w:vAlign w:val="center"/>
          </w:tcPr>
          <w:p w14:paraId="476B1B30">
            <w:pPr>
              <w:pStyle w:val="276"/>
              <w:jc w:val="center"/>
              <w:rPr>
                <w:rFonts w:ascii="宋体" w:hAnsi="宋体" w:cs="宋体"/>
                <w:color w:val="auto"/>
                <w:highlight w:val="none"/>
              </w:rPr>
            </w:pPr>
          </w:p>
        </w:tc>
      </w:tr>
      <w:tr w14:paraId="502F6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exact"/>
        </w:trPr>
        <w:tc>
          <w:tcPr>
            <w:tcW w:w="662" w:type="dxa"/>
            <w:vAlign w:val="center"/>
          </w:tcPr>
          <w:p w14:paraId="54400CD5">
            <w:pPr>
              <w:pStyle w:val="276"/>
              <w:jc w:val="center"/>
              <w:rPr>
                <w:rFonts w:ascii="宋体" w:hAnsi="宋体" w:cs="宋体"/>
                <w:color w:val="auto"/>
                <w:highlight w:val="none"/>
              </w:rPr>
            </w:pPr>
            <w:r>
              <w:rPr>
                <w:rFonts w:ascii="宋体" w:hAnsi="宋体" w:cs="宋体"/>
                <w:color w:val="auto"/>
                <w:highlight w:val="none"/>
              </w:rPr>
              <w:t>6</w:t>
            </w:r>
          </w:p>
        </w:tc>
        <w:tc>
          <w:tcPr>
            <w:tcW w:w="663" w:type="dxa"/>
            <w:vAlign w:val="center"/>
          </w:tcPr>
          <w:p w14:paraId="1958B29D">
            <w:pPr>
              <w:pStyle w:val="276"/>
              <w:jc w:val="center"/>
              <w:rPr>
                <w:rFonts w:ascii="宋体" w:hAnsi="宋体" w:cs="宋体"/>
                <w:color w:val="auto"/>
                <w:highlight w:val="none"/>
              </w:rPr>
            </w:pPr>
          </w:p>
        </w:tc>
        <w:tc>
          <w:tcPr>
            <w:tcW w:w="663" w:type="dxa"/>
            <w:vAlign w:val="center"/>
          </w:tcPr>
          <w:p w14:paraId="243F57FF">
            <w:pPr>
              <w:pStyle w:val="276"/>
              <w:jc w:val="center"/>
              <w:rPr>
                <w:rFonts w:ascii="宋体" w:hAnsi="宋体" w:cs="宋体"/>
                <w:color w:val="auto"/>
                <w:highlight w:val="none"/>
              </w:rPr>
            </w:pPr>
          </w:p>
        </w:tc>
        <w:tc>
          <w:tcPr>
            <w:tcW w:w="669" w:type="dxa"/>
            <w:vAlign w:val="center"/>
          </w:tcPr>
          <w:p w14:paraId="7000E95A">
            <w:pPr>
              <w:pStyle w:val="276"/>
              <w:jc w:val="center"/>
              <w:rPr>
                <w:rFonts w:ascii="宋体" w:hAnsi="宋体" w:cs="宋体"/>
                <w:color w:val="auto"/>
                <w:highlight w:val="none"/>
              </w:rPr>
            </w:pPr>
          </w:p>
        </w:tc>
        <w:tc>
          <w:tcPr>
            <w:tcW w:w="665" w:type="dxa"/>
            <w:vAlign w:val="center"/>
          </w:tcPr>
          <w:p w14:paraId="7CE3FCF5">
            <w:pPr>
              <w:pStyle w:val="276"/>
              <w:jc w:val="center"/>
              <w:rPr>
                <w:rFonts w:ascii="宋体" w:hAnsi="宋体" w:cs="宋体"/>
                <w:color w:val="auto"/>
                <w:highlight w:val="none"/>
              </w:rPr>
            </w:pPr>
          </w:p>
        </w:tc>
        <w:tc>
          <w:tcPr>
            <w:tcW w:w="666" w:type="dxa"/>
            <w:vAlign w:val="center"/>
          </w:tcPr>
          <w:p w14:paraId="002CD7F8">
            <w:pPr>
              <w:pStyle w:val="276"/>
              <w:jc w:val="center"/>
              <w:rPr>
                <w:rFonts w:ascii="宋体" w:hAnsi="宋体" w:cs="宋体"/>
                <w:color w:val="auto"/>
                <w:highlight w:val="none"/>
              </w:rPr>
            </w:pPr>
          </w:p>
        </w:tc>
        <w:tc>
          <w:tcPr>
            <w:tcW w:w="672" w:type="dxa"/>
            <w:vAlign w:val="center"/>
          </w:tcPr>
          <w:p w14:paraId="7562E7C3">
            <w:pPr>
              <w:pStyle w:val="276"/>
              <w:jc w:val="center"/>
              <w:rPr>
                <w:rFonts w:ascii="宋体" w:hAnsi="宋体" w:cs="宋体"/>
                <w:color w:val="auto"/>
                <w:highlight w:val="none"/>
              </w:rPr>
            </w:pPr>
          </w:p>
        </w:tc>
        <w:tc>
          <w:tcPr>
            <w:tcW w:w="664" w:type="dxa"/>
            <w:vAlign w:val="center"/>
          </w:tcPr>
          <w:p w14:paraId="4EC75DFA">
            <w:pPr>
              <w:pStyle w:val="276"/>
              <w:jc w:val="center"/>
              <w:rPr>
                <w:rFonts w:ascii="宋体" w:hAnsi="宋体" w:cs="宋体"/>
                <w:color w:val="auto"/>
                <w:highlight w:val="none"/>
              </w:rPr>
            </w:pPr>
          </w:p>
        </w:tc>
        <w:tc>
          <w:tcPr>
            <w:tcW w:w="664" w:type="dxa"/>
            <w:vAlign w:val="center"/>
          </w:tcPr>
          <w:p w14:paraId="4D14D5F4">
            <w:pPr>
              <w:pStyle w:val="276"/>
              <w:jc w:val="center"/>
              <w:rPr>
                <w:rFonts w:ascii="宋体" w:hAnsi="宋体" w:cs="宋体"/>
                <w:color w:val="auto"/>
                <w:highlight w:val="none"/>
              </w:rPr>
            </w:pPr>
          </w:p>
        </w:tc>
        <w:tc>
          <w:tcPr>
            <w:tcW w:w="669" w:type="dxa"/>
            <w:vAlign w:val="center"/>
          </w:tcPr>
          <w:p w14:paraId="2BCF5105">
            <w:pPr>
              <w:pStyle w:val="276"/>
              <w:jc w:val="center"/>
              <w:rPr>
                <w:rFonts w:ascii="宋体" w:hAnsi="宋体" w:cs="宋体"/>
                <w:color w:val="auto"/>
                <w:highlight w:val="none"/>
              </w:rPr>
            </w:pPr>
          </w:p>
        </w:tc>
        <w:tc>
          <w:tcPr>
            <w:tcW w:w="664" w:type="dxa"/>
            <w:vAlign w:val="center"/>
          </w:tcPr>
          <w:p w14:paraId="63A312BA">
            <w:pPr>
              <w:pStyle w:val="276"/>
              <w:jc w:val="center"/>
              <w:rPr>
                <w:rFonts w:ascii="宋体" w:hAnsi="宋体" w:cs="宋体"/>
                <w:color w:val="auto"/>
                <w:highlight w:val="none"/>
              </w:rPr>
            </w:pPr>
          </w:p>
        </w:tc>
        <w:tc>
          <w:tcPr>
            <w:tcW w:w="898" w:type="dxa"/>
            <w:vAlign w:val="center"/>
          </w:tcPr>
          <w:p w14:paraId="15970196">
            <w:pPr>
              <w:pStyle w:val="276"/>
              <w:jc w:val="center"/>
              <w:rPr>
                <w:rFonts w:ascii="宋体" w:hAnsi="宋体" w:cs="宋体"/>
                <w:color w:val="auto"/>
                <w:highlight w:val="none"/>
              </w:rPr>
            </w:pPr>
          </w:p>
        </w:tc>
        <w:tc>
          <w:tcPr>
            <w:tcW w:w="702" w:type="dxa"/>
            <w:vAlign w:val="center"/>
          </w:tcPr>
          <w:p w14:paraId="7841F702">
            <w:pPr>
              <w:pStyle w:val="276"/>
              <w:jc w:val="center"/>
              <w:rPr>
                <w:rFonts w:ascii="宋体" w:hAnsi="宋体" w:cs="宋体"/>
                <w:color w:val="auto"/>
                <w:highlight w:val="none"/>
              </w:rPr>
            </w:pPr>
          </w:p>
        </w:tc>
      </w:tr>
      <w:tr w14:paraId="2FFE3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exact"/>
        </w:trPr>
        <w:tc>
          <w:tcPr>
            <w:tcW w:w="662" w:type="dxa"/>
            <w:vAlign w:val="center"/>
          </w:tcPr>
          <w:p w14:paraId="68AED8CF">
            <w:pPr>
              <w:pStyle w:val="276"/>
              <w:jc w:val="center"/>
              <w:rPr>
                <w:rFonts w:ascii="宋体" w:hAnsi="宋体" w:cs="宋体"/>
                <w:color w:val="auto"/>
                <w:highlight w:val="none"/>
              </w:rPr>
            </w:pPr>
            <w:r>
              <w:rPr>
                <w:rFonts w:ascii="宋体" w:hAnsi="宋体" w:cs="宋体"/>
                <w:color w:val="auto"/>
                <w:highlight w:val="none"/>
              </w:rPr>
              <w:t>7</w:t>
            </w:r>
          </w:p>
        </w:tc>
        <w:tc>
          <w:tcPr>
            <w:tcW w:w="663" w:type="dxa"/>
            <w:vAlign w:val="center"/>
          </w:tcPr>
          <w:p w14:paraId="7C2EBF26">
            <w:pPr>
              <w:pStyle w:val="276"/>
              <w:jc w:val="center"/>
              <w:rPr>
                <w:rFonts w:ascii="宋体" w:hAnsi="宋体" w:cs="宋体"/>
                <w:color w:val="auto"/>
                <w:highlight w:val="none"/>
              </w:rPr>
            </w:pPr>
          </w:p>
        </w:tc>
        <w:tc>
          <w:tcPr>
            <w:tcW w:w="663" w:type="dxa"/>
            <w:vAlign w:val="center"/>
          </w:tcPr>
          <w:p w14:paraId="033C278D">
            <w:pPr>
              <w:pStyle w:val="276"/>
              <w:jc w:val="center"/>
              <w:rPr>
                <w:rFonts w:ascii="宋体" w:hAnsi="宋体" w:cs="宋体"/>
                <w:color w:val="auto"/>
                <w:highlight w:val="none"/>
              </w:rPr>
            </w:pPr>
          </w:p>
        </w:tc>
        <w:tc>
          <w:tcPr>
            <w:tcW w:w="669" w:type="dxa"/>
            <w:vAlign w:val="center"/>
          </w:tcPr>
          <w:p w14:paraId="762CDC09">
            <w:pPr>
              <w:pStyle w:val="276"/>
              <w:jc w:val="center"/>
              <w:rPr>
                <w:rFonts w:ascii="宋体" w:hAnsi="宋体" w:cs="宋体"/>
                <w:color w:val="auto"/>
                <w:highlight w:val="none"/>
              </w:rPr>
            </w:pPr>
          </w:p>
        </w:tc>
        <w:tc>
          <w:tcPr>
            <w:tcW w:w="665" w:type="dxa"/>
            <w:vAlign w:val="center"/>
          </w:tcPr>
          <w:p w14:paraId="6CF7EAEB">
            <w:pPr>
              <w:pStyle w:val="276"/>
              <w:jc w:val="center"/>
              <w:rPr>
                <w:rFonts w:ascii="宋体" w:hAnsi="宋体" w:cs="宋体"/>
                <w:color w:val="auto"/>
                <w:highlight w:val="none"/>
              </w:rPr>
            </w:pPr>
          </w:p>
        </w:tc>
        <w:tc>
          <w:tcPr>
            <w:tcW w:w="666" w:type="dxa"/>
            <w:vAlign w:val="center"/>
          </w:tcPr>
          <w:p w14:paraId="11DA3794">
            <w:pPr>
              <w:pStyle w:val="276"/>
              <w:jc w:val="center"/>
              <w:rPr>
                <w:rFonts w:ascii="宋体" w:hAnsi="宋体" w:cs="宋体"/>
                <w:color w:val="auto"/>
                <w:highlight w:val="none"/>
              </w:rPr>
            </w:pPr>
          </w:p>
        </w:tc>
        <w:tc>
          <w:tcPr>
            <w:tcW w:w="672" w:type="dxa"/>
            <w:vAlign w:val="center"/>
          </w:tcPr>
          <w:p w14:paraId="5CE6AAF8">
            <w:pPr>
              <w:pStyle w:val="276"/>
              <w:jc w:val="center"/>
              <w:rPr>
                <w:rFonts w:ascii="宋体" w:hAnsi="宋体" w:cs="宋体"/>
                <w:color w:val="auto"/>
                <w:highlight w:val="none"/>
              </w:rPr>
            </w:pPr>
          </w:p>
        </w:tc>
        <w:tc>
          <w:tcPr>
            <w:tcW w:w="664" w:type="dxa"/>
            <w:vAlign w:val="center"/>
          </w:tcPr>
          <w:p w14:paraId="4880BB3B">
            <w:pPr>
              <w:pStyle w:val="276"/>
              <w:jc w:val="center"/>
              <w:rPr>
                <w:rFonts w:ascii="宋体" w:hAnsi="宋体" w:cs="宋体"/>
                <w:color w:val="auto"/>
                <w:highlight w:val="none"/>
              </w:rPr>
            </w:pPr>
          </w:p>
        </w:tc>
        <w:tc>
          <w:tcPr>
            <w:tcW w:w="664" w:type="dxa"/>
            <w:vAlign w:val="center"/>
          </w:tcPr>
          <w:p w14:paraId="1A285824">
            <w:pPr>
              <w:pStyle w:val="276"/>
              <w:jc w:val="center"/>
              <w:rPr>
                <w:rFonts w:ascii="宋体" w:hAnsi="宋体" w:cs="宋体"/>
                <w:color w:val="auto"/>
                <w:highlight w:val="none"/>
              </w:rPr>
            </w:pPr>
          </w:p>
        </w:tc>
        <w:tc>
          <w:tcPr>
            <w:tcW w:w="669" w:type="dxa"/>
            <w:vAlign w:val="center"/>
          </w:tcPr>
          <w:p w14:paraId="2D68F6D1">
            <w:pPr>
              <w:pStyle w:val="276"/>
              <w:jc w:val="center"/>
              <w:rPr>
                <w:rFonts w:ascii="宋体" w:hAnsi="宋体" w:cs="宋体"/>
                <w:color w:val="auto"/>
                <w:highlight w:val="none"/>
              </w:rPr>
            </w:pPr>
          </w:p>
        </w:tc>
        <w:tc>
          <w:tcPr>
            <w:tcW w:w="664" w:type="dxa"/>
            <w:vAlign w:val="center"/>
          </w:tcPr>
          <w:p w14:paraId="465BC3D4">
            <w:pPr>
              <w:pStyle w:val="276"/>
              <w:jc w:val="center"/>
              <w:rPr>
                <w:rFonts w:ascii="宋体" w:hAnsi="宋体" w:cs="宋体"/>
                <w:color w:val="auto"/>
                <w:highlight w:val="none"/>
              </w:rPr>
            </w:pPr>
          </w:p>
        </w:tc>
        <w:tc>
          <w:tcPr>
            <w:tcW w:w="898" w:type="dxa"/>
            <w:vAlign w:val="center"/>
          </w:tcPr>
          <w:p w14:paraId="0299B1EA">
            <w:pPr>
              <w:pStyle w:val="276"/>
              <w:jc w:val="center"/>
              <w:rPr>
                <w:rFonts w:ascii="宋体" w:hAnsi="宋体" w:cs="宋体"/>
                <w:color w:val="auto"/>
                <w:highlight w:val="none"/>
              </w:rPr>
            </w:pPr>
          </w:p>
        </w:tc>
        <w:tc>
          <w:tcPr>
            <w:tcW w:w="702" w:type="dxa"/>
            <w:vAlign w:val="center"/>
          </w:tcPr>
          <w:p w14:paraId="308D2E1C">
            <w:pPr>
              <w:pStyle w:val="276"/>
              <w:jc w:val="center"/>
              <w:rPr>
                <w:rFonts w:ascii="宋体" w:hAnsi="宋体" w:cs="宋体"/>
                <w:color w:val="auto"/>
                <w:highlight w:val="none"/>
              </w:rPr>
            </w:pPr>
          </w:p>
        </w:tc>
      </w:tr>
      <w:tr w14:paraId="161D9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exact"/>
        </w:trPr>
        <w:tc>
          <w:tcPr>
            <w:tcW w:w="662" w:type="dxa"/>
            <w:vAlign w:val="center"/>
          </w:tcPr>
          <w:p w14:paraId="1104492E">
            <w:pPr>
              <w:pStyle w:val="276"/>
              <w:jc w:val="center"/>
              <w:rPr>
                <w:rFonts w:ascii="宋体" w:hAnsi="宋体" w:cs="宋体"/>
                <w:color w:val="auto"/>
                <w:highlight w:val="none"/>
              </w:rPr>
            </w:pPr>
            <w:r>
              <w:rPr>
                <w:rFonts w:ascii="宋体" w:hAnsi="宋体" w:cs="宋体"/>
                <w:color w:val="auto"/>
                <w:highlight w:val="none"/>
              </w:rPr>
              <w:t>8</w:t>
            </w:r>
          </w:p>
        </w:tc>
        <w:tc>
          <w:tcPr>
            <w:tcW w:w="663" w:type="dxa"/>
            <w:vAlign w:val="center"/>
          </w:tcPr>
          <w:p w14:paraId="233A7740">
            <w:pPr>
              <w:pStyle w:val="276"/>
              <w:jc w:val="center"/>
              <w:rPr>
                <w:rFonts w:ascii="宋体" w:hAnsi="宋体" w:cs="宋体"/>
                <w:color w:val="auto"/>
                <w:highlight w:val="none"/>
              </w:rPr>
            </w:pPr>
          </w:p>
        </w:tc>
        <w:tc>
          <w:tcPr>
            <w:tcW w:w="663" w:type="dxa"/>
            <w:vAlign w:val="center"/>
          </w:tcPr>
          <w:p w14:paraId="21842320">
            <w:pPr>
              <w:pStyle w:val="276"/>
              <w:jc w:val="center"/>
              <w:rPr>
                <w:rFonts w:ascii="宋体" w:hAnsi="宋体" w:cs="宋体"/>
                <w:color w:val="auto"/>
                <w:highlight w:val="none"/>
              </w:rPr>
            </w:pPr>
          </w:p>
        </w:tc>
        <w:tc>
          <w:tcPr>
            <w:tcW w:w="669" w:type="dxa"/>
            <w:vAlign w:val="center"/>
          </w:tcPr>
          <w:p w14:paraId="6B1712B5">
            <w:pPr>
              <w:pStyle w:val="276"/>
              <w:jc w:val="center"/>
              <w:rPr>
                <w:rFonts w:ascii="宋体" w:hAnsi="宋体" w:cs="宋体"/>
                <w:color w:val="auto"/>
                <w:highlight w:val="none"/>
              </w:rPr>
            </w:pPr>
          </w:p>
        </w:tc>
        <w:tc>
          <w:tcPr>
            <w:tcW w:w="665" w:type="dxa"/>
            <w:vAlign w:val="center"/>
          </w:tcPr>
          <w:p w14:paraId="46EECBD3">
            <w:pPr>
              <w:pStyle w:val="276"/>
              <w:jc w:val="center"/>
              <w:rPr>
                <w:rFonts w:ascii="宋体" w:hAnsi="宋体" w:cs="宋体"/>
                <w:color w:val="auto"/>
                <w:highlight w:val="none"/>
              </w:rPr>
            </w:pPr>
          </w:p>
        </w:tc>
        <w:tc>
          <w:tcPr>
            <w:tcW w:w="666" w:type="dxa"/>
            <w:vAlign w:val="center"/>
          </w:tcPr>
          <w:p w14:paraId="6F8E1E41">
            <w:pPr>
              <w:pStyle w:val="276"/>
              <w:jc w:val="center"/>
              <w:rPr>
                <w:rFonts w:ascii="宋体" w:hAnsi="宋体" w:cs="宋体"/>
                <w:color w:val="auto"/>
                <w:highlight w:val="none"/>
              </w:rPr>
            </w:pPr>
          </w:p>
        </w:tc>
        <w:tc>
          <w:tcPr>
            <w:tcW w:w="672" w:type="dxa"/>
            <w:vAlign w:val="center"/>
          </w:tcPr>
          <w:p w14:paraId="1201B103">
            <w:pPr>
              <w:pStyle w:val="276"/>
              <w:jc w:val="center"/>
              <w:rPr>
                <w:rFonts w:ascii="宋体" w:hAnsi="宋体" w:cs="宋体"/>
                <w:color w:val="auto"/>
                <w:highlight w:val="none"/>
              </w:rPr>
            </w:pPr>
          </w:p>
        </w:tc>
        <w:tc>
          <w:tcPr>
            <w:tcW w:w="664" w:type="dxa"/>
            <w:vAlign w:val="center"/>
          </w:tcPr>
          <w:p w14:paraId="252A228A">
            <w:pPr>
              <w:pStyle w:val="276"/>
              <w:jc w:val="center"/>
              <w:rPr>
                <w:rFonts w:ascii="宋体" w:hAnsi="宋体" w:cs="宋体"/>
                <w:color w:val="auto"/>
                <w:highlight w:val="none"/>
              </w:rPr>
            </w:pPr>
          </w:p>
        </w:tc>
        <w:tc>
          <w:tcPr>
            <w:tcW w:w="664" w:type="dxa"/>
            <w:vAlign w:val="center"/>
          </w:tcPr>
          <w:p w14:paraId="4EB4BE55">
            <w:pPr>
              <w:pStyle w:val="276"/>
              <w:jc w:val="center"/>
              <w:rPr>
                <w:rFonts w:ascii="宋体" w:hAnsi="宋体" w:cs="宋体"/>
                <w:color w:val="auto"/>
                <w:highlight w:val="none"/>
              </w:rPr>
            </w:pPr>
          </w:p>
        </w:tc>
        <w:tc>
          <w:tcPr>
            <w:tcW w:w="669" w:type="dxa"/>
            <w:vAlign w:val="center"/>
          </w:tcPr>
          <w:p w14:paraId="1BE8A7F0">
            <w:pPr>
              <w:pStyle w:val="276"/>
              <w:jc w:val="center"/>
              <w:rPr>
                <w:rFonts w:ascii="宋体" w:hAnsi="宋体" w:cs="宋体"/>
                <w:color w:val="auto"/>
                <w:highlight w:val="none"/>
              </w:rPr>
            </w:pPr>
          </w:p>
        </w:tc>
        <w:tc>
          <w:tcPr>
            <w:tcW w:w="664" w:type="dxa"/>
            <w:vAlign w:val="center"/>
          </w:tcPr>
          <w:p w14:paraId="226D1424">
            <w:pPr>
              <w:pStyle w:val="276"/>
              <w:jc w:val="center"/>
              <w:rPr>
                <w:rFonts w:ascii="宋体" w:hAnsi="宋体" w:cs="宋体"/>
                <w:color w:val="auto"/>
                <w:highlight w:val="none"/>
              </w:rPr>
            </w:pPr>
          </w:p>
        </w:tc>
        <w:tc>
          <w:tcPr>
            <w:tcW w:w="898" w:type="dxa"/>
            <w:vAlign w:val="center"/>
          </w:tcPr>
          <w:p w14:paraId="4FD1B07E">
            <w:pPr>
              <w:pStyle w:val="276"/>
              <w:jc w:val="center"/>
              <w:rPr>
                <w:rFonts w:ascii="宋体" w:hAnsi="宋体" w:cs="宋体"/>
                <w:color w:val="auto"/>
                <w:highlight w:val="none"/>
              </w:rPr>
            </w:pPr>
          </w:p>
        </w:tc>
        <w:tc>
          <w:tcPr>
            <w:tcW w:w="702" w:type="dxa"/>
            <w:vAlign w:val="center"/>
          </w:tcPr>
          <w:p w14:paraId="66E1676D">
            <w:pPr>
              <w:pStyle w:val="276"/>
              <w:jc w:val="center"/>
              <w:rPr>
                <w:rFonts w:ascii="宋体" w:hAnsi="宋体" w:cs="宋体"/>
                <w:color w:val="auto"/>
                <w:highlight w:val="none"/>
              </w:rPr>
            </w:pPr>
          </w:p>
        </w:tc>
      </w:tr>
      <w:tr w14:paraId="257A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exact"/>
        </w:trPr>
        <w:tc>
          <w:tcPr>
            <w:tcW w:w="662" w:type="dxa"/>
            <w:vAlign w:val="center"/>
          </w:tcPr>
          <w:p w14:paraId="5D3FF924">
            <w:pPr>
              <w:pStyle w:val="276"/>
              <w:jc w:val="center"/>
              <w:rPr>
                <w:rFonts w:ascii="宋体" w:hAnsi="宋体" w:cs="宋体"/>
                <w:color w:val="auto"/>
                <w:highlight w:val="none"/>
              </w:rPr>
            </w:pPr>
            <w:r>
              <w:rPr>
                <w:rFonts w:ascii="宋体" w:hAnsi="宋体" w:cs="宋体"/>
                <w:color w:val="auto"/>
                <w:highlight w:val="none"/>
              </w:rPr>
              <w:t>9</w:t>
            </w:r>
          </w:p>
        </w:tc>
        <w:tc>
          <w:tcPr>
            <w:tcW w:w="663" w:type="dxa"/>
            <w:vAlign w:val="center"/>
          </w:tcPr>
          <w:p w14:paraId="576F1ECD">
            <w:pPr>
              <w:pStyle w:val="276"/>
              <w:jc w:val="center"/>
              <w:rPr>
                <w:rFonts w:ascii="宋体" w:hAnsi="宋体" w:cs="宋体"/>
                <w:color w:val="auto"/>
                <w:highlight w:val="none"/>
              </w:rPr>
            </w:pPr>
          </w:p>
        </w:tc>
        <w:tc>
          <w:tcPr>
            <w:tcW w:w="663" w:type="dxa"/>
            <w:vAlign w:val="center"/>
          </w:tcPr>
          <w:p w14:paraId="25125D70">
            <w:pPr>
              <w:pStyle w:val="276"/>
              <w:jc w:val="center"/>
              <w:rPr>
                <w:rFonts w:ascii="宋体" w:hAnsi="宋体" w:cs="宋体"/>
                <w:color w:val="auto"/>
                <w:highlight w:val="none"/>
              </w:rPr>
            </w:pPr>
          </w:p>
        </w:tc>
        <w:tc>
          <w:tcPr>
            <w:tcW w:w="669" w:type="dxa"/>
            <w:vAlign w:val="center"/>
          </w:tcPr>
          <w:p w14:paraId="39E0B72E">
            <w:pPr>
              <w:pStyle w:val="276"/>
              <w:jc w:val="center"/>
              <w:rPr>
                <w:rFonts w:ascii="宋体" w:hAnsi="宋体" w:cs="宋体"/>
                <w:color w:val="auto"/>
                <w:highlight w:val="none"/>
              </w:rPr>
            </w:pPr>
          </w:p>
        </w:tc>
        <w:tc>
          <w:tcPr>
            <w:tcW w:w="665" w:type="dxa"/>
            <w:vAlign w:val="center"/>
          </w:tcPr>
          <w:p w14:paraId="06AC6D78">
            <w:pPr>
              <w:pStyle w:val="276"/>
              <w:jc w:val="center"/>
              <w:rPr>
                <w:rFonts w:ascii="宋体" w:hAnsi="宋体" w:cs="宋体"/>
                <w:color w:val="auto"/>
                <w:highlight w:val="none"/>
              </w:rPr>
            </w:pPr>
          </w:p>
        </w:tc>
        <w:tc>
          <w:tcPr>
            <w:tcW w:w="666" w:type="dxa"/>
            <w:vAlign w:val="center"/>
          </w:tcPr>
          <w:p w14:paraId="6C76619F">
            <w:pPr>
              <w:pStyle w:val="276"/>
              <w:jc w:val="center"/>
              <w:rPr>
                <w:rFonts w:ascii="宋体" w:hAnsi="宋体" w:cs="宋体"/>
                <w:color w:val="auto"/>
                <w:highlight w:val="none"/>
              </w:rPr>
            </w:pPr>
          </w:p>
        </w:tc>
        <w:tc>
          <w:tcPr>
            <w:tcW w:w="672" w:type="dxa"/>
            <w:vAlign w:val="center"/>
          </w:tcPr>
          <w:p w14:paraId="4EACA750">
            <w:pPr>
              <w:pStyle w:val="276"/>
              <w:jc w:val="center"/>
              <w:rPr>
                <w:rFonts w:ascii="宋体" w:hAnsi="宋体" w:cs="宋体"/>
                <w:color w:val="auto"/>
                <w:highlight w:val="none"/>
              </w:rPr>
            </w:pPr>
          </w:p>
        </w:tc>
        <w:tc>
          <w:tcPr>
            <w:tcW w:w="664" w:type="dxa"/>
            <w:vAlign w:val="center"/>
          </w:tcPr>
          <w:p w14:paraId="3B1BD494">
            <w:pPr>
              <w:pStyle w:val="276"/>
              <w:jc w:val="center"/>
              <w:rPr>
                <w:rFonts w:ascii="宋体" w:hAnsi="宋体" w:cs="宋体"/>
                <w:color w:val="auto"/>
                <w:highlight w:val="none"/>
              </w:rPr>
            </w:pPr>
          </w:p>
        </w:tc>
        <w:tc>
          <w:tcPr>
            <w:tcW w:w="664" w:type="dxa"/>
            <w:vAlign w:val="center"/>
          </w:tcPr>
          <w:p w14:paraId="6C0F9761">
            <w:pPr>
              <w:pStyle w:val="276"/>
              <w:jc w:val="center"/>
              <w:rPr>
                <w:rFonts w:ascii="宋体" w:hAnsi="宋体" w:cs="宋体"/>
                <w:color w:val="auto"/>
                <w:highlight w:val="none"/>
              </w:rPr>
            </w:pPr>
          </w:p>
        </w:tc>
        <w:tc>
          <w:tcPr>
            <w:tcW w:w="669" w:type="dxa"/>
            <w:vAlign w:val="center"/>
          </w:tcPr>
          <w:p w14:paraId="60DBA20F">
            <w:pPr>
              <w:pStyle w:val="276"/>
              <w:jc w:val="center"/>
              <w:rPr>
                <w:rFonts w:ascii="宋体" w:hAnsi="宋体" w:cs="宋体"/>
                <w:color w:val="auto"/>
                <w:highlight w:val="none"/>
              </w:rPr>
            </w:pPr>
          </w:p>
        </w:tc>
        <w:tc>
          <w:tcPr>
            <w:tcW w:w="664" w:type="dxa"/>
            <w:vAlign w:val="center"/>
          </w:tcPr>
          <w:p w14:paraId="5F8781CC">
            <w:pPr>
              <w:pStyle w:val="276"/>
              <w:jc w:val="center"/>
              <w:rPr>
                <w:rFonts w:ascii="宋体" w:hAnsi="宋体" w:cs="宋体"/>
                <w:color w:val="auto"/>
                <w:highlight w:val="none"/>
              </w:rPr>
            </w:pPr>
          </w:p>
        </w:tc>
        <w:tc>
          <w:tcPr>
            <w:tcW w:w="898" w:type="dxa"/>
            <w:vAlign w:val="center"/>
          </w:tcPr>
          <w:p w14:paraId="3669B495">
            <w:pPr>
              <w:pStyle w:val="276"/>
              <w:jc w:val="center"/>
              <w:rPr>
                <w:rFonts w:ascii="宋体" w:hAnsi="宋体" w:cs="宋体"/>
                <w:color w:val="auto"/>
                <w:highlight w:val="none"/>
              </w:rPr>
            </w:pPr>
          </w:p>
        </w:tc>
        <w:tc>
          <w:tcPr>
            <w:tcW w:w="702" w:type="dxa"/>
            <w:vAlign w:val="center"/>
          </w:tcPr>
          <w:p w14:paraId="20F596D4">
            <w:pPr>
              <w:pStyle w:val="276"/>
              <w:jc w:val="center"/>
              <w:rPr>
                <w:rFonts w:ascii="宋体" w:hAnsi="宋体" w:cs="宋体"/>
                <w:color w:val="auto"/>
                <w:highlight w:val="none"/>
              </w:rPr>
            </w:pPr>
          </w:p>
        </w:tc>
      </w:tr>
      <w:tr w14:paraId="4006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exact"/>
        </w:trPr>
        <w:tc>
          <w:tcPr>
            <w:tcW w:w="662" w:type="dxa"/>
            <w:vAlign w:val="center"/>
          </w:tcPr>
          <w:p w14:paraId="40C5480B">
            <w:pPr>
              <w:pStyle w:val="276"/>
              <w:jc w:val="center"/>
              <w:rPr>
                <w:rFonts w:ascii="宋体" w:hAnsi="宋体" w:cs="宋体"/>
                <w:color w:val="auto"/>
                <w:highlight w:val="none"/>
              </w:rPr>
            </w:pPr>
            <w:r>
              <w:rPr>
                <w:rFonts w:hint="eastAsia" w:ascii="宋体" w:hAnsi="宋体" w:eastAsia="宋体" w:cs="宋体"/>
                <w:color w:val="auto"/>
                <w:highlight w:val="none"/>
              </w:rPr>
              <w:t>…</w:t>
            </w:r>
          </w:p>
        </w:tc>
        <w:tc>
          <w:tcPr>
            <w:tcW w:w="663" w:type="dxa"/>
            <w:vAlign w:val="center"/>
          </w:tcPr>
          <w:p w14:paraId="30C9E0DC">
            <w:pPr>
              <w:pStyle w:val="276"/>
              <w:jc w:val="center"/>
              <w:rPr>
                <w:rFonts w:ascii="宋体" w:hAnsi="宋体" w:cs="宋体"/>
                <w:color w:val="auto"/>
                <w:highlight w:val="none"/>
              </w:rPr>
            </w:pPr>
          </w:p>
        </w:tc>
        <w:tc>
          <w:tcPr>
            <w:tcW w:w="663" w:type="dxa"/>
            <w:vAlign w:val="center"/>
          </w:tcPr>
          <w:p w14:paraId="33626951">
            <w:pPr>
              <w:pStyle w:val="276"/>
              <w:jc w:val="center"/>
              <w:rPr>
                <w:rFonts w:ascii="宋体" w:hAnsi="宋体" w:cs="宋体"/>
                <w:color w:val="auto"/>
                <w:highlight w:val="none"/>
              </w:rPr>
            </w:pPr>
          </w:p>
        </w:tc>
        <w:tc>
          <w:tcPr>
            <w:tcW w:w="669" w:type="dxa"/>
            <w:vAlign w:val="center"/>
          </w:tcPr>
          <w:p w14:paraId="0F10B8F1">
            <w:pPr>
              <w:pStyle w:val="276"/>
              <w:jc w:val="center"/>
              <w:rPr>
                <w:rFonts w:ascii="宋体" w:hAnsi="宋体" w:cs="宋体"/>
                <w:color w:val="auto"/>
                <w:highlight w:val="none"/>
              </w:rPr>
            </w:pPr>
          </w:p>
        </w:tc>
        <w:tc>
          <w:tcPr>
            <w:tcW w:w="665" w:type="dxa"/>
            <w:vAlign w:val="center"/>
          </w:tcPr>
          <w:p w14:paraId="233D412A">
            <w:pPr>
              <w:pStyle w:val="276"/>
              <w:jc w:val="center"/>
              <w:rPr>
                <w:rFonts w:ascii="宋体" w:hAnsi="宋体" w:cs="宋体"/>
                <w:color w:val="auto"/>
                <w:highlight w:val="none"/>
              </w:rPr>
            </w:pPr>
          </w:p>
        </w:tc>
        <w:tc>
          <w:tcPr>
            <w:tcW w:w="666" w:type="dxa"/>
            <w:vAlign w:val="center"/>
          </w:tcPr>
          <w:p w14:paraId="1D123DCE">
            <w:pPr>
              <w:pStyle w:val="276"/>
              <w:jc w:val="center"/>
              <w:rPr>
                <w:rFonts w:ascii="宋体" w:hAnsi="宋体" w:cs="宋体"/>
                <w:color w:val="auto"/>
                <w:highlight w:val="none"/>
              </w:rPr>
            </w:pPr>
          </w:p>
        </w:tc>
        <w:tc>
          <w:tcPr>
            <w:tcW w:w="672" w:type="dxa"/>
            <w:vAlign w:val="center"/>
          </w:tcPr>
          <w:p w14:paraId="1B74B799">
            <w:pPr>
              <w:pStyle w:val="276"/>
              <w:jc w:val="center"/>
              <w:rPr>
                <w:rFonts w:ascii="宋体" w:hAnsi="宋体" w:cs="宋体"/>
                <w:color w:val="auto"/>
                <w:highlight w:val="none"/>
              </w:rPr>
            </w:pPr>
          </w:p>
        </w:tc>
        <w:tc>
          <w:tcPr>
            <w:tcW w:w="664" w:type="dxa"/>
            <w:vAlign w:val="center"/>
          </w:tcPr>
          <w:p w14:paraId="4803B983">
            <w:pPr>
              <w:pStyle w:val="276"/>
              <w:jc w:val="center"/>
              <w:rPr>
                <w:rFonts w:ascii="宋体" w:hAnsi="宋体" w:cs="宋体"/>
                <w:color w:val="auto"/>
                <w:highlight w:val="none"/>
              </w:rPr>
            </w:pPr>
          </w:p>
        </w:tc>
        <w:tc>
          <w:tcPr>
            <w:tcW w:w="664" w:type="dxa"/>
            <w:vAlign w:val="center"/>
          </w:tcPr>
          <w:p w14:paraId="522986D8">
            <w:pPr>
              <w:pStyle w:val="276"/>
              <w:jc w:val="center"/>
              <w:rPr>
                <w:rFonts w:ascii="宋体" w:hAnsi="宋体" w:cs="宋体"/>
                <w:color w:val="auto"/>
                <w:highlight w:val="none"/>
              </w:rPr>
            </w:pPr>
          </w:p>
        </w:tc>
        <w:tc>
          <w:tcPr>
            <w:tcW w:w="669" w:type="dxa"/>
            <w:vAlign w:val="center"/>
          </w:tcPr>
          <w:p w14:paraId="6B027004">
            <w:pPr>
              <w:pStyle w:val="276"/>
              <w:jc w:val="center"/>
              <w:rPr>
                <w:rFonts w:ascii="宋体" w:hAnsi="宋体" w:cs="宋体"/>
                <w:color w:val="auto"/>
                <w:highlight w:val="none"/>
              </w:rPr>
            </w:pPr>
          </w:p>
        </w:tc>
        <w:tc>
          <w:tcPr>
            <w:tcW w:w="664" w:type="dxa"/>
            <w:vAlign w:val="center"/>
          </w:tcPr>
          <w:p w14:paraId="49BEF080">
            <w:pPr>
              <w:pStyle w:val="276"/>
              <w:jc w:val="center"/>
              <w:rPr>
                <w:rFonts w:ascii="宋体" w:hAnsi="宋体" w:cs="宋体"/>
                <w:color w:val="auto"/>
                <w:highlight w:val="none"/>
              </w:rPr>
            </w:pPr>
          </w:p>
        </w:tc>
        <w:tc>
          <w:tcPr>
            <w:tcW w:w="898" w:type="dxa"/>
            <w:vAlign w:val="center"/>
          </w:tcPr>
          <w:p w14:paraId="0C430FA2">
            <w:pPr>
              <w:pStyle w:val="276"/>
              <w:jc w:val="center"/>
              <w:rPr>
                <w:rFonts w:ascii="宋体" w:hAnsi="宋体" w:cs="宋体"/>
                <w:color w:val="auto"/>
                <w:highlight w:val="none"/>
              </w:rPr>
            </w:pPr>
          </w:p>
        </w:tc>
        <w:tc>
          <w:tcPr>
            <w:tcW w:w="702" w:type="dxa"/>
            <w:vAlign w:val="center"/>
          </w:tcPr>
          <w:p w14:paraId="425BAEB8">
            <w:pPr>
              <w:pStyle w:val="276"/>
              <w:jc w:val="center"/>
              <w:rPr>
                <w:rFonts w:ascii="宋体" w:hAnsi="宋体" w:cs="宋体"/>
                <w:color w:val="auto"/>
                <w:highlight w:val="none"/>
              </w:rPr>
            </w:pPr>
          </w:p>
        </w:tc>
      </w:tr>
      <w:tr w14:paraId="78D36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exact"/>
        </w:trPr>
        <w:tc>
          <w:tcPr>
            <w:tcW w:w="2657" w:type="dxa"/>
            <w:gridSpan w:val="4"/>
            <w:vAlign w:val="center"/>
          </w:tcPr>
          <w:p w14:paraId="39AA3D8C">
            <w:pPr>
              <w:pStyle w:val="276"/>
              <w:jc w:val="center"/>
              <w:rPr>
                <w:rFonts w:ascii="宋体" w:hAnsi="宋体" w:cs="宋体"/>
                <w:color w:val="auto"/>
                <w:highlight w:val="none"/>
              </w:rPr>
            </w:pPr>
            <w:r>
              <w:rPr>
                <w:rFonts w:hint="eastAsia" w:ascii="宋体" w:hAnsi="宋体" w:cs="宋体"/>
                <w:color w:val="auto"/>
                <w:highlight w:val="none"/>
              </w:rPr>
              <w:t>合计（元）</w:t>
            </w:r>
          </w:p>
        </w:tc>
        <w:tc>
          <w:tcPr>
            <w:tcW w:w="665" w:type="dxa"/>
            <w:vAlign w:val="center"/>
          </w:tcPr>
          <w:p w14:paraId="1954A965">
            <w:pPr>
              <w:pStyle w:val="276"/>
              <w:jc w:val="center"/>
              <w:rPr>
                <w:rFonts w:ascii="宋体" w:hAnsi="宋体" w:cs="宋体"/>
                <w:color w:val="auto"/>
                <w:highlight w:val="none"/>
              </w:rPr>
            </w:pPr>
          </w:p>
        </w:tc>
        <w:tc>
          <w:tcPr>
            <w:tcW w:w="666" w:type="dxa"/>
            <w:vAlign w:val="center"/>
          </w:tcPr>
          <w:p w14:paraId="29D19F9D">
            <w:pPr>
              <w:pStyle w:val="276"/>
              <w:jc w:val="center"/>
              <w:rPr>
                <w:rFonts w:ascii="宋体" w:hAnsi="宋体" w:cs="宋体"/>
                <w:color w:val="auto"/>
                <w:highlight w:val="none"/>
              </w:rPr>
            </w:pPr>
          </w:p>
        </w:tc>
        <w:tc>
          <w:tcPr>
            <w:tcW w:w="672" w:type="dxa"/>
            <w:vAlign w:val="center"/>
          </w:tcPr>
          <w:p w14:paraId="7C8BF491">
            <w:pPr>
              <w:pStyle w:val="276"/>
              <w:jc w:val="center"/>
              <w:rPr>
                <w:rFonts w:ascii="宋体" w:hAnsi="宋体" w:cs="宋体"/>
                <w:color w:val="auto"/>
                <w:highlight w:val="none"/>
              </w:rPr>
            </w:pPr>
          </w:p>
        </w:tc>
        <w:tc>
          <w:tcPr>
            <w:tcW w:w="1997" w:type="dxa"/>
            <w:gridSpan w:val="3"/>
            <w:vAlign w:val="center"/>
          </w:tcPr>
          <w:p w14:paraId="52C71BBF">
            <w:pPr>
              <w:pStyle w:val="276"/>
              <w:jc w:val="center"/>
              <w:rPr>
                <w:rFonts w:ascii="宋体" w:hAnsi="宋体" w:cs="宋体"/>
                <w:color w:val="auto"/>
                <w:highlight w:val="none"/>
              </w:rPr>
            </w:pPr>
            <w:r>
              <w:rPr>
                <w:rFonts w:hint="eastAsia" w:ascii="宋体" w:hAnsi="宋体" w:cs="宋体"/>
                <w:color w:val="auto"/>
                <w:highlight w:val="none"/>
              </w:rPr>
              <w:t>合计（元）</w:t>
            </w:r>
          </w:p>
        </w:tc>
        <w:tc>
          <w:tcPr>
            <w:tcW w:w="664" w:type="dxa"/>
            <w:vAlign w:val="center"/>
          </w:tcPr>
          <w:p w14:paraId="3D743F44">
            <w:pPr>
              <w:pStyle w:val="276"/>
              <w:jc w:val="center"/>
              <w:rPr>
                <w:rFonts w:ascii="宋体" w:hAnsi="宋体" w:cs="宋体"/>
                <w:color w:val="auto"/>
                <w:highlight w:val="none"/>
              </w:rPr>
            </w:pPr>
          </w:p>
        </w:tc>
        <w:tc>
          <w:tcPr>
            <w:tcW w:w="898" w:type="dxa"/>
            <w:vAlign w:val="center"/>
          </w:tcPr>
          <w:p w14:paraId="55415F45">
            <w:pPr>
              <w:pStyle w:val="276"/>
              <w:jc w:val="center"/>
              <w:rPr>
                <w:rFonts w:ascii="宋体" w:hAnsi="宋体" w:cs="宋体"/>
                <w:color w:val="auto"/>
                <w:highlight w:val="none"/>
              </w:rPr>
            </w:pPr>
          </w:p>
        </w:tc>
        <w:tc>
          <w:tcPr>
            <w:tcW w:w="702" w:type="dxa"/>
            <w:vAlign w:val="center"/>
          </w:tcPr>
          <w:p w14:paraId="7ECB43F8">
            <w:pPr>
              <w:pStyle w:val="276"/>
              <w:jc w:val="center"/>
              <w:rPr>
                <w:rFonts w:ascii="宋体" w:hAnsi="宋体" w:cs="宋体"/>
                <w:color w:val="auto"/>
                <w:highlight w:val="none"/>
              </w:rPr>
            </w:pPr>
          </w:p>
        </w:tc>
      </w:tr>
    </w:tbl>
    <w:p w14:paraId="34B32F24">
      <w:pPr>
        <w:pStyle w:val="276"/>
        <w:rPr>
          <w:rFonts w:ascii="宋体" w:hAnsi="宋体" w:cs="宋体"/>
          <w:color w:val="auto"/>
          <w:highlight w:val="none"/>
        </w:rPr>
      </w:pPr>
    </w:p>
    <w:p w14:paraId="5968CDE9">
      <w:pPr>
        <w:pStyle w:val="276"/>
        <w:jc w:val="center"/>
        <w:rPr>
          <w:rFonts w:ascii="黑体" w:hAnsi="黑体" w:eastAsia="黑体" w:cs="宋体"/>
          <w:color w:val="auto"/>
          <w:sz w:val="24"/>
          <w:highlight w:val="none"/>
        </w:rPr>
      </w:pPr>
      <w:r>
        <w:rPr>
          <w:rFonts w:ascii="宋体" w:hAnsi="宋体" w:cs="宋体"/>
          <w:b/>
          <w:color w:val="auto"/>
          <w:sz w:val="24"/>
          <w:highlight w:val="none"/>
        </w:rPr>
        <w:br w:type="page"/>
      </w:r>
      <w:r>
        <w:rPr>
          <w:rFonts w:hint="eastAsia" w:ascii="黑体" w:hAnsi="黑体" w:eastAsia="黑体" w:cs="宋体"/>
          <w:color w:val="auto"/>
          <w:sz w:val="24"/>
          <w:highlight w:val="none"/>
        </w:rPr>
        <w:t>表</w:t>
      </w:r>
      <w:r>
        <w:rPr>
          <w:rFonts w:ascii="黑体" w:hAnsi="黑体" w:eastAsia="黑体" w:cs="宋体"/>
          <w:color w:val="auto"/>
          <w:sz w:val="24"/>
          <w:highlight w:val="none"/>
        </w:rPr>
        <w:t>4</w:t>
      </w:r>
      <w:r>
        <w:rPr>
          <w:rFonts w:ascii="黑体" w:hAnsi="黑体" w:eastAsia="黑体" w:cs="宋体"/>
          <w:color w:val="auto"/>
          <w:sz w:val="24"/>
          <w:highlight w:val="none"/>
        </w:rPr>
        <w:tab/>
      </w:r>
      <w:r>
        <w:rPr>
          <w:rFonts w:hint="eastAsia" w:ascii="黑体" w:hAnsi="黑体" w:eastAsia="黑体" w:cs="宋体"/>
          <w:color w:val="auto"/>
          <w:sz w:val="24"/>
          <w:highlight w:val="none"/>
        </w:rPr>
        <w:t>监理试验室交通设施费报价表</w:t>
      </w:r>
    </w:p>
    <w:p w14:paraId="6D63F9AA">
      <w:pPr>
        <w:pStyle w:val="276"/>
        <w:rPr>
          <w:rFonts w:ascii="宋体" w:hAnsi="宋体" w:cs="宋体"/>
          <w:color w:val="auto"/>
          <w:highlight w:val="none"/>
        </w:rPr>
      </w:pPr>
    </w:p>
    <w:tbl>
      <w:tblPr>
        <w:tblStyle w:val="48"/>
        <w:tblW w:w="877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570"/>
        <w:gridCol w:w="572"/>
        <w:gridCol w:w="570"/>
        <w:gridCol w:w="582"/>
        <w:gridCol w:w="573"/>
        <w:gridCol w:w="571"/>
        <w:gridCol w:w="697"/>
        <w:gridCol w:w="655"/>
        <w:gridCol w:w="532"/>
        <w:gridCol w:w="569"/>
        <w:gridCol w:w="573"/>
        <w:gridCol w:w="683"/>
        <w:gridCol w:w="622"/>
        <w:gridCol w:w="650"/>
      </w:tblGrid>
      <w:tr w14:paraId="54B9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exact"/>
        </w:trPr>
        <w:tc>
          <w:tcPr>
            <w:tcW w:w="360" w:type="dxa"/>
            <w:vMerge w:val="restart"/>
            <w:vAlign w:val="center"/>
          </w:tcPr>
          <w:p w14:paraId="74E0CA18">
            <w:pPr>
              <w:pStyle w:val="276"/>
              <w:jc w:val="center"/>
              <w:rPr>
                <w:rFonts w:ascii="宋体" w:hAnsi="宋体" w:cs="宋体"/>
                <w:color w:val="auto"/>
                <w:highlight w:val="none"/>
              </w:rPr>
            </w:pPr>
            <w:r>
              <w:rPr>
                <w:rFonts w:hint="eastAsia" w:ascii="宋体" w:hAnsi="宋体" w:cs="宋体"/>
                <w:color w:val="auto"/>
                <w:highlight w:val="none"/>
              </w:rPr>
              <w:t>序号</w:t>
            </w:r>
          </w:p>
        </w:tc>
        <w:tc>
          <w:tcPr>
            <w:tcW w:w="4135" w:type="dxa"/>
            <w:gridSpan w:val="7"/>
            <w:vAlign w:val="center"/>
          </w:tcPr>
          <w:p w14:paraId="52268ADB">
            <w:pPr>
              <w:pStyle w:val="276"/>
              <w:jc w:val="center"/>
              <w:rPr>
                <w:rFonts w:ascii="宋体" w:hAnsi="宋体" w:cs="宋体"/>
                <w:color w:val="auto"/>
                <w:highlight w:val="none"/>
              </w:rPr>
            </w:pPr>
            <w:r>
              <w:rPr>
                <w:rFonts w:hint="eastAsia" w:ascii="宋体" w:hAnsi="宋体" w:cs="宋体"/>
                <w:color w:val="auto"/>
                <w:highlight w:val="none"/>
              </w:rPr>
              <w:t>施工期（含施工准备期）</w:t>
            </w:r>
          </w:p>
        </w:tc>
        <w:tc>
          <w:tcPr>
            <w:tcW w:w="4284" w:type="dxa"/>
            <w:gridSpan w:val="7"/>
            <w:vAlign w:val="center"/>
          </w:tcPr>
          <w:p w14:paraId="7CB9E940">
            <w:pPr>
              <w:pStyle w:val="276"/>
              <w:jc w:val="center"/>
              <w:rPr>
                <w:rFonts w:ascii="宋体" w:hAnsi="宋体" w:cs="宋体"/>
                <w:color w:val="auto"/>
                <w:highlight w:val="none"/>
              </w:rPr>
            </w:pPr>
            <w:r>
              <w:rPr>
                <w:rFonts w:hint="eastAsia" w:ascii="宋体" w:hAnsi="宋体" w:cs="宋体"/>
                <w:color w:val="auto"/>
                <w:highlight w:val="none"/>
              </w:rPr>
              <w:t>缺陷责任期</w:t>
            </w:r>
          </w:p>
        </w:tc>
      </w:tr>
      <w:tr w14:paraId="0B439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8" w:hRule="exact"/>
        </w:trPr>
        <w:tc>
          <w:tcPr>
            <w:tcW w:w="360" w:type="dxa"/>
            <w:vMerge w:val="continue"/>
            <w:vAlign w:val="center"/>
          </w:tcPr>
          <w:p w14:paraId="3FAA1845">
            <w:pPr>
              <w:pStyle w:val="276"/>
              <w:jc w:val="center"/>
              <w:rPr>
                <w:rFonts w:ascii="宋体" w:hAnsi="宋体" w:cs="宋体"/>
                <w:color w:val="auto"/>
                <w:highlight w:val="none"/>
              </w:rPr>
            </w:pPr>
          </w:p>
        </w:tc>
        <w:tc>
          <w:tcPr>
            <w:tcW w:w="570" w:type="dxa"/>
            <w:vAlign w:val="center"/>
          </w:tcPr>
          <w:p w14:paraId="423007DB">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名称及</w:t>
            </w:r>
          </w:p>
          <w:p w14:paraId="0549B01D">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型号</w:t>
            </w:r>
          </w:p>
        </w:tc>
        <w:tc>
          <w:tcPr>
            <w:tcW w:w="572" w:type="dxa"/>
            <w:vAlign w:val="center"/>
          </w:tcPr>
          <w:p w14:paraId="5E4669E9">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数量</w:t>
            </w:r>
          </w:p>
          <w:p w14:paraId="049E7AFA">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（辆）</w:t>
            </w:r>
          </w:p>
        </w:tc>
        <w:tc>
          <w:tcPr>
            <w:tcW w:w="570" w:type="dxa"/>
            <w:vAlign w:val="center"/>
          </w:tcPr>
          <w:p w14:paraId="00637FFF">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单价</w:t>
            </w:r>
          </w:p>
          <w:p w14:paraId="37CD29B8">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582" w:type="dxa"/>
            <w:vAlign w:val="center"/>
          </w:tcPr>
          <w:p w14:paraId="6A1E2BFA">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合价</w:t>
            </w:r>
          </w:p>
          <w:p w14:paraId="6B9AC1B7">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573" w:type="dxa"/>
            <w:vAlign w:val="center"/>
          </w:tcPr>
          <w:p w14:paraId="6B7C02D8">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折旧费</w:t>
            </w:r>
          </w:p>
          <w:p w14:paraId="2237D379">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571" w:type="dxa"/>
            <w:vAlign w:val="center"/>
          </w:tcPr>
          <w:p w14:paraId="4031710A">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使用费</w:t>
            </w:r>
          </w:p>
          <w:p w14:paraId="5718C3EB">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697" w:type="dxa"/>
            <w:vAlign w:val="center"/>
          </w:tcPr>
          <w:p w14:paraId="45E24C08">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小计</w:t>
            </w:r>
          </w:p>
          <w:p w14:paraId="2850669E">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折旧及使用费</w:t>
            </w:r>
          </w:p>
          <w:p w14:paraId="378F62A7">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655" w:type="dxa"/>
            <w:vAlign w:val="center"/>
          </w:tcPr>
          <w:p w14:paraId="14CD36DE">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名称及</w:t>
            </w:r>
          </w:p>
          <w:p w14:paraId="41A840B8">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型号</w:t>
            </w:r>
          </w:p>
        </w:tc>
        <w:tc>
          <w:tcPr>
            <w:tcW w:w="532" w:type="dxa"/>
            <w:vAlign w:val="center"/>
          </w:tcPr>
          <w:p w14:paraId="6567BB37">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数量</w:t>
            </w:r>
          </w:p>
          <w:p w14:paraId="3D6C6903">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（辆）</w:t>
            </w:r>
          </w:p>
        </w:tc>
        <w:tc>
          <w:tcPr>
            <w:tcW w:w="569" w:type="dxa"/>
            <w:vAlign w:val="center"/>
          </w:tcPr>
          <w:p w14:paraId="52A77C80">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单价</w:t>
            </w:r>
          </w:p>
          <w:p w14:paraId="5CA86DF8">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573" w:type="dxa"/>
            <w:vAlign w:val="center"/>
          </w:tcPr>
          <w:p w14:paraId="12DEE50E">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合价</w:t>
            </w:r>
          </w:p>
          <w:p w14:paraId="6BE28D93">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683" w:type="dxa"/>
            <w:vAlign w:val="center"/>
          </w:tcPr>
          <w:p w14:paraId="4955219F">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折旧费</w:t>
            </w:r>
          </w:p>
          <w:p w14:paraId="71DAA958">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622" w:type="dxa"/>
            <w:vAlign w:val="center"/>
          </w:tcPr>
          <w:p w14:paraId="0377050F">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使用费</w:t>
            </w:r>
          </w:p>
          <w:p w14:paraId="0E10D091">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650" w:type="dxa"/>
            <w:vAlign w:val="center"/>
          </w:tcPr>
          <w:p w14:paraId="6113D081">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小计折旧及使用费（元）</w:t>
            </w:r>
          </w:p>
        </w:tc>
      </w:tr>
      <w:tr w14:paraId="2605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exact"/>
        </w:trPr>
        <w:tc>
          <w:tcPr>
            <w:tcW w:w="360" w:type="dxa"/>
            <w:vAlign w:val="center"/>
          </w:tcPr>
          <w:p w14:paraId="64D894C2">
            <w:pPr>
              <w:pStyle w:val="276"/>
              <w:jc w:val="center"/>
              <w:rPr>
                <w:rFonts w:ascii="宋体" w:hAnsi="宋体" w:cs="宋体"/>
                <w:color w:val="auto"/>
                <w:highlight w:val="none"/>
              </w:rPr>
            </w:pPr>
            <w:r>
              <w:rPr>
                <w:rFonts w:ascii="宋体" w:hAnsi="宋体" w:cs="宋体"/>
                <w:color w:val="auto"/>
                <w:highlight w:val="none"/>
              </w:rPr>
              <w:t>1</w:t>
            </w:r>
          </w:p>
        </w:tc>
        <w:tc>
          <w:tcPr>
            <w:tcW w:w="570" w:type="dxa"/>
            <w:vAlign w:val="center"/>
          </w:tcPr>
          <w:p w14:paraId="32461B03">
            <w:pPr>
              <w:pStyle w:val="276"/>
              <w:jc w:val="center"/>
              <w:rPr>
                <w:rFonts w:ascii="宋体" w:hAnsi="宋体" w:cs="宋体"/>
                <w:color w:val="auto"/>
                <w:highlight w:val="none"/>
              </w:rPr>
            </w:pPr>
          </w:p>
        </w:tc>
        <w:tc>
          <w:tcPr>
            <w:tcW w:w="572" w:type="dxa"/>
            <w:vAlign w:val="center"/>
          </w:tcPr>
          <w:p w14:paraId="6BD9F390">
            <w:pPr>
              <w:pStyle w:val="276"/>
              <w:jc w:val="center"/>
              <w:rPr>
                <w:rFonts w:ascii="宋体" w:hAnsi="宋体" w:cs="宋体"/>
                <w:color w:val="auto"/>
                <w:highlight w:val="none"/>
              </w:rPr>
            </w:pPr>
          </w:p>
        </w:tc>
        <w:tc>
          <w:tcPr>
            <w:tcW w:w="570" w:type="dxa"/>
            <w:vAlign w:val="center"/>
          </w:tcPr>
          <w:p w14:paraId="666403D4">
            <w:pPr>
              <w:pStyle w:val="276"/>
              <w:jc w:val="center"/>
              <w:rPr>
                <w:rFonts w:ascii="宋体" w:hAnsi="宋体" w:cs="宋体"/>
                <w:color w:val="auto"/>
                <w:highlight w:val="none"/>
              </w:rPr>
            </w:pPr>
          </w:p>
        </w:tc>
        <w:tc>
          <w:tcPr>
            <w:tcW w:w="582" w:type="dxa"/>
            <w:vAlign w:val="center"/>
          </w:tcPr>
          <w:p w14:paraId="598FFA3B">
            <w:pPr>
              <w:pStyle w:val="276"/>
              <w:jc w:val="center"/>
              <w:rPr>
                <w:rFonts w:ascii="宋体" w:hAnsi="宋体" w:cs="宋体"/>
                <w:color w:val="auto"/>
                <w:highlight w:val="none"/>
              </w:rPr>
            </w:pPr>
          </w:p>
        </w:tc>
        <w:tc>
          <w:tcPr>
            <w:tcW w:w="573" w:type="dxa"/>
            <w:vAlign w:val="center"/>
          </w:tcPr>
          <w:p w14:paraId="7B843772">
            <w:pPr>
              <w:pStyle w:val="276"/>
              <w:jc w:val="center"/>
              <w:rPr>
                <w:rFonts w:ascii="宋体" w:hAnsi="宋体" w:cs="宋体"/>
                <w:color w:val="auto"/>
                <w:highlight w:val="none"/>
              </w:rPr>
            </w:pPr>
          </w:p>
        </w:tc>
        <w:tc>
          <w:tcPr>
            <w:tcW w:w="571" w:type="dxa"/>
            <w:vAlign w:val="center"/>
          </w:tcPr>
          <w:p w14:paraId="32F44AFC">
            <w:pPr>
              <w:pStyle w:val="276"/>
              <w:jc w:val="center"/>
              <w:rPr>
                <w:rFonts w:ascii="宋体" w:hAnsi="宋体" w:cs="宋体"/>
                <w:color w:val="auto"/>
                <w:highlight w:val="none"/>
              </w:rPr>
            </w:pPr>
          </w:p>
        </w:tc>
        <w:tc>
          <w:tcPr>
            <w:tcW w:w="697" w:type="dxa"/>
            <w:vAlign w:val="center"/>
          </w:tcPr>
          <w:p w14:paraId="60BE0E8A">
            <w:pPr>
              <w:pStyle w:val="276"/>
              <w:jc w:val="center"/>
              <w:rPr>
                <w:rFonts w:ascii="宋体" w:hAnsi="宋体" w:cs="宋体"/>
                <w:color w:val="auto"/>
                <w:highlight w:val="none"/>
              </w:rPr>
            </w:pPr>
          </w:p>
        </w:tc>
        <w:tc>
          <w:tcPr>
            <w:tcW w:w="655" w:type="dxa"/>
            <w:vAlign w:val="center"/>
          </w:tcPr>
          <w:p w14:paraId="55C8B1D7">
            <w:pPr>
              <w:pStyle w:val="276"/>
              <w:jc w:val="center"/>
              <w:rPr>
                <w:rFonts w:ascii="宋体" w:hAnsi="宋体" w:cs="宋体"/>
                <w:color w:val="auto"/>
                <w:highlight w:val="none"/>
              </w:rPr>
            </w:pPr>
          </w:p>
        </w:tc>
        <w:tc>
          <w:tcPr>
            <w:tcW w:w="532" w:type="dxa"/>
            <w:vAlign w:val="center"/>
          </w:tcPr>
          <w:p w14:paraId="24899DA0">
            <w:pPr>
              <w:pStyle w:val="276"/>
              <w:jc w:val="center"/>
              <w:rPr>
                <w:rFonts w:ascii="宋体" w:hAnsi="宋体" w:cs="宋体"/>
                <w:color w:val="auto"/>
                <w:highlight w:val="none"/>
              </w:rPr>
            </w:pPr>
          </w:p>
        </w:tc>
        <w:tc>
          <w:tcPr>
            <w:tcW w:w="569" w:type="dxa"/>
          </w:tcPr>
          <w:p w14:paraId="36D6AD8F">
            <w:pPr>
              <w:pStyle w:val="276"/>
              <w:jc w:val="center"/>
              <w:rPr>
                <w:rFonts w:ascii="宋体" w:hAnsi="宋体" w:cs="宋体"/>
                <w:color w:val="auto"/>
                <w:highlight w:val="none"/>
              </w:rPr>
            </w:pPr>
          </w:p>
        </w:tc>
        <w:tc>
          <w:tcPr>
            <w:tcW w:w="573" w:type="dxa"/>
            <w:vAlign w:val="center"/>
          </w:tcPr>
          <w:p w14:paraId="2E5321DF">
            <w:pPr>
              <w:pStyle w:val="276"/>
              <w:jc w:val="center"/>
              <w:rPr>
                <w:rFonts w:ascii="宋体" w:hAnsi="宋体" w:cs="宋体"/>
                <w:color w:val="auto"/>
                <w:highlight w:val="none"/>
              </w:rPr>
            </w:pPr>
          </w:p>
        </w:tc>
        <w:tc>
          <w:tcPr>
            <w:tcW w:w="683" w:type="dxa"/>
            <w:vAlign w:val="center"/>
          </w:tcPr>
          <w:p w14:paraId="7F418DB6">
            <w:pPr>
              <w:pStyle w:val="276"/>
              <w:jc w:val="center"/>
              <w:rPr>
                <w:rFonts w:ascii="宋体" w:hAnsi="宋体" w:cs="宋体"/>
                <w:color w:val="auto"/>
                <w:highlight w:val="none"/>
              </w:rPr>
            </w:pPr>
          </w:p>
        </w:tc>
        <w:tc>
          <w:tcPr>
            <w:tcW w:w="622" w:type="dxa"/>
            <w:vAlign w:val="center"/>
          </w:tcPr>
          <w:p w14:paraId="00280FD6">
            <w:pPr>
              <w:pStyle w:val="276"/>
              <w:jc w:val="center"/>
              <w:rPr>
                <w:rFonts w:ascii="宋体" w:hAnsi="宋体" w:cs="宋体"/>
                <w:color w:val="auto"/>
                <w:highlight w:val="none"/>
              </w:rPr>
            </w:pPr>
          </w:p>
        </w:tc>
        <w:tc>
          <w:tcPr>
            <w:tcW w:w="650" w:type="dxa"/>
            <w:vAlign w:val="center"/>
          </w:tcPr>
          <w:p w14:paraId="1555D838">
            <w:pPr>
              <w:pStyle w:val="276"/>
              <w:jc w:val="center"/>
              <w:rPr>
                <w:rFonts w:ascii="宋体" w:hAnsi="宋体" w:cs="宋体"/>
                <w:color w:val="auto"/>
                <w:highlight w:val="none"/>
              </w:rPr>
            </w:pPr>
          </w:p>
        </w:tc>
      </w:tr>
      <w:tr w14:paraId="39809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exact"/>
        </w:trPr>
        <w:tc>
          <w:tcPr>
            <w:tcW w:w="360" w:type="dxa"/>
            <w:vAlign w:val="center"/>
          </w:tcPr>
          <w:p w14:paraId="4799DABC">
            <w:pPr>
              <w:pStyle w:val="276"/>
              <w:jc w:val="center"/>
              <w:rPr>
                <w:rFonts w:ascii="宋体" w:hAnsi="宋体" w:cs="宋体"/>
                <w:color w:val="auto"/>
                <w:highlight w:val="none"/>
              </w:rPr>
            </w:pPr>
            <w:r>
              <w:rPr>
                <w:rFonts w:ascii="宋体" w:hAnsi="宋体" w:cs="宋体"/>
                <w:color w:val="auto"/>
                <w:highlight w:val="none"/>
              </w:rPr>
              <w:t>2</w:t>
            </w:r>
          </w:p>
        </w:tc>
        <w:tc>
          <w:tcPr>
            <w:tcW w:w="570" w:type="dxa"/>
            <w:vAlign w:val="center"/>
          </w:tcPr>
          <w:p w14:paraId="01201F9E">
            <w:pPr>
              <w:pStyle w:val="276"/>
              <w:jc w:val="center"/>
              <w:rPr>
                <w:rFonts w:ascii="宋体" w:hAnsi="宋体" w:cs="宋体"/>
                <w:color w:val="auto"/>
                <w:highlight w:val="none"/>
              </w:rPr>
            </w:pPr>
          </w:p>
        </w:tc>
        <w:tc>
          <w:tcPr>
            <w:tcW w:w="572" w:type="dxa"/>
            <w:vAlign w:val="center"/>
          </w:tcPr>
          <w:p w14:paraId="21FFCAE0">
            <w:pPr>
              <w:pStyle w:val="276"/>
              <w:jc w:val="center"/>
              <w:rPr>
                <w:rFonts w:ascii="宋体" w:hAnsi="宋体" w:cs="宋体"/>
                <w:color w:val="auto"/>
                <w:highlight w:val="none"/>
              </w:rPr>
            </w:pPr>
          </w:p>
        </w:tc>
        <w:tc>
          <w:tcPr>
            <w:tcW w:w="570" w:type="dxa"/>
            <w:vAlign w:val="center"/>
          </w:tcPr>
          <w:p w14:paraId="54CDC5EB">
            <w:pPr>
              <w:pStyle w:val="276"/>
              <w:jc w:val="center"/>
              <w:rPr>
                <w:rFonts w:ascii="宋体" w:hAnsi="宋体" w:cs="宋体"/>
                <w:color w:val="auto"/>
                <w:highlight w:val="none"/>
              </w:rPr>
            </w:pPr>
          </w:p>
        </w:tc>
        <w:tc>
          <w:tcPr>
            <w:tcW w:w="582" w:type="dxa"/>
            <w:vAlign w:val="center"/>
          </w:tcPr>
          <w:p w14:paraId="32A6E229">
            <w:pPr>
              <w:pStyle w:val="276"/>
              <w:jc w:val="center"/>
              <w:rPr>
                <w:rFonts w:ascii="宋体" w:hAnsi="宋体" w:cs="宋体"/>
                <w:color w:val="auto"/>
                <w:highlight w:val="none"/>
              </w:rPr>
            </w:pPr>
          </w:p>
        </w:tc>
        <w:tc>
          <w:tcPr>
            <w:tcW w:w="573" w:type="dxa"/>
            <w:vAlign w:val="center"/>
          </w:tcPr>
          <w:p w14:paraId="6D53974F">
            <w:pPr>
              <w:pStyle w:val="276"/>
              <w:jc w:val="center"/>
              <w:rPr>
                <w:rFonts w:ascii="宋体" w:hAnsi="宋体" w:cs="宋体"/>
                <w:color w:val="auto"/>
                <w:highlight w:val="none"/>
              </w:rPr>
            </w:pPr>
          </w:p>
        </w:tc>
        <w:tc>
          <w:tcPr>
            <w:tcW w:w="571" w:type="dxa"/>
            <w:vAlign w:val="center"/>
          </w:tcPr>
          <w:p w14:paraId="60D0BC7A">
            <w:pPr>
              <w:pStyle w:val="276"/>
              <w:jc w:val="center"/>
              <w:rPr>
                <w:rFonts w:ascii="宋体" w:hAnsi="宋体" w:cs="宋体"/>
                <w:color w:val="auto"/>
                <w:highlight w:val="none"/>
              </w:rPr>
            </w:pPr>
          </w:p>
        </w:tc>
        <w:tc>
          <w:tcPr>
            <w:tcW w:w="697" w:type="dxa"/>
            <w:vAlign w:val="center"/>
          </w:tcPr>
          <w:p w14:paraId="1FF08104">
            <w:pPr>
              <w:pStyle w:val="276"/>
              <w:jc w:val="center"/>
              <w:rPr>
                <w:rFonts w:ascii="宋体" w:hAnsi="宋体" w:cs="宋体"/>
                <w:color w:val="auto"/>
                <w:highlight w:val="none"/>
              </w:rPr>
            </w:pPr>
          </w:p>
        </w:tc>
        <w:tc>
          <w:tcPr>
            <w:tcW w:w="655" w:type="dxa"/>
            <w:vAlign w:val="center"/>
          </w:tcPr>
          <w:p w14:paraId="2D26FE1C">
            <w:pPr>
              <w:pStyle w:val="276"/>
              <w:jc w:val="center"/>
              <w:rPr>
                <w:rFonts w:ascii="宋体" w:hAnsi="宋体" w:cs="宋体"/>
                <w:color w:val="auto"/>
                <w:highlight w:val="none"/>
              </w:rPr>
            </w:pPr>
          </w:p>
        </w:tc>
        <w:tc>
          <w:tcPr>
            <w:tcW w:w="532" w:type="dxa"/>
            <w:vAlign w:val="center"/>
          </w:tcPr>
          <w:p w14:paraId="475CF4C2">
            <w:pPr>
              <w:pStyle w:val="276"/>
              <w:jc w:val="center"/>
              <w:rPr>
                <w:rFonts w:ascii="宋体" w:hAnsi="宋体" w:cs="宋体"/>
                <w:color w:val="auto"/>
                <w:highlight w:val="none"/>
              </w:rPr>
            </w:pPr>
          </w:p>
        </w:tc>
        <w:tc>
          <w:tcPr>
            <w:tcW w:w="569" w:type="dxa"/>
          </w:tcPr>
          <w:p w14:paraId="6E62EF82">
            <w:pPr>
              <w:pStyle w:val="276"/>
              <w:jc w:val="center"/>
              <w:rPr>
                <w:rFonts w:ascii="宋体" w:hAnsi="宋体" w:cs="宋体"/>
                <w:color w:val="auto"/>
                <w:highlight w:val="none"/>
              </w:rPr>
            </w:pPr>
          </w:p>
        </w:tc>
        <w:tc>
          <w:tcPr>
            <w:tcW w:w="573" w:type="dxa"/>
            <w:vAlign w:val="center"/>
          </w:tcPr>
          <w:p w14:paraId="16098A25">
            <w:pPr>
              <w:pStyle w:val="276"/>
              <w:jc w:val="center"/>
              <w:rPr>
                <w:rFonts w:ascii="宋体" w:hAnsi="宋体" w:cs="宋体"/>
                <w:color w:val="auto"/>
                <w:highlight w:val="none"/>
              </w:rPr>
            </w:pPr>
          </w:p>
        </w:tc>
        <w:tc>
          <w:tcPr>
            <w:tcW w:w="683" w:type="dxa"/>
            <w:vAlign w:val="center"/>
          </w:tcPr>
          <w:p w14:paraId="40E4EC82">
            <w:pPr>
              <w:pStyle w:val="276"/>
              <w:jc w:val="center"/>
              <w:rPr>
                <w:rFonts w:ascii="宋体" w:hAnsi="宋体" w:cs="宋体"/>
                <w:color w:val="auto"/>
                <w:highlight w:val="none"/>
              </w:rPr>
            </w:pPr>
          </w:p>
        </w:tc>
        <w:tc>
          <w:tcPr>
            <w:tcW w:w="622" w:type="dxa"/>
            <w:vAlign w:val="center"/>
          </w:tcPr>
          <w:p w14:paraId="61973DC0">
            <w:pPr>
              <w:pStyle w:val="276"/>
              <w:jc w:val="center"/>
              <w:rPr>
                <w:rFonts w:ascii="宋体" w:hAnsi="宋体" w:cs="宋体"/>
                <w:color w:val="auto"/>
                <w:highlight w:val="none"/>
              </w:rPr>
            </w:pPr>
          </w:p>
        </w:tc>
        <w:tc>
          <w:tcPr>
            <w:tcW w:w="650" w:type="dxa"/>
            <w:vAlign w:val="center"/>
          </w:tcPr>
          <w:p w14:paraId="4499B62D">
            <w:pPr>
              <w:pStyle w:val="276"/>
              <w:jc w:val="center"/>
              <w:rPr>
                <w:rFonts w:ascii="宋体" w:hAnsi="宋体" w:cs="宋体"/>
                <w:color w:val="auto"/>
                <w:highlight w:val="none"/>
              </w:rPr>
            </w:pPr>
          </w:p>
        </w:tc>
      </w:tr>
      <w:tr w14:paraId="0EB32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exact"/>
        </w:trPr>
        <w:tc>
          <w:tcPr>
            <w:tcW w:w="360" w:type="dxa"/>
            <w:vAlign w:val="center"/>
          </w:tcPr>
          <w:p w14:paraId="5926D8DF">
            <w:pPr>
              <w:pStyle w:val="276"/>
              <w:jc w:val="center"/>
              <w:rPr>
                <w:rFonts w:ascii="宋体" w:hAnsi="宋体" w:cs="宋体"/>
                <w:color w:val="auto"/>
                <w:highlight w:val="none"/>
              </w:rPr>
            </w:pPr>
            <w:r>
              <w:rPr>
                <w:rFonts w:ascii="宋体" w:hAnsi="宋体" w:cs="宋体"/>
                <w:color w:val="auto"/>
                <w:highlight w:val="none"/>
              </w:rPr>
              <w:t>3</w:t>
            </w:r>
          </w:p>
        </w:tc>
        <w:tc>
          <w:tcPr>
            <w:tcW w:w="570" w:type="dxa"/>
            <w:vAlign w:val="center"/>
          </w:tcPr>
          <w:p w14:paraId="1097BDCE">
            <w:pPr>
              <w:pStyle w:val="276"/>
              <w:jc w:val="center"/>
              <w:rPr>
                <w:rFonts w:ascii="宋体" w:hAnsi="宋体" w:cs="宋体"/>
                <w:color w:val="auto"/>
                <w:highlight w:val="none"/>
              </w:rPr>
            </w:pPr>
          </w:p>
        </w:tc>
        <w:tc>
          <w:tcPr>
            <w:tcW w:w="572" w:type="dxa"/>
            <w:vAlign w:val="center"/>
          </w:tcPr>
          <w:p w14:paraId="221F01F5">
            <w:pPr>
              <w:pStyle w:val="276"/>
              <w:jc w:val="center"/>
              <w:rPr>
                <w:rFonts w:ascii="宋体" w:hAnsi="宋体" w:cs="宋体"/>
                <w:color w:val="auto"/>
                <w:highlight w:val="none"/>
              </w:rPr>
            </w:pPr>
          </w:p>
        </w:tc>
        <w:tc>
          <w:tcPr>
            <w:tcW w:w="570" w:type="dxa"/>
            <w:vAlign w:val="center"/>
          </w:tcPr>
          <w:p w14:paraId="37CC968B">
            <w:pPr>
              <w:pStyle w:val="276"/>
              <w:jc w:val="center"/>
              <w:rPr>
                <w:rFonts w:ascii="宋体" w:hAnsi="宋体" w:cs="宋体"/>
                <w:color w:val="auto"/>
                <w:highlight w:val="none"/>
              </w:rPr>
            </w:pPr>
          </w:p>
        </w:tc>
        <w:tc>
          <w:tcPr>
            <w:tcW w:w="582" w:type="dxa"/>
            <w:vAlign w:val="center"/>
          </w:tcPr>
          <w:p w14:paraId="0112257D">
            <w:pPr>
              <w:pStyle w:val="276"/>
              <w:jc w:val="center"/>
              <w:rPr>
                <w:rFonts w:ascii="宋体" w:hAnsi="宋体" w:cs="宋体"/>
                <w:color w:val="auto"/>
                <w:highlight w:val="none"/>
              </w:rPr>
            </w:pPr>
          </w:p>
        </w:tc>
        <w:tc>
          <w:tcPr>
            <w:tcW w:w="573" w:type="dxa"/>
            <w:vAlign w:val="center"/>
          </w:tcPr>
          <w:p w14:paraId="0D7B0099">
            <w:pPr>
              <w:pStyle w:val="276"/>
              <w:jc w:val="center"/>
              <w:rPr>
                <w:rFonts w:ascii="宋体" w:hAnsi="宋体" w:cs="宋体"/>
                <w:color w:val="auto"/>
                <w:highlight w:val="none"/>
              </w:rPr>
            </w:pPr>
          </w:p>
        </w:tc>
        <w:tc>
          <w:tcPr>
            <w:tcW w:w="571" w:type="dxa"/>
            <w:vAlign w:val="center"/>
          </w:tcPr>
          <w:p w14:paraId="0E258933">
            <w:pPr>
              <w:pStyle w:val="276"/>
              <w:jc w:val="center"/>
              <w:rPr>
                <w:rFonts w:ascii="宋体" w:hAnsi="宋体" w:cs="宋体"/>
                <w:color w:val="auto"/>
                <w:highlight w:val="none"/>
              </w:rPr>
            </w:pPr>
          </w:p>
        </w:tc>
        <w:tc>
          <w:tcPr>
            <w:tcW w:w="697" w:type="dxa"/>
            <w:vAlign w:val="center"/>
          </w:tcPr>
          <w:p w14:paraId="22767805">
            <w:pPr>
              <w:pStyle w:val="276"/>
              <w:jc w:val="center"/>
              <w:rPr>
                <w:rFonts w:ascii="宋体" w:hAnsi="宋体" w:cs="宋体"/>
                <w:color w:val="auto"/>
                <w:highlight w:val="none"/>
              </w:rPr>
            </w:pPr>
          </w:p>
        </w:tc>
        <w:tc>
          <w:tcPr>
            <w:tcW w:w="655" w:type="dxa"/>
            <w:vAlign w:val="center"/>
          </w:tcPr>
          <w:p w14:paraId="0600F746">
            <w:pPr>
              <w:pStyle w:val="276"/>
              <w:jc w:val="center"/>
              <w:rPr>
                <w:rFonts w:ascii="宋体" w:hAnsi="宋体" w:cs="宋体"/>
                <w:color w:val="auto"/>
                <w:highlight w:val="none"/>
              </w:rPr>
            </w:pPr>
          </w:p>
        </w:tc>
        <w:tc>
          <w:tcPr>
            <w:tcW w:w="532" w:type="dxa"/>
            <w:vAlign w:val="center"/>
          </w:tcPr>
          <w:p w14:paraId="671FDEE8">
            <w:pPr>
              <w:pStyle w:val="276"/>
              <w:jc w:val="center"/>
              <w:rPr>
                <w:rFonts w:ascii="宋体" w:hAnsi="宋体" w:cs="宋体"/>
                <w:color w:val="auto"/>
                <w:highlight w:val="none"/>
              </w:rPr>
            </w:pPr>
          </w:p>
        </w:tc>
        <w:tc>
          <w:tcPr>
            <w:tcW w:w="569" w:type="dxa"/>
          </w:tcPr>
          <w:p w14:paraId="3C728AC5">
            <w:pPr>
              <w:pStyle w:val="276"/>
              <w:jc w:val="center"/>
              <w:rPr>
                <w:rFonts w:ascii="宋体" w:hAnsi="宋体" w:cs="宋体"/>
                <w:color w:val="auto"/>
                <w:highlight w:val="none"/>
              </w:rPr>
            </w:pPr>
          </w:p>
        </w:tc>
        <w:tc>
          <w:tcPr>
            <w:tcW w:w="573" w:type="dxa"/>
            <w:vAlign w:val="center"/>
          </w:tcPr>
          <w:p w14:paraId="1E61DAB3">
            <w:pPr>
              <w:pStyle w:val="276"/>
              <w:jc w:val="center"/>
              <w:rPr>
                <w:rFonts w:ascii="宋体" w:hAnsi="宋体" w:cs="宋体"/>
                <w:color w:val="auto"/>
                <w:highlight w:val="none"/>
              </w:rPr>
            </w:pPr>
          </w:p>
        </w:tc>
        <w:tc>
          <w:tcPr>
            <w:tcW w:w="683" w:type="dxa"/>
            <w:vAlign w:val="center"/>
          </w:tcPr>
          <w:p w14:paraId="1C23BE1F">
            <w:pPr>
              <w:pStyle w:val="276"/>
              <w:jc w:val="center"/>
              <w:rPr>
                <w:rFonts w:ascii="宋体" w:hAnsi="宋体" w:cs="宋体"/>
                <w:color w:val="auto"/>
                <w:highlight w:val="none"/>
              </w:rPr>
            </w:pPr>
          </w:p>
        </w:tc>
        <w:tc>
          <w:tcPr>
            <w:tcW w:w="622" w:type="dxa"/>
            <w:vAlign w:val="center"/>
          </w:tcPr>
          <w:p w14:paraId="6FCBEA8E">
            <w:pPr>
              <w:pStyle w:val="276"/>
              <w:jc w:val="center"/>
              <w:rPr>
                <w:rFonts w:ascii="宋体" w:hAnsi="宋体" w:cs="宋体"/>
                <w:color w:val="auto"/>
                <w:highlight w:val="none"/>
              </w:rPr>
            </w:pPr>
          </w:p>
        </w:tc>
        <w:tc>
          <w:tcPr>
            <w:tcW w:w="650" w:type="dxa"/>
            <w:vAlign w:val="center"/>
          </w:tcPr>
          <w:p w14:paraId="526EDC15">
            <w:pPr>
              <w:pStyle w:val="276"/>
              <w:jc w:val="center"/>
              <w:rPr>
                <w:rFonts w:ascii="宋体" w:hAnsi="宋体" w:cs="宋体"/>
                <w:color w:val="auto"/>
                <w:highlight w:val="none"/>
              </w:rPr>
            </w:pPr>
          </w:p>
        </w:tc>
      </w:tr>
      <w:tr w14:paraId="1FFDB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exact"/>
        </w:trPr>
        <w:tc>
          <w:tcPr>
            <w:tcW w:w="360" w:type="dxa"/>
            <w:vAlign w:val="center"/>
          </w:tcPr>
          <w:p w14:paraId="73B04FB8">
            <w:pPr>
              <w:pStyle w:val="276"/>
              <w:jc w:val="center"/>
              <w:rPr>
                <w:rFonts w:ascii="宋体" w:hAnsi="宋体" w:cs="宋体"/>
                <w:color w:val="auto"/>
                <w:highlight w:val="none"/>
              </w:rPr>
            </w:pPr>
            <w:r>
              <w:rPr>
                <w:rFonts w:hint="eastAsia" w:ascii="宋体" w:hAnsi="宋体" w:eastAsia="宋体" w:cs="宋体"/>
                <w:color w:val="auto"/>
                <w:highlight w:val="none"/>
              </w:rPr>
              <w:t>…</w:t>
            </w:r>
          </w:p>
        </w:tc>
        <w:tc>
          <w:tcPr>
            <w:tcW w:w="570" w:type="dxa"/>
            <w:vAlign w:val="center"/>
          </w:tcPr>
          <w:p w14:paraId="18A4B530">
            <w:pPr>
              <w:pStyle w:val="276"/>
              <w:jc w:val="center"/>
              <w:rPr>
                <w:rFonts w:ascii="宋体" w:hAnsi="宋体" w:cs="宋体"/>
                <w:color w:val="auto"/>
                <w:highlight w:val="none"/>
              </w:rPr>
            </w:pPr>
          </w:p>
        </w:tc>
        <w:tc>
          <w:tcPr>
            <w:tcW w:w="572" w:type="dxa"/>
            <w:vAlign w:val="center"/>
          </w:tcPr>
          <w:p w14:paraId="77D2E6F2">
            <w:pPr>
              <w:pStyle w:val="276"/>
              <w:jc w:val="center"/>
              <w:rPr>
                <w:rFonts w:ascii="宋体" w:hAnsi="宋体" w:cs="宋体"/>
                <w:color w:val="auto"/>
                <w:highlight w:val="none"/>
              </w:rPr>
            </w:pPr>
          </w:p>
        </w:tc>
        <w:tc>
          <w:tcPr>
            <w:tcW w:w="570" w:type="dxa"/>
            <w:vAlign w:val="center"/>
          </w:tcPr>
          <w:p w14:paraId="46E37C25">
            <w:pPr>
              <w:pStyle w:val="276"/>
              <w:jc w:val="center"/>
              <w:rPr>
                <w:rFonts w:ascii="宋体" w:hAnsi="宋体" w:cs="宋体"/>
                <w:color w:val="auto"/>
                <w:highlight w:val="none"/>
              </w:rPr>
            </w:pPr>
          </w:p>
        </w:tc>
        <w:tc>
          <w:tcPr>
            <w:tcW w:w="582" w:type="dxa"/>
            <w:vAlign w:val="center"/>
          </w:tcPr>
          <w:p w14:paraId="0CEFD0F9">
            <w:pPr>
              <w:pStyle w:val="276"/>
              <w:jc w:val="center"/>
              <w:rPr>
                <w:rFonts w:ascii="宋体" w:hAnsi="宋体" w:cs="宋体"/>
                <w:color w:val="auto"/>
                <w:highlight w:val="none"/>
              </w:rPr>
            </w:pPr>
          </w:p>
        </w:tc>
        <w:tc>
          <w:tcPr>
            <w:tcW w:w="573" w:type="dxa"/>
            <w:vAlign w:val="center"/>
          </w:tcPr>
          <w:p w14:paraId="18F98A26">
            <w:pPr>
              <w:pStyle w:val="276"/>
              <w:jc w:val="center"/>
              <w:rPr>
                <w:rFonts w:ascii="宋体" w:hAnsi="宋体" w:cs="宋体"/>
                <w:color w:val="auto"/>
                <w:highlight w:val="none"/>
              </w:rPr>
            </w:pPr>
          </w:p>
        </w:tc>
        <w:tc>
          <w:tcPr>
            <w:tcW w:w="571" w:type="dxa"/>
            <w:vAlign w:val="center"/>
          </w:tcPr>
          <w:p w14:paraId="63FB55E9">
            <w:pPr>
              <w:pStyle w:val="276"/>
              <w:jc w:val="center"/>
              <w:rPr>
                <w:rFonts w:ascii="宋体" w:hAnsi="宋体" w:cs="宋体"/>
                <w:color w:val="auto"/>
                <w:highlight w:val="none"/>
              </w:rPr>
            </w:pPr>
          </w:p>
        </w:tc>
        <w:tc>
          <w:tcPr>
            <w:tcW w:w="697" w:type="dxa"/>
            <w:vAlign w:val="center"/>
          </w:tcPr>
          <w:p w14:paraId="4BFA6C3A">
            <w:pPr>
              <w:pStyle w:val="276"/>
              <w:jc w:val="center"/>
              <w:rPr>
                <w:rFonts w:ascii="宋体" w:hAnsi="宋体" w:cs="宋体"/>
                <w:color w:val="auto"/>
                <w:highlight w:val="none"/>
              </w:rPr>
            </w:pPr>
          </w:p>
        </w:tc>
        <w:tc>
          <w:tcPr>
            <w:tcW w:w="655" w:type="dxa"/>
            <w:vAlign w:val="center"/>
          </w:tcPr>
          <w:p w14:paraId="2822CA3B">
            <w:pPr>
              <w:pStyle w:val="276"/>
              <w:jc w:val="center"/>
              <w:rPr>
                <w:rFonts w:ascii="宋体" w:hAnsi="宋体" w:cs="宋体"/>
                <w:color w:val="auto"/>
                <w:highlight w:val="none"/>
              </w:rPr>
            </w:pPr>
          </w:p>
        </w:tc>
        <w:tc>
          <w:tcPr>
            <w:tcW w:w="532" w:type="dxa"/>
            <w:vAlign w:val="center"/>
          </w:tcPr>
          <w:p w14:paraId="4C720C1F">
            <w:pPr>
              <w:pStyle w:val="276"/>
              <w:jc w:val="center"/>
              <w:rPr>
                <w:rFonts w:ascii="宋体" w:hAnsi="宋体" w:cs="宋体"/>
                <w:color w:val="auto"/>
                <w:highlight w:val="none"/>
              </w:rPr>
            </w:pPr>
          </w:p>
        </w:tc>
        <w:tc>
          <w:tcPr>
            <w:tcW w:w="569" w:type="dxa"/>
          </w:tcPr>
          <w:p w14:paraId="44B85E42">
            <w:pPr>
              <w:pStyle w:val="276"/>
              <w:jc w:val="center"/>
              <w:rPr>
                <w:rFonts w:ascii="宋体" w:hAnsi="宋体" w:cs="宋体"/>
                <w:color w:val="auto"/>
                <w:highlight w:val="none"/>
              </w:rPr>
            </w:pPr>
          </w:p>
        </w:tc>
        <w:tc>
          <w:tcPr>
            <w:tcW w:w="573" w:type="dxa"/>
            <w:vAlign w:val="center"/>
          </w:tcPr>
          <w:p w14:paraId="1C9658CB">
            <w:pPr>
              <w:pStyle w:val="276"/>
              <w:jc w:val="center"/>
              <w:rPr>
                <w:rFonts w:ascii="宋体" w:hAnsi="宋体" w:cs="宋体"/>
                <w:color w:val="auto"/>
                <w:highlight w:val="none"/>
              </w:rPr>
            </w:pPr>
          </w:p>
        </w:tc>
        <w:tc>
          <w:tcPr>
            <w:tcW w:w="683" w:type="dxa"/>
            <w:vAlign w:val="center"/>
          </w:tcPr>
          <w:p w14:paraId="6B7CBBBA">
            <w:pPr>
              <w:pStyle w:val="276"/>
              <w:jc w:val="center"/>
              <w:rPr>
                <w:rFonts w:ascii="宋体" w:hAnsi="宋体" w:cs="宋体"/>
                <w:color w:val="auto"/>
                <w:highlight w:val="none"/>
              </w:rPr>
            </w:pPr>
          </w:p>
        </w:tc>
        <w:tc>
          <w:tcPr>
            <w:tcW w:w="622" w:type="dxa"/>
            <w:vAlign w:val="center"/>
          </w:tcPr>
          <w:p w14:paraId="7FDCEF49">
            <w:pPr>
              <w:pStyle w:val="276"/>
              <w:jc w:val="center"/>
              <w:rPr>
                <w:rFonts w:ascii="宋体" w:hAnsi="宋体" w:cs="宋体"/>
                <w:color w:val="auto"/>
                <w:highlight w:val="none"/>
              </w:rPr>
            </w:pPr>
          </w:p>
        </w:tc>
        <w:tc>
          <w:tcPr>
            <w:tcW w:w="650" w:type="dxa"/>
            <w:vAlign w:val="center"/>
          </w:tcPr>
          <w:p w14:paraId="27981F79">
            <w:pPr>
              <w:pStyle w:val="276"/>
              <w:jc w:val="center"/>
              <w:rPr>
                <w:rFonts w:ascii="宋体" w:hAnsi="宋体" w:cs="宋体"/>
                <w:color w:val="auto"/>
                <w:highlight w:val="none"/>
              </w:rPr>
            </w:pPr>
          </w:p>
        </w:tc>
      </w:tr>
      <w:tr w14:paraId="0C54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exact"/>
        </w:trPr>
        <w:tc>
          <w:tcPr>
            <w:tcW w:w="2654" w:type="dxa"/>
            <w:gridSpan w:val="5"/>
            <w:vAlign w:val="center"/>
          </w:tcPr>
          <w:p w14:paraId="164197D9">
            <w:pPr>
              <w:pStyle w:val="276"/>
              <w:jc w:val="center"/>
              <w:rPr>
                <w:rFonts w:ascii="宋体" w:hAnsi="宋体" w:cs="宋体"/>
                <w:color w:val="auto"/>
                <w:highlight w:val="none"/>
              </w:rPr>
            </w:pPr>
            <w:r>
              <w:rPr>
                <w:rFonts w:hint="eastAsia" w:ascii="宋体" w:hAnsi="宋体" w:cs="宋体"/>
                <w:color w:val="auto"/>
                <w:highlight w:val="none"/>
              </w:rPr>
              <w:t>合计（元）</w:t>
            </w:r>
          </w:p>
        </w:tc>
        <w:tc>
          <w:tcPr>
            <w:tcW w:w="573" w:type="dxa"/>
            <w:vAlign w:val="center"/>
          </w:tcPr>
          <w:p w14:paraId="0D31EF77">
            <w:pPr>
              <w:pStyle w:val="276"/>
              <w:jc w:val="center"/>
              <w:rPr>
                <w:rFonts w:ascii="宋体" w:hAnsi="宋体" w:cs="宋体"/>
                <w:color w:val="auto"/>
                <w:highlight w:val="none"/>
              </w:rPr>
            </w:pPr>
          </w:p>
        </w:tc>
        <w:tc>
          <w:tcPr>
            <w:tcW w:w="571" w:type="dxa"/>
            <w:vAlign w:val="center"/>
          </w:tcPr>
          <w:p w14:paraId="3F506F32">
            <w:pPr>
              <w:pStyle w:val="276"/>
              <w:jc w:val="center"/>
              <w:rPr>
                <w:rFonts w:ascii="宋体" w:hAnsi="宋体" w:cs="宋体"/>
                <w:color w:val="auto"/>
                <w:highlight w:val="none"/>
              </w:rPr>
            </w:pPr>
          </w:p>
        </w:tc>
        <w:tc>
          <w:tcPr>
            <w:tcW w:w="697" w:type="dxa"/>
            <w:vAlign w:val="center"/>
          </w:tcPr>
          <w:p w14:paraId="04D5CDDE">
            <w:pPr>
              <w:pStyle w:val="276"/>
              <w:jc w:val="center"/>
              <w:rPr>
                <w:rFonts w:ascii="宋体" w:hAnsi="宋体" w:cs="宋体"/>
                <w:color w:val="auto"/>
                <w:highlight w:val="none"/>
              </w:rPr>
            </w:pPr>
          </w:p>
        </w:tc>
        <w:tc>
          <w:tcPr>
            <w:tcW w:w="2329" w:type="dxa"/>
            <w:gridSpan w:val="4"/>
            <w:vAlign w:val="center"/>
          </w:tcPr>
          <w:p w14:paraId="071408C9">
            <w:pPr>
              <w:pStyle w:val="276"/>
              <w:jc w:val="center"/>
              <w:rPr>
                <w:rFonts w:ascii="宋体" w:hAnsi="宋体" w:cs="宋体"/>
                <w:color w:val="auto"/>
                <w:highlight w:val="none"/>
              </w:rPr>
            </w:pPr>
            <w:r>
              <w:rPr>
                <w:rFonts w:hint="eastAsia" w:ascii="宋体" w:hAnsi="宋体" w:cs="宋体"/>
                <w:color w:val="auto"/>
                <w:highlight w:val="none"/>
              </w:rPr>
              <w:t>合计（元）</w:t>
            </w:r>
          </w:p>
        </w:tc>
        <w:tc>
          <w:tcPr>
            <w:tcW w:w="683" w:type="dxa"/>
            <w:vAlign w:val="center"/>
          </w:tcPr>
          <w:p w14:paraId="0805F546">
            <w:pPr>
              <w:pStyle w:val="276"/>
              <w:jc w:val="center"/>
              <w:rPr>
                <w:rFonts w:ascii="宋体" w:hAnsi="宋体" w:cs="宋体"/>
                <w:color w:val="auto"/>
                <w:highlight w:val="none"/>
              </w:rPr>
            </w:pPr>
          </w:p>
        </w:tc>
        <w:tc>
          <w:tcPr>
            <w:tcW w:w="622" w:type="dxa"/>
            <w:vAlign w:val="center"/>
          </w:tcPr>
          <w:p w14:paraId="253CCE72">
            <w:pPr>
              <w:pStyle w:val="276"/>
              <w:jc w:val="center"/>
              <w:rPr>
                <w:rFonts w:ascii="宋体" w:hAnsi="宋体" w:cs="宋体"/>
                <w:color w:val="auto"/>
                <w:highlight w:val="none"/>
              </w:rPr>
            </w:pPr>
          </w:p>
        </w:tc>
        <w:tc>
          <w:tcPr>
            <w:tcW w:w="650" w:type="dxa"/>
            <w:vAlign w:val="center"/>
          </w:tcPr>
          <w:p w14:paraId="13F044B5">
            <w:pPr>
              <w:pStyle w:val="276"/>
              <w:jc w:val="center"/>
              <w:rPr>
                <w:rFonts w:ascii="宋体" w:hAnsi="宋体" w:cs="宋体"/>
                <w:color w:val="auto"/>
                <w:highlight w:val="none"/>
              </w:rPr>
            </w:pPr>
          </w:p>
        </w:tc>
      </w:tr>
    </w:tbl>
    <w:p w14:paraId="0610292B">
      <w:pPr>
        <w:pStyle w:val="276"/>
        <w:jc w:val="center"/>
        <w:rPr>
          <w:rFonts w:ascii="宋体" w:hAnsi="宋体" w:cs="宋体"/>
          <w:b/>
          <w:color w:val="auto"/>
          <w:sz w:val="24"/>
          <w:highlight w:val="none"/>
        </w:rPr>
      </w:pPr>
    </w:p>
    <w:p w14:paraId="43F48DF9">
      <w:pPr>
        <w:jc w:val="center"/>
        <w:rPr>
          <w:rFonts w:ascii="黑体" w:hAnsi="黑体" w:eastAsia="黑体" w:cs="宋体"/>
          <w:color w:val="auto"/>
          <w:sz w:val="24"/>
          <w:highlight w:val="none"/>
        </w:rPr>
      </w:pPr>
      <w:r>
        <w:rPr>
          <w:rFonts w:ascii="宋体" w:hAnsi="宋体" w:cs="宋体"/>
          <w:color w:val="auto"/>
          <w:highlight w:val="none"/>
        </w:rPr>
        <w:br w:type="page"/>
      </w:r>
      <w:r>
        <w:rPr>
          <w:rFonts w:hint="eastAsia" w:ascii="黑体" w:hAnsi="黑体" w:eastAsia="黑体" w:cs="宋体"/>
          <w:color w:val="auto"/>
          <w:sz w:val="24"/>
          <w:highlight w:val="none"/>
        </w:rPr>
        <w:t>表</w:t>
      </w:r>
      <w:r>
        <w:rPr>
          <w:rFonts w:ascii="黑体" w:hAnsi="黑体" w:eastAsia="黑体" w:cs="宋体"/>
          <w:color w:val="auto"/>
          <w:sz w:val="24"/>
          <w:highlight w:val="none"/>
        </w:rPr>
        <w:t>5</w:t>
      </w:r>
      <w:r>
        <w:rPr>
          <w:rFonts w:ascii="黑体" w:hAnsi="黑体" w:eastAsia="黑体" w:cs="宋体"/>
          <w:color w:val="auto"/>
          <w:sz w:val="24"/>
          <w:highlight w:val="none"/>
        </w:rPr>
        <w:tab/>
      </w:r>
      <w:r>
        <w:rPr>
          <w:rFonts w:hint="eastAsia" w:ascii="黑体" w:hAnsi="黑体" w:eastAsia="黑体" w:cs="宋体"/>
          <w:color w:val="auto"/>
          <w:sz w:val="24"/>
          <w:highlight w:val="none"/>
        </w:rPr>
        <w:t>监理试验室生活设施费报价表</w:t>
      </w:r>
    </w:p>
    <w:p w14:paraId="2E408C65">
      <w:pPr>
        <w:pStyle w:val="276"/>
        <w:rPr>
          <w:rFonts w:ascii="宋体" w:hAnsi="宋体" w:cs="宋体"/>
          <w:color w:val="auto"/>
          <w:highlight w:val="none"/>
        </w:rPr>
      </w:pPr>
    </w:p>
    <w:tbl>
      <w:tblPr>
        <w:tblStyle w:val="48"/>
        <w:tblW w:w="877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6"/>
        <w:gridCol w:w="832"/>
        <w:gridCol w:w="416"/>
        <w:gridCol w:w="694"/>
        <w:gridCol w:w="692"/>
        <w:gridCol w:w="691"/>
        <w:gridCol w:w="834"/>
        <w:gridCol w:w="691"/>
        <w:gridCol w:w="554"/>
        <w:gridCol w:w="833"/>
        <w:gridCol w:w="692"/>
        <w:gridCol w:w="641"/>
        <w:gridCol w:w="663"/>
      </w:tblGrid>
      <w:tr w14:paraId="2E1F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exact"/>
        </w:trPr>
        <w:tc>
          <w:tcPr>
            <w:tcW w:w="546" w:type="dxa"/>
            <w:vMerge w:val="restart"/>
            <w:vAlign w:val="center"/>
          </w:tcPr>
          <w:p w14:paraId="71CDACF1">
            <w:pPr>
              <w:pStyle w:val="276"/>
              <w:jc w:val="center"/>
              <w:rPr>
                <w:rFonts w:ascii="宋体" w:hAnsi="宋体" w:cs="宋体"/>
                <w:color w:val="auto"/>
                <w:highlight w:val="none"/>
              </w:rPr>
            </w:pPr>
          </w:p>
          <w:p w14:paraId="7738894B">
            <w:pPr>
              <w:pStyle w:val="276"/>
              <w:jc w:val="center"/>
              <w:rPr>
                <w:rFonts w:ascii="宋体" w:hAnsi="宋体" w:cs="宋体"/>
                <w:color w:val="auto"/>
                <w:highlight w:val="none"/>
              </w:rPr>
            </w:pPr>
            <w:r>
              <w:rPr>
                <w:rFonts w:hint="eastAsia" w:ascii="宋体" w:hAnsi="宋体" w:cs="宋体"/>
                <w:color w:val="auto"/>
                <w:highlight w:val="none"/>
              </w:rPr>
              <w:t>序号</w:t>
            </w:r>
          </w:p>
        </w:tc>
        <w:tc>
          <w:tcPr>
            <w:tcW w:w="4159" w:type="dxa"/>
            <w:gridSpan w:val="6"/>
            <w:vAlign w:val="center"/>
          </w:tcPr>
          <w:p w14:paraId="2EF380D8">
            <w:pPr>
              <w:pStyle w:val="276"/>
              <w:jc w:val="center"/>
              <w:rPr>
                <w:rFonts w:ascii="宋体" w:hAnsi="宋体" w:cs="宋体"/>
                <w:color w:val="auto"/>
                <w:highlight w:val="none"/>
              </w:rPr>
            </w:pPr>
            <w:r>
              <w:rPr>
                <w:rFonts w:hint="eastAsia" w:ascii="宋体" w:hAnsi="宋体" w:cs="宋体"/>
                <w:color w:val="auto"/>
                <w:highlight w:val="none"/>
              </w:rPr>
              <w:t>施工期（含施工准备期）</w:t>
            </w:r>
          </w:p>
        </w:tc>
        <w:tc>
          <w:tcPr>
            <w:tcW w:w="4074" w:type="dxa"/>
            <w:gridSpan w:val="6"/>
            <w:vAlign w:val="center"/>
          </w:tcPr>
          <w:p w14:paraId="3EFFFC29">
            <w:pPr>
              <w:pStyle w:val="276"/>
              <w:jc w:val="center"/>
              <w:rPr>
                <w:rFonts w:ascii="宋体" w:hAnsi="宋体" w:cs="宋体"/>
                <w:color w:val="auto"/>
                <w:highlight w:val="none"/>
              </w:rPr>
            </w:pPr>
            <w:r>
              <w:rPr>
                <w:rFonts w:hint="eastAsia" w:ascii="宋体" w:hAnsi="宋体" w:cs="宋体"/>
                <w:color w:val="auto"/>
                <w:highlight w:val="none"/>
              </w:rPr>
              <w:t>缺陷责任期</w:t>
            </w:r>
          </w:p>
        </w:tc>
      </w:tr>
      <w:tr w14:paraId="791C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5" w:hRule="atLeast"/>
        </w:trPr>
        <w:tc>
          <w:tcPr>
            <w:tcW w:w="546" w:type="dxa"/>
            <w:vMerge w:val="continue"/>
            <w:vAlign w:val="center"/>
          </w:tcPr>
          <w:p w14:paraId="3E128332">
            <w:pPr>
              <w:pStyle w:val="276"/>
              <w:jc w:val="center"/>
              <w:rPr>
                <w:rFonts w:ascii="宋体" w:hAnsi="宋体" w:cs="宋体"/>
                <w:color w:val="auto"/>
                <w:highlight w:val="none"/>
              </w:rPr>
            </w:pPr>
          </w:p>
        </w:tc>
        <w:tc>
          <w:tcPr>
            <w:tcW w:w="832" w:type="dxa"/>
            <w:vAlign w:val="center"/>
          </w:tcPr>
          <w:p w14:paraId="52EE5752">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名称及型号</w:t>
            </w:r>
          </w:p>
        </w:tc>
        <w:tc>
          <w:tcPr>
            <w:tcW w:w="416" w:type="dxa"/>
            <w:vAlign w:val="center"/>
          </w:tcPr>
          <w:p w14:paraId="71C00F5A">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数量</w:t>
            </w:r>
          </w:p>
        </w:tc>
        <w:tc>
          <w:tcPr>
            <w:tcW w:w="694" w:type="dxa"/>
            <w:vAlign w:val="center"/>
          </w:tcPr>
          <w:p w14:paraId="4EA5A510">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购置合价（元）</w:t>
            </w:r>
          </w:p>
        </w:tc>
        <w:tc>
          <w:tcPr>
            <w:tcW w:w="692" w:type="dxa"/>
            <w:vAlign w:val="center"/>
          </w:tcPr>
          <w:p w14:paraId="140624FB">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折旧费</w:t>
            </w:r>
          </w:p>
          <w:p w14:paraId="0E84D9C5">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691" w:type="dxa"/>
            <w:vAlign w:val="center"/>
          </w:tcPr>
          <w:p w14:paraId="10CAB692">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使用费</w:t>
            </w:r>
          </w:p>
          <w:p w14:paraId="18D154EE">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834" w:type="dxa"/>
            <w:vAlign w:val="center"/>
          </w:tcPr>
          <w:p w14:paraId="565D497F">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小计折旧及使用费（元）</w:t>
            </w:r>
          </w:p>
        </w:tc>
        <w:tc>
          <w:tcPr>
            <w:tcW w:w="691" w:type="dxa"/>
            <w:vAlign w:val="center"/>
          </w:tcPr>
          <w:p w14:paraId="60E54A56">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名称及型号</w:t>
            </w:r>
          </w:p>
        </w:tc>
        <w:tc>
          <w:tcPr>
            <w:tcW w:w="554" w:type="dxa"/>
            <w:vAlign w:val="center"/>
          </w:tcPr>
          <w:p w14:paraId="7975366B">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数量</w:t>
            </w:r>
          </w:p>
        </w:tc>
        <w:tc>
          <w:tcPr>
            <w:tcW w:w="833" w:type="dxa"/>
            <w:vAlign w:val="center"/>
          </w:tcPr>
          <w:p w14:paraId="3E962AF9">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购置合价（元）</w:t>
            </w:r>
          </w:p>
        </w:tc>
        <w:tc>
          <w:tcPr>
            <w:tcW w:w="692" w:type="dxa"/>
            <w:vAlign w:val="center"/>
          </w:tcPr>
          <w:p w14:paraId="46DE6544">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折旧费</w:t>
            </w:r>
          </w:p>
          <w:p w14:paraId="7D2172E0">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641" w:type="dxa"/>
            <w:vAlign w:val="center"/>
          </w:tcPr>
          <w:p w14:paraId="100D5ED0">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使用费</w:t>
            </w:r>
          </w:p>
          <w:p w14:paraId="150A47DA">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663" w:type="dxa"/>
            <w:vAlign w:val="center"/>
          </w:tcPr>
          <w:p w14:paraId="0206E5BB">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小计折旧及使用费（元）</w:t>
            </w:r>
          </w:p>
        </w:tc>
      </w:tr>
      <w:tr w14:paraId="533D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exact"/>
        </w:trPr>
        <w:tc>
          <w:tcPr>
            <w:tcW w:w="546" w:type="dxa"/>
            <w:vAlign w:val="center"/>
          </w:tcPr>
          <w:p w14:paraId="7225A7F1">
            <w:pPr>
              <w:pStyle w:val="276"/>
              <w:jc w:val="center"/>
              <w:rPr>
                <w:rFonts w:ascii="宋体" w:hAnsi="宋体" w:cs="宋体"/>
                <w:color w:val="auto"/>
                <w:highlight w:val="none"/>
              </w:rPr>
            </w:pPr>
            <w:r>
              <w:rPr>
                <w:rFonts w:ascii="宋体" w:hAnsi="宋体" w:cs="宋体"/>
                <w:color w:val="auto"/>
                <w:highlight w:val="none"/>
              </w:rPr>
              <w:t>1</w:t>
            </w:r>
          </w:p>
        </w:tc>
        <w:tc>
          <w:tcPr>
            <w:tcW w:w="832" w:type="dxa"/>
            <w:vAlign w:val="center"/>
          </w:tcPr>
          <w:p w14:paraId="657838E7">
            <w:pPr>
              <w:pStyle w:val="276"/>
              <w:jc w:val="center"/>
              <w:rPr>
                <w:rFonts w:ascii="宋体" w:hAnsi="宋体" w:cs="宋体"/>
                <w:color w:val="auto"/>
                <w:highlight w:val="none"/>
              </w:rPr>
            </w:pPr>
          </w:p>
        </w:tc>
        <w:tc>
          <w:tcPr>
            <w:tcW w:w="416" w:type="dxa"/>
            <w:vAlign w:val="center"/>
          </w:tcPr>
          <w:p w14:paraId="34C88AAD">
            <w:pPr>
              <w:pStyle w:val="276"/>
              <w:jc w:val="center"/>
              <w:rPr>
                <w:rFonts w:ascii="宋体" w:hAnsi="宋体" w:cs="宋体"/>
                <w:color w:val="auto"/>
                <w:highlight w:val="none"/>
              </w:rPr>
            </w:pPr>
          </w:p>
        </w:tc>
        <w:tc>
          <w:tcPr>
            <w:tcW w:w="694" w:type="dxa"/>
            <w:vAlign w:val="center"/>
          </w:tcPr>
          <w:p w14:paraId="397CF198">
            <w:pPr>
              <w:pStyle w:val="276"/>
              <w:jc w:val="center"/>
              <w:rPr>
                <w:rFonts w:ascii="宋体" w:hAnsi="宋体" w:cs="宋体"/>
                <w:color w:val="auto"/>
                <w:highlight w:val="none"/>
              </w:rPr>
            </w:pPr>
          </w:p>
        </w:tc>
        <w:tc>
          <w:tcPr>
            <w:tcW w:w="692" w:type="dxa"/>
            <w:vAlign w:val="center"/>
          </w:tcPr>
          <w:p w14:paraId="33240AE2">
            <w:pPr>
              <w:pStyle w:val="276"/>
              <w:jc w:val="center"/>
              <w:rPr>
                <w:rFonts w:ascii="宋体" w:hAnsi="宋体" w:cs="宋体"/>
                <w:color w:val="auto"/>
                <w:highlight w:val="none"/>
              </w:rPr>
            </w:pPr>
          </w:p>
        </w:tc>
        <w:tc>
          <w:tcPr>
            <w:tcW w:w="691" w:type="dxa"/>
            <w:vAlign w:val="center"/>
          </w:tcPr>
          <w:p w14:paraId="0B4F010D">
            <w:pPr>
              <w:pStyle w:val="276"/>
              <w:jc w:val="center"/>
              <w:rPr>
                <w:rFonts w:ascii="宋体" w:hAnsi="宋体" w:cs="宋体"/>
                <w:color w:val="auto"/>
                <w:highlight w:val="none"/>
              </w:rPr>
            </w:pPr>
          </w:p>
        </w:tc>
        <w:tc>
          <w:tcPr>
            <w:tcW w:w="834" w:type="dxa"/>
            <w:vAlign w:val="center"/>
          </w:tcPr>
          <w:p w14:paraId="018CE838">
            <w:pPr>
              <w:pStyle w:val="276"/>
              <w:jc w:val="center"/>
              <w:rPr>
                <w:rFonts w:ascii="宋体" w:hAnsi="宋体" w:cs="宋体"/>
                <w:color w:val="auto"/>
                <w:highlight w:val="none"/>
              </w:rPr>
            </w:pPr>
          </w:p>
        </w:tc>
        <w:tc>
          <w:tcPr>
            <w:tcW w:w="691" w:type="dxa"/>
            <w:vAlign w:val="center"/>
          </w:tcPr>
          <w:p w14:paraId="6D7FFC16">
            <w:pPr>
              <w:pStyle w:val="276"/>
              <w:jc w:val="center"/>
              <w:rPr>
                <w:rFonts w:ascii="宋体" w:hAnsi="宋体" w:cs="宋体"/>
                <w:color w:val="auto"/>
                <w:highlight w:val="none"/>
              </w:rPr>
            </w:pPr>
          </w:p>
        </w:tc>
        <w:tc>
          <w:tcPr>
            <w:tcW w:w="554" w:type="dxa"/>
            <w:vAlign w:val="center"/>
          </w:tcPr>
          <w:p w14:paraId="5FFFCCC9">
            <w:pPr>
              <w:pStyle w:val="276"/>
              <w:jc w:val="center"/>
              <w:rPr>
                <w:rFonts w:ascii="宋体" w:hAnsi="宋体" w:cs="宋体"/>
                <w:color w:val="auto"/>
                <w:highlight w:val="none"/>
              </w:rPr>
            </w:pPr>
          </w:p>
        </w:tc>
        <w:tc>
          <w:tcPr>
            <w:tcW w:w="833" w:type="dxa"/>
            <w:vAlign w:val="center"/>
          </w:tcPr>
          <w:p w14:paraId="07577CE1">
            <w:pPr>
              <w:pStyle w:val="276"/>
              <w:jc w:val="center"/>
              <w:rPr>
                <w:rFonts w:ascii="宋体" w:hAnsi="宋体" w:cs="宋体"/>
                <w:color w:val="auto"/>
                <w:highlight w:val="none"/>
              </w:rPr>
            </w:pPr>
          </w:p>
        </w:tc>
        <w:tc>
          <w:tcPr>
            <w:tcW w:w="692" w:type="dxa"/>
            <w:vAlign w:val="center"/>
          </w:tcPr>
          <w:p w14:paraId="05D0D1AD">
            <w:pPr>
              <w:pStyle w:val="276"/>
              <w:jc w:val="center"/>
              <w:rPr>
                <w:rFonts w:ascii="宋体" w:hAnsi="宋体" w:cs="宋体"/>
                <w:color w:val="auto"/>
                <w:highlight w:val="none"/>
              </w:rPr>
            </w:pPr>
          </w:p>
        </w:tc>
        <w:tc>
          <w:tcPr>
            <w:tcW w:w="641" w:type="dxa"/>
            <w:vAlign w:val="center"/>
          </w:tcPr>
          <w:p w14:paraId="246AB88C">
            <w:pPr>
              <w:pStyle w:val="276"/>
              <w:jc w:val="center"/>
              <w:rPr>
                <w:rFonts w:ascii="宋体" w:hAnsi="宋体" w:cs="宋体"/>
                <w:color w:val="auto"/>
                <w:highlight w:val="none"/>
              </w:rPr>
            </w:pPr>
          </w:p>
        </w:tc>
        <w:tc>
          <w:tcPr>
            <w:tcW w:w="663" w:type="dxa"/>
            <w:vAlign w:val="center"/>
          </w:tcPr>
          <w:p w14:paraId="6BD55DF3">
            <w:pPr>
              <w:pStyle w:val="276"/>
              <w:jc w:val="center"/>
              <w:rPr>
                <w:rFonts w:ascii="宋体" w:hAnsi="宋体" w:cs="宋体"/>
                <w:color w:val="auto"/>
                <w:highlight w:val="none"/>
              </w:rPr>
            </w:pPr>
          </w:p>
        </w:tc>
      </w:tr>
      <w:tr w14:paraId="702C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exact"/>
        </w:trPr>
        <w:tc>
          <w:tcPr>
            <w:tcW w:w="546" w:type="dxa"/>
            <w:vAlign w:val="center"/>
          </w:tcPr>
          <w:p w14:paraId="70B02A65">
            <w:pPr>
              <w:pStyle w:val="276"/>
              <w:jc w:val="center"/>
              <w:rPr>
                <w:rFonts w:ascii="宋体" w:hAnsi="宋体" w:cs="宋体"/>
                <w:color w:val="auto"/>
                <w:highlight w:val="none"/>
              </w:rPr>
            </w:pPr>
            <w:r>
              <w:rPr>
                <w:rFonts w:ascii="宋体" w:hAnsi="宋体" w:cs="宋体"/>
                <w:color w:val="auto"/>
                <w:highlight w:val="none"/>
              </w:rPr>
              <w:t>2</w:t>
            </w:r>
          </w:p>
        </w:tc>
        <w:tc>
          <w:tcPr>
            <w:tcW w:w="832" w:type="dxa"/>
            <w:vAlign w:val="center"/>
          </w:tcPr>
          <w:p w14:paraId="035787A0">
            <w:pPr>
              <w:pStyle w:val="276"/>
              <w:jc w:val="center"/>
              <w:rPr>
                <w:rFonts w:ascii="宋体" w:hAnsi="宋体" w:cs="宋体"/>
                <w:color w:val="auto"/>
                <w:highlight w:val="none"/>
              </w:rPr>
            </w:pPr>
          </w:p>
        </w:tc>
        <w:tc>
          <w:tcPr>
            <w:tcW w:w="416" w:type="dxa"/>
            <w:vAlign w:val="center"/>
          </w:tcPr>
          <w:p w14:paraId="18815470">
            <w:pPr>
              <w:pStyle w:val="276"/>
              <w:jc w:val="center"/>
              <w:rPr>
                <w:rFonts w:ascii="宋体" w:hAnsi="宋体" w:cs="宋体"/>
                <w:color w:val="auto"/>
                <w:highlight w:val="none"/>
              </w:rPr>
            </w:pPr>
          </w:p>
        </w:tc>
        <w:tc>
          <w:tcPr>
            <w:tcW w:w="694" w:type="dxa"/>
            <w:vAlign w:val="center"/>
          </w:tcPr>
          <w:p w14:paraId="26FC2591">
            <w:pPr>
              <w:pStyle w:val="276"/>
              <w:jc w:val="center"/>
              <w:rPr>
                <w:rFonts w:ascii="宋体" w:hAnsi="宋体" w:cs="宋体"/>
                <w:color w:val="auto"/>
                <w:highlight w:val="none"/>
              </w:rPr>
            </w:pPr>
          </w:p>
        </w:tc>
        <w:tc>
          <w:tcPr>
            <w:tcW w:w="692" w:type="dxa"/>
            <w:vAlign w:val="center"/>
          </w:tcPr>
          <w:p w14:paraId="73AA1AF1">
            <w:pPr>
              <w:pStyle w:val="276"/>
              <w:jc w:val="center"/>
              <w:rPr>
                <w:rFonts w:ascii="宋体" w:hAnsi="宋体" w:cs="宋体"/>
                <w:color w:val="auto"/>
                <w:highlight w:val="none"/>
              </w:rPr>
            </w:pPr>
          </w:p>
        </w:tc>
        <w:tc>
          <w:tcPr>
            <w:tcW w:w="691" w:type="dxa"/>
            <w:vAlign w:val="center"/>
          </w:tcPr>
          <w:p w14:paraId="59D82714">
            <w:pPr>
              <w:pStyle w:val="276"/>
              <w:jc w:val="center"/>
              <w:rPr>
                <w:rFonts w:ascii="宋体" w:hAnsi="宋体" w:cs="宋体"/>
                <w:color w:val="auto"/>
                <w:highlight w:val="none"/>
              </w:rPr>
            </w:pPr>
          </w:p>
        </w:tc>
        <w:tc>
          <w:tcPr>
            <w:tcW w:w="834" w:type="dxa"/>
            <w:vAlign w:val="center"/>
          </w:tcPr>
          <w:p w14:paraId="29F3AE5F">
            <w:pPr>
              <w:pStyle w:val="276"/>
              <w:jc w:val="center"/>
              <w:rPr>
                <w:rFonts w:ascii="宋体" w:hAnsi="宋体" w:cs="宋体"/>
                <w:color w:val="auto"/>
                <w:highlight w:val="none"/>
              </w:rPr>
            </w:pPr>
          </w:p>
        </w:tc>
        <w:tc>
          <w:tcPr>
            <w:tcW w:w="691" w:type="dxa"/>
            <w:vAlign w:val="center"/>
          </w:tcPr>
          <w:p w14:paraId="004F20E6">
            <w:pPr>
              <w:pStyle w:val="276"/>
              <w:jc w:val="center"/>
              <w:rPr>
                <w:rFonts w:ascii="宋体" w:hAnsi="宋体" w:cs="宋体"/>
                <w:color w:val="auto"/>
                <w:highlight w:val="none"/>
              </w:rPr>
            </w:pPr>
          </w:p>
        </w:tc>
        <w:tc>
          <w:tcPr>
            <w:tcW w:w="554" w:type="dxa"/>
            <w:vAlign w:val="center"/>
          </w:tcPr>
          <w:p w14:paraId="6EFF8E60">
            <w:pPr>
              <w:pStyle w:val="276"/>
              <w:jc w:val="center"/>
              <w:rPr>
                <w:rFonts w:ascii="宋体" w:hAnsi="宋体" w:cs="宋体"/>
                <w:color w:val="auto"/>
                <w:highlight w:val="none"/>
              </w:rPr>
            </w:pPr>
          </w:p>
        </w:tc>
        <w:tc>
          <w:tcPr>
            <w:tcW w:w="833" w:type="dxa"/>
            <w:vAlign w:val="center"/>
          </w:tcPr>
          <w:p w14:paraId="644B9EB8">
            <w:pPr>
              <w:pStyle w:val="276"/>
              <w:jc w:val="center"/>
              <w:rPr>
                <w:rFonts w:ascii="宋体" w:hAnsi="宋体" w:cs="宋体"/>
                <w:color w:val="auto"/>
                <w:highlight w:val="none"/>
              </w:rPr>
            </w:pPr>
          </w:p>
        </w:tc>
        <w:tc>
          <w:tcPr>
            <w:tcW w:w="692" w:type="dxa"/>
            <w:vAlign w:val="center"/>
          </w:tcPr>
          <w:p w14:paraId="1AE8A4E3">
            <w:pPr>
              <w:pStyle w:val="276"/>
              <w:jc w:val="center"/>
              <w:rPr>
                <w:rFonts w:ascii="宋体" w:hAnsi="宋体" w:cs="宋体"/>
                <w:color w:val="auto"/>
                <w:highlight w:val="none"/>
              </w:rPr>
            </w:pPr>
          </w:p>
        </w:tc>
        <w:tc>
          <w:tcPr>
            <w:tcW w:w="641" w:type="dxa"/>
            <w:vAlign w:val="center"/>
          </w:tcPr>
          <w:p w14:paraId="41E5A176">
            <w:pPr>
              <w:pStyle w:val="276"/>
              <w:jc w:val="center"/>
              <w:rPr>
                <w:rFonts w:ascii="宋体" w:hAnsi="宋体" w:cs="宋体"/>
                <w:color w:val="auto"/>
                <w:highlight w:val="none"/>
              </w:rPr>
            </w:pPr>
          </w:p>
        </w:tc>
        <w:tc>
          <w:tcPr>
            <w:tcW w:w="663" w:type="dxa"/>
            <w:vAlign w:val="center"/>
          </w:tcPr>
          <w:p w14:paraId="28CD6D01">
            <w:pPr>
              <w:pStyle w:val="276"/>
              <w:jc w:val="center"/>
              <w:rPr>
                <w:rFonts w:ascii="宋体" w:hAnsi="宋体" w:cs="宋体"/>
                <w:color w:val="auto"/>
                <w:highlight w:val="none"/>
              </w:rPr>
            </w:pPr>
          </w:p>
        </w:tc>
      </w:tr>
      <w:tr w14:paraId="6B76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exact"/>
        </w:trPr>
        <w:tc>
          <w:tcPr>
            <w:tcW w:w="546" w:type="dxa"/>
            <w:vAlign w:val="center"/>
          </w:tcPr>
          <w:p w14:paraId="1F864456">
            <w:pPr>
              <w:pStyle w:val="276"/>
              <w:jc w:val="center"/>
              <w:rPr>
                <w:rFonts w:ascii="宋体" w:hAnsi="宋体" w:cs="宋体"/>
                <w:color w:val="auto"/>
                <w:highlight w:val="none"/>
              </w:rPr>
            </w:pPr>
            <w:r>
              <w:rPr>
                <w:rFonts w:ascii="宋体" w:hAnsi="宋体" w:cs="宋体"/>
                <w:color w:val="auto"/>
                <w:highlight w:val="none"/>
              </w:rPr>
              <w:t>3</w:t>
            </w:r>
          </w:p>
        </w:tc>
        <w:tc>
          <w:tcPr>
            <w:tcW w:w="832" w:type="dxa"/>
            <w:vAlign w:val="center"/>
          </w:tcPr>
          <w:p w14:paraId="220F5EF0">
            <w:pPr>
              <w:pStyle w:val="276"/>
              <w:jc w:val="center"/>
              <w:rPr>
                <w:rFonts w:ascii="宋体" w:hAnsi="宋体" w:cs="宋体"/>
                <w:color w:val="auto"/>
                <w:highlight w:val="none"/>
              </w:rPr>
            </w:pPr>
          </w:p>
        </w:tc>
        <w:tc>
          <w:tcPr>
            <w:tcW w:w="416" w:type="dxa"/>
            <w:vAlign w:val="center"/>
          </w:tcPr>
          <w:p w14:paraId="0857B974">
            <w:pPr>
              <w:pStyle w:val="276"/>
              <w:jc w:val="center"/>
              <w:rPr>
                <w:rFonts w:ascii="宋体" w:hAnsi="宋体" w:cs="宋体"/>
                <w:color w:val="auto"/>
                <w:highlight w:val="none"/>
              </w:rPr>
            </w:pPr>
          </w:p>
        </w:tc>
        <w:tc>
          <w:tcPr>
            <w:tcW w:w="694" w:type="dxa"/>
            <w:vAlign w:val="center"/>
          </w:tcPr>
          <w:p w14:paraId="32F05242">
            <w:pPr>
              <w:pStyle w:val="276"/>
              <w:jc w:val="center"/>
              <w:rPr>
                <w:rFonts w:ascii="宋体" w:hAnsi="宋体" w:cs="宋体"/>
                <w:color w:val="auto"/>
                <w:highlight w:val="none"/>
              </w:rPr>
            </w:pPr>
          </w:p>
        </w:tc>
        <w:tc>
          <w:tcPr>
            <w:tcW w:w="692" w:type="dxa"/>
            <w:vAlign w:val="center"/>
          </w:tcPr>
          <w:p w14:paraId="1356EF5B">
            <w:pPr>
              <w:pStyle w:val="276"/>
              <w:jc w:val="center"/>
              <w:rPr>
                <w:rFonts w:ascii="宋体" w:hAnsi="宋体" w:cs="宋体"/>
                <w:color w:val="auto"/>
                <w:highlight w:val="none"/>
              </w:rPr>
            </w:pPr>
          </w:p>
        </w:tc>
        <w:tc>
          <w:tcPr>
            <w:tcW w:w="691" w:type="dxa"/>
            <w:vAlign w:val="center"/>
          </w:tcPr>
          <w:p w14:paraId="690A19C8">
            <w:pPr>
              <w:pStyle w:val="276"/>
              <w:jc w:val="center"/>
              <w:rPr>
                <w:rFonts w:ascii="宋体" w:hAnsi="宋体" w:cs="宋体"/>
                <w:color w:val="auto"/>
                <w:highlight w:val="none"/>
              </w:rPr>
            </w:pPr>
          </w:p>
        </w:tc>
        <w:tc>
          <w:tcPr>
            <w:tcW w:w="834" w:type="dxa"/>
            <w:vAlign w:val="center"/>
          </w:tcPr>
          <w:p w14:paraId="281234B4">
            <w:pPr>
              <w:pStyle w:val="276"/>
              <w:jc w:val="center"/>
              <w:rPr>
                <w:rFonts w:ascii="宋体" w:hAnsi="宋体" w:cs="宋体"/>
                <w:color w:val="auto"/>
                <w:highlight w:val="none"/>
              </w:rPr>
            </w:pPr>
          </w:p>
        </w:tc>
        <w:tc>
          <w:tcPr>
            <w:tcW w:w="691" w:type="dxa"/>
            <w:vAlign w:val="center"/>
          </w:tcPr>
          <w:p w14:paraId="79BEC90D">
            <w:pPr>
              <w:pStyle w:val="276"/>
              <w:jc w:val="center"/>
              <w:rPr>
                <w:rFonts w:ascii="宋体" w:hAnsi="宋体" w:cs="宋体"/>
                <w:color w:val="auto"/>
                <w:highlight w:val="none"/>
              </w:rPr>
            </w:pPr>
          </w:p>
        </w:tc>
        <w:tc>
          <w:tcPr>
            <w:tcW w:w="554" w:type="dxa"/>
            <w:vAlign w:val="center"/>
          </w:tcPr>
          <w:p w14:paraId="4E856B64">
            <w:pPr>
              <w:pStyle w:val="276"/>
              <w:jc w:val="center"/>
              <w:rPr>
                <w:rFonts w:ascii="宋体" w:hAnsi="宋体" w:cs="宋体"/>
                <w:color w:val="auto"/>
                <w:highlight w:val="none"/>
              </w:rPr>
            </w:pPr>
          </w:p>
        </w:tc>
        <w:tc>
          <w:tcPr>
            <w:tcW w:w="833" w:type="dxa"/>
            <w:vAlign w:val="center"/>
          </w:tcPr>
          <w:p w14:paraId="65697997">
            <w:pPr>
              <w:pStyle w:val="276"/>
              <w:jc w:val="center"/>
              <w:rPr>
                <w:rFonts w:ascii="宋体" w:hAnsi="宋体" w:cs="宋体"/>
                <w:color w:val="auto"/>
                <w:highlight w:val="none"/>
              </w:rPr>
            </w:pPr>
          </w:p>
        </w:tc>
        <w:tc>
          <w:tcPr>
            <w:tcW w:w="692" w:type="dxa"/>
            <w:vAlign w:val="center"/>
          </w:tcPr>
          <w:p w14:paraId="2675B47F">
            <w:pPr>
              <w:pStyle w:val="276"/>
              <w:jc w:val="center"/>
              <w:rPr>
                <w:rFonts w:ascii="宋体" w:hAnsi="宋体" w:cs="宋体"/>
                <w:color w:val="auto"/>
                <w:highlight w:val="none"/>
              </w:rPr>
            </w:pPr>
          </w:p>
        </w:tc>
        <w:tc>
          <w:tcPr>
            <w:tcW w:w="641" w:type="dxa"/>
            <w:vAlign w:val="center"/>
          </w:tcPr>
          <w:p w14:paraId="498A7BB9">
            <w:pPr>
              <w:pStyle w:val="276"/>
              <w:jc w:val="center"/>
              <w:rPr>
                <w:rFonts w:ascii="宋体" w:hAnsi="宋体" w:cs="宋体"/>
                <w:color w:val="auto"/>
                <w:highlight w:val="none"/>
              </w:rPr>
            </w:pPr>
          </w:p>
        </w:tc>
        <w:tc>
          <w:tcPr>
            <w:tcW w:w="663" w:type="dxa"/>
            <w:vAlign w:val="center"/>
          </w:tcPr>
          <w:p w14:paraId="77B9616B">
            <w:pPr>
              <w:pStyle w:val="276"/>
              <w:jc w:val="center"/>
              <w:rPr>
                <w:rFonts w:ascii="宋体" w:hAnsi="宋体" w:cs="宋体"/>
                <w:color w:val="auto"/>
                <w:highlight w:val="none"/>
              </w:rPr>
            </w:pPr>
          </w:p>
        </w:tc>
      </w:tr>
      <w:tr w14:paraId="03E74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exact"/>
        </w:trPr>
        <w:tc>
          <w:tcPr>
            <w:tcW w:w="546" w:type="dxa"/>
            <w:vAlign w:val="center"/>
          </w:tcPr>
          <w:p w14:paraId="16FF421F">
            <w:pPr>
              <w:pStyle w:val="276"/>
              <w:jc w:val="center"/>
              <w:rPr>
                <w:rFonts w:ascii="宋体" w:hAnsi="宋体" w:cs="宋体"/>
                <w:color w:val="auto"/>
                <w:highlight w:val="none"/>
              </w:rPr>
            </w:pPr>
            <w:r>
              <w:rPr>
                <w:rFonts w:ascii="宋体" w:hAnsi="宋体" w:cs="宋体"/>
                <w:color w:val="auto"/>
                <w:highlight w:val="none"/>
              </w:rPr>
              <w:t>4</w:t>
            </w:r>
          </w:p>
        </w:tc>
        <w:tc>
          <w:tcPr>
            <w:tcW w:w="832" w:type="dxa"/>
            <w:vAlign w:val="center"/>
          </w:tcPr>
          <w:p w14:paraId="17FC3D82">
            <w:pPr>
              <w:pStyle w:val="276"/>
              <w:jc w:val="center"/>
              <w:rPr>
                <w:rFonts w:ascii="宋体" w:hAnsi="宋体" w:cs="宋体"/>
                <w:color w:val="auto"/>
                <w:highlight w:val="none"/>
              </w:rPr>
            </w:pPr>
          </w:p>
        </w:tc>
        <w:tc>
          <w:tcPr>
            <w:tcW w:w="416" w:type="dxa"/>
            <w:vAlign w:val="center"/>
          </w:tcPr>
          <w:p w14:paraId="46A75978">
            <w:pPr>
              <w:pStyle w:val="276"/>
              <w:jc w:val="center"/>
              <w:rPr>
                <w:rFonts w:ascii="宋体" w:hAnsi="宋体" w:cs="宋体"/>
                <w:color w:val="auto"/>
                <w:highlight w:val="none"/>
              </w:rPr>
            </w:pPr>
          </w:p>
        </w:tc>
        <w:tc>
          <w:tcPr>
            <w:tcW w:w="694" w:type="dxa"/>
            <w:vAlign w:val="center"/>
          </w:tcPr>
          <w:p w14:paraId="3326F3B4">
            <w:pPr>
              <w:pStyle w:val="276"/>
              <w:jc w:val="center"/>
              <w:rPr>
                <w:rFonts w:ascii="宋体" w:hAnsi="宋体" w:cs="宋体"/>
                <w:color w:val="auto"/>
                <w:highlight w:val="none"/>
              </w:rPr>
            </w:pPr>
          </w:p>
        </w:tc>
        <w:tc>
          <w:tcPr>
            <w:tcW w:w="692" w:type="dxa"/>
            <w:vAlign w:val="center"/>
          </w:tcPr>
          <w:p w14:paraId="514921CF">
            <w:pPr>
              <w:pStyle w:val="276"/>
              <w:jc w:val="center"/>
              <w:rPr>
                <w:rFonts w:ascii="宋体" w:hAnsi="宋体" w:cs="宋体"/>
                <w:color w:val="auto"/>
                <w:highlight w:val="none"/>
              </w:rPr>
            </w:pPr>
          </w:p>
        </w:tc>
        <w:tc>
          <w:tcPr>
            <w:tcW w:w="691" w:type="dxa"/>
            <w:vAlign w:val="center"/>
          </w:tcPr>
          <w:p w14:paraId="111DBDAB">
            <w:pPr>
              <w:pStyle w:val="276"/>
              <w:jc w:val="center"/>
              <w:rPr>
                <w:rFonts w:ascii="宋体" w:hAnsi="宋体" w:cs="宋体"/>
                <w:color w:val="auto"/>
                <w:highlight w:val="none"/>
              </w:rPr>
            </w:pPr>
          </w:p>
        </w:tc>
        <w:tc>
          <w:tcPr>
            <w:tcW w:w="834" w:type="dxa"/>
            <w:vAlign w:val="center"/>
          </w:tcPr>
          <w:p w14:paraId="2BBCC6D5">
            <w:pPr>
              <w:pStyle w:val="276"/>
              <w:jc w:val="center"/>
              <w:rPr>
                <w:rFonts w:ascii="宋体" w:hAnsi="宋体" w:cs="宋体"/>
                <w:color w:val="auto"/>
                <w:highlight w:val="none"/>
              </w:rPr>
            </w:pPr>
          </w:p>
        </w:tc>
        <w:tc>
          <w:tcPr>
            <w:tcW w:w="691" w:type="dxa"/>
            <w:vAlign w:val="center"/>
          </w:tcPr>
          <w:p w14:paraId="08F63948">
            <w:pPr>
              <w:pStyle w:val="276"/>
              <w:jc w:val="center"/>
              <w:rPr>
                <w:rFonts w:ascii="宋体" w:hAnsi="宋体" w:cs="宋体"/>
                <w:color w:val="auto"/>
                <w:highlight w:val="none"/>
              </w:rPr>
            </w:pPr>
          </w:p>
        </w:tc>
        <w:tc>
          <w:tcPr>
            <w:tcW w:w="554" w:type="dxa"/>
            <w:vAlign w:val="center"/>
          </w:tcPr>
          <w:p w14:paraId="3D6BA104">
            <w:pPr>
              <w:pStyle w:val="276"/>
              <w:jc w:val="center"/>
              <w:rPr>
                <w:rFonts w:ascii="宋体" w:hAnsi="宋体" w:cs="宋体"/>
                <w:color w:val="auto"/>
                <w:highlight w:val="none"/>
              </w:rPr>
            </w:pPr>
          </w:p>
        </w:tc>
        <w:tc>
          <w:tcPr>
            <w:tcW w:w="833" w:type="dxa"/>
            <w:vAlign w:val="center"/>
          </w:tcPr>
          <w:p w14:paraId="3694DD43">
            <w:pPr>
              <w:pStyle w:val="276"/>
              <w:jc w:val="center"/>
              <w:rPr>
                <w:rFonts w:ascii="宋体" w:hAnsi="宋体" w:cs="宋体"/>
                <w:color w:val="auto"/>
                <w:highlight w:val="none"/>
              </w:rPr>
            </w:pPr>
          </w:p>
        </w:tc>
        <w:tc>
          <w:tcPr>
            <w:tcW w:w="692" w:type="dxa"/>
            <w:vAlign w:val="center"/>
          </w:tcPr>
          <w:p w14:paraId="26B4CF65">
            <w:pPr>
              <w:pStyle w:val="276"/>
              <w:jc w:val="center"/>
              <w:rPr>
                <w:rFonts w:ascii="宋体" w:hAnsi="宋体" w:cs="宋体"/>
                <w:color w:val="auto"/>
                <w:highlight w:val="none"/>
              </w:rPr>
            </w:pPr>
          </w:p>
        </w:tc>
        <w:tc>
          <w:tcPr>
            <w:tcW w:w="641" w:type="dxa"/>
            <w:vAlign w:val="center"/>
          </w:tcPr>
          <w:p w14:paraId="273B12D7">
            <w:pPr>
              <w:pStyle w:val="276"/>
              <w:jc w:val="center"/>
              <w:rPr>
                <w:rFonts w:ascii="宋体" w:hAnsi="宋体" w:cs="宋体"/>
                <w:color w:val="auto"/>
                <w:highlight w:val="none"/>
              </w:rPr>
            </w:pPr>
          </w:p>
        </w:tc>
        <w:tc>
          <w:tcPr>
            <w:tcW w:w="663" w:type="dxa"/>
            <w:vAlign w:val="center"/>
          </w:tcPr>
          <w:p w14:paraId="115B941D">
            <w:pPr>
              <w:pStyle w:val="276"/>
              <w:jc w:val="center"/>
              <w:rPr>
                <w:rFonts w:ascii="宋体" w:hAnsi="宋体" w:cs="宋体"/>
                <w:color w:val="auto"/>
                <w:highlight w:val="none"/>
              </w:rPr>
            </w:pPr>
          </w:p>
        </w:tc>
      </w:tr>
      <w:tr w14:paraId="42BE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exact"/>
        </w:trPr>
        <w:tc>
          <w:tcPr>
            <w:tcW w:w="546" w:type="dxa"/>
            <w:vAlign w:val="center"/>
          </w:tcPr>
          <w:p w14:paraId="6DC6C9FB">
            <w:pPr>
              <w:pStyle w:val="276"/>
              <w:jc w:val="center"/>
              <w:rPr>
                <w:rFonts w:ascii="宋体" w:hAnsi="宋体" w:cs="宋体"/>
                <w:color w:val="auto"/>
                <w:highlight w:val="none"/>
              </w:rPr>
            </w:pPr>
            <w:r>
              <w:rPr>
                <w:rFonts w:ascii="宋体" w:hAnsi="宋体" w:cs="宋体"/>
                <w:color w:val="auto"/>
                <w:highlight w:val="none"/>
              </w:rPr>
              <w:t>5</w:t>
            </w:r>
          </w:p>
        </w:tc>
        <w:tc>
          <w:tcPr>
            <w:tcW w:w="832" w:type="dxa"/>
            <w:vAlign w:val="center"/>
          </w:tcPr>
          <w:p w14:paraId="1D780663">
            <w:pPr>
              <w:pStyle w:val="276"/>
              <w:jc w:val="center"/>
              <w:rPr>
                <w:rFonts w:ascii="宋体" w:hAnsi="宋体" w:cs="宋体"/>
                <w:color w:val="auto"/>
                <w:highlight w:val="none"/>
              </w:rPr>
            </w:pPr>
          </w:p>
        </w:tc>
        <w:tc>
          <w:tcPr>
            <w:tcW w:w="416" w:type="dxa"/>
            <w:vAlign w:val="center"/>
          </w:tcPr>
          <w:p w14:paraId="69A49E3B">
            <w:pPr>
              <w:pStyle w:val="276"/>
              <w:jc w:val="center"/>
              <w:rPr>
                <w:rFonts w:ascii="宋体" w:hAnsi="宋体" w:cs="宋体"/>
                <w:color w:val="auto"/>
                <w:highlight w:val="none"/>
              </w:rPr>
            </w:pPr>
          </w:p>
        </w:tc>
        <w:tc>
          <w:tcPr>
            <w:tcW w:w="694" w:type="dxa"/>
            <w:vAlign w:val="center"/>
          </w:tcPr>
          <w:p w14:paraId="79581F18">
            <w:pPr>
              <w:pStyle w:val="276"/>
              <w:jc w:val="center"/>
              <w:rPr>
                <w:rFonts w:ascii="宋体" w:hAnsi="宋体" w:cs="宋体"/>
                <w:color w:val="auto"/>
                <w:highlight w:val="none"/>
              </w:rPr>
            </w:pPr>
          </w:p>
        </w:tc>
        <w:tc>
          <w:tcPr>
            <w:tcW w:w="692" w:type="dxa"/>
            <w:vAlign w:val="center"/>
          </w:tcPr>
          <w:p w14:paraId="59341F16">
            <w:pPr>
              <w:pStyle w:val="276"/>
              <w:jc w:val="center"/>
              <w:rPr>
                <w:rFonts w:ascii="宋体" w:hAnsi="宋体" w:cs="宋体"/>
                <w:color w:val="auto"/>
                <w:highlight w:val="none"/>
              </w:rPr>
            </w:pPr>
          </w:p>
        </w:tc>
        <w:tc>
          <w:tcPr>
            <w:tcW w:w="691" w:type="dxa"/>
            <w:vAlign w:val="center"/>
          </w:tcPr>
          <w:p w14:paraId="355BF8E8">
            <w:pPr>
              <w:pStyle w:val="276"/>
              <w:jc w:val="center"/>
              <w:rPr>
                <w:rFonts w:ascii="宋体" w:hAnsi="宋体" w:cs="宋体"/>
                <w:color w:val="auto"/>
                <w:highlight w:val="none"/>
              </w:rPr>
            </w:pPr>
          </w:p>
        </w:tc>
        <w:tc>
          <w:tcPr>
            <w:tcW w:w="834" w:type="dxa"/>
            <w:vAlign w:val="center"/>
          </w:tcPr>
          <w:p w14:paraId="39713A70">
            <w:pPr>
              <w:pStyle w:val="276"/>
              <w:jc w:val="center"/>
              <w:rPr>
                <w:rFonts w:ascii="宋体" w:hAnsi="宋体" w:cs="宋体"/>
                <w:color w:val="auto"/>
                <w:highlight w:val="none"/>
              </w:rPr>
            </w:pPr>
          </w:p>
        </w:tc>
        <w:tc>
          <w:tcPr>
            <w:tcW w:w="691" w:type="dxa"/>
            <w:vAlign w:val="center"/>
          </w:tcPr>
          <w:p w14:paraId="6752F968">
            <w:pPr>
              <w:pStyle w:val="276"/>
              <w:jc w:val="center"/>
              <w:rPr>
                <w:rFonts w:ascii="宋体" w:hAnsi="宋体" w:cs="宋体"/>
                <w:color w:val="auto"/>
                <w:highlight w:val="none"/>
              </w:rPr>
            </w:pPr>
          </w:p>
        </w:tc>
        <w:tc>
          <w:tcPr>
            <w:tcW w:w="554" w:type="dxa"/>
            <w:vAlign w:val="center"/>
          </w:tcPr>
          <w:p w14:paraId="62EBF48D">
            <w:pPr>
              <w:pStyle w:val="276"/>
              <w:jc w:val="center"/>
              <w:rPr>
                <w:rFonts w:ascii="宋体" w:hAnsi="宋体" w:cs="宋体"/>
                <w:color w:val="auto"/>
                <w:highlight w:val="none"/>
              </w:rPr>
            </w:pPr>
          </w:p>
        </w:tc>
        <w:tc>
          <w:tcPr>
            <w:tcW w:w="833" w:type="dxa"/>
            <w:vAlign w:val="center"/>
          </w:tcPr>
          <w:p w14:paraId="69EF6262">
            <w:pPr>
              <w:pStyle w:val="276"/>
              <w:jc w:val="center"/>
              <w:rPr>
                <w:rFonts w:ascii="宋体" w:hAnsi="宋体" w:cs="宋体"/>
                <w:color w:val="auto"/>
                <w:highlight w:val="none"/>
              </w:rPr>
            </w:pPr>
          </w:p>
        </w:tc>
        <w:tc>
          <w:tcPr>
            <w:tcW w:w="692" w:type="dxa"/>
            <w:vAlign w:val="center"/>
          </w:tcPr>
          <w:p w14:paraId="6605F5B0">
            <w:pPr>
              <w:pStyle w:val="276"/>
              <w:jc w:val="center"/>
              <w:rPr>
                <w:rFonts w:ascii="宋体" w:hAnsi="宋体" w:cs="宋体"/>
                <w:color w:val="auto"/>
                <w:highlight w:val="none"/>
              </w:rPr>
            </w:pPr>
          </w:p>
        </w:tc>
        <w:tc>
          <w:tcPr>
            <w:tcW w:w="641" w:type="dxa"/>
            <w:vAlign w:val="center"/>
          </w:tcPr>
          <w:p w14:paraId="10F6DC72">
            <w:pPr>
              <w:pStyle w:val="276"/>
              <w:jc w:val="center"/>
              <w:rPr>
                <w:rFonts w:ascii="宋体" w:hAnsi="宋体" w:cs="宋体"/>
                <w:color w:val="auto"/>
                <w:highlight w:val="none"/>
              </w:rPr>
            </w:pPr>
          </w:p>
        </w:tc>
        <w:tc>
          <w:tcPr>
            <w:tcW w:w="663" w:type="dxa"/>
            <w:vAlign w:val="center"/>
          </w:tcPr>
          <w:p w14:paraId="43818937">
            <w:pPr>
              <w:pStyle w:val="276"/>
              <w:jc w:val="center"/>
              <w:rPr>
                <w:rFonts w:ascii="宋体" w:hAnsi="宋体" w:cs="宋体"/>
                <w:color w:val="auto"/>
                <w:highlight w:val="none"/>
              </w:rPr>
            </w:pPr>
          </w:p>
        </w:tc>
      </w:tr>
      <w:tr w14:paraId="367E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exact"/>
        </w:trPr>
        <w:tc>
          <w:tcPr>
            <w:tcW w:w="546" w:type="dxa"/>
            <w:vAlign w:val="center"/>
          </w:tcPr>
          <w:p w14:paraId="53FCE910">
            <w:pPr>
              <w:pStyle w:val="276"/>
              <w:jc w:val="center"/>
              <w:rPr>
                <w:rFonts w:ascii="宋体" w:hAnsi="宋体" w:cs="宋体"/>
                <w:color w:val="auto"/>
                <w:highlight w:val="none"/>
              </w:rPr>
            </w:pPr>
            <w:r>
              <w:rPr>
                <w:rFonts w:ascii="宋体" w:hAnsi="宋体" w:cs="宋体"/>
                <w:color w:val="auto"/>
                <w:highlight w:val="none"/>
              </w:rPr>
              <w:t>6</w:t>
            </w:r>
          </w:p>
        </w:tc>
        <w:tc>
          <w:tcPr>
            <w:tcW w:w="832" w:type="dxa"/>
            <w:vAlign w:val="center"/>
          </w:tcPr>
          <w:p w14:paraId="4F22598E">
            <w:pPr>
              <w:pStyle w:val="276"/>
              <w:jc w:val="center"/>
              <w:rPr>
                <w:rFonts w:ascii="宋体" w:hAnsi="宋体" w:cs="宋体"/>
                <w:color w:val="auto"/>
                <w:highlight w:val="none"/>
              </w:rPr>
            </w:pPr>
          </w:p>
        </w:tc>
        <w:tc>
          <w:tcPr>
            <w:tcW w:w="416" w:type="dxa"/>
            <w:vAlign w:val="center"/>
          </w:tcPr>
          <w:p w14:paraId="3D5A1251">
            <w:pPr>
              <w:pStyle w:val="276"/>
              <w:jc w:val="center"/>
              <w:rPr>
                <w:rFonts w:ascii="宋体" w:hAnsi="宋体" w:cs="宋体"/>
                <w:color w:val="auto"/>
                <w:highlight w:val="none"/>
              </w:rPr>
            </w:pPr>
          </w:p>
        </w:tc>
        <w:tc>
          <w:tcPr>
            <w:tcW w:w="694" w:type="dxa"/>
            <w:vAlign w:val="center"/>
          </w:tcPr>
          <w:p w14:paraId="0C617E52">
            <w:pPr>
              <w:pStyle w:val="276"/>
              <w:jc w:val="center"/>
              <w:rPr>
                <w:rFonts w:ascii="宋体" w:hAnsi="宋体" w:cs="宋体"/>
                <w:color w:val="auto"/>
                <w:highlight w:val="none"/>
              </w:rPr>
            </w:pPr>
          </w:p>
        </w:tc>
        <w:tc>
          <w:tcPr>
            <w:tcW w:w="692" w:type="dxa"/>
            <w:vAlign w:val="center"/>
          </w:tcPr>
          <w:p w14:paraId="0FF4C258">
            <w:pPr>
              <w:pStyle w:val="276"/>
              <w:jc w:val="center"/>
              <w:rPr>
                <w:rFonts w:ascii="宋体" w:hAnsi="宋体" w:cs="宋体"/>
                <w:color w:val="auto"/>
                <w:highlight w:val="none"/>
              </w:rPr>
            </w:pPr>
          </w:p>
        </w:tc>
        <w:tc>
          <w:tcPr>
            <w:tcW w:w="691" w:type="dxa"/>
            <w:vAlign w:val="center"/>
          </w:tcPr>
          <w:p w14:paraId="5B89EB65">
            <w:pPr>
              <w:pStyle w:val="276"/>
              <w:jc w:val="center"/>
              <w:rPr>
                <w:rFonts w:ascii="宋体" w:hAnsi="宋体" w:cs="宋体"/>
                <w:color w:val="auto"/>
                <w:highlight w:val="none"/>
              </w:rPr>
            </w:pPr>
          </w:p>
        </w:tc>
        <w:tc>
          <w:tcPr>
            <w:tcW w:w="834" w:type="dxa"/>
            <w:vAlign w:val="center"/>
          </w:tcPr>
          <w:p w14:paraId="7BE17496">
            <w:pPr>
              <w:pStyle w:val="276"/>
              <w:jc w:val="center"/>
              <w:rPr>
                <w:rFonts w:ascii="宋体" w:hAnsi="宋体" w:cs="宋体"/>
                <w:color w:val="auto"/>
                <w:highlight w:val="none"/>
              </w:rPr>
            </w:pPr>
          </w:p>
        </w:tc>
        <w:tc>
          <w:tcPr>
            <w:tcW w:w="691" w:type="dxa"/>
            <w:vAlign w:val="center"/>
          </w:tcPr>
          <w:p w14:paraId="59ADDDC8">
            <w:pPr>
              <w:pStyle w:val="276"/>
              <w:jc w:val="center"/>
              <w:rPr>
                <w:rFonts w:ascii="宋体" w:hAnsi="宋体" w:cs="宋体"/>
                <w:color w:val="auto"/>
                <w:highlight w:val="none"/>
              </w:rPr>
            </w:pPr>
          </w:p>
        </w:tc>
        <w:tc>
          <w:tcPr>
            <w:tcW w:w="554" w:type="dxa"/>
            <w:vAlign w:val="center"/>
          </w:tcPr>
          <w:p w14:paraId="5DEC1E65">
            <w:pPr>
              <w:pStyle w:val="276"/>
              <w:jc w:val="center"/>
              <w:rPr>
                <w:rFonts w:ascii="宋体" w:hAnsi="宋体" w:cs="宋体"/>
                <w:color w:val="auto"/>
                <w:highlight w:val="none"/>
              </w:rPr>
            </w:pPr>
          </w:p>
        </w:tc>
        <w:tc>
          <w:tcPr>
            <w:tcW w:w="833" w:type="dxa"/>
            <w:vAlign w:val="center"/>
          </w:tcPr>
          <w:p w14:paraId="0AE97311">
            <w:pPr>
              <w:pStyle w:val="276"/>
              <w:jc w:val="center"/>
              <w:rPr>
                <w:rFonts w:ascii="宋体" w:hAnsi="宋体" w:cs="宋体"/>
                <w:color w:val="auto"/>
                <w:highlight w:val="none"/>
              </w:rPr>
            </w:pPr>
          </w:p>
        </w:tc>
        <w:tc>
          <w:tcPr>
            <w:tcW w:w="692" w:type="dxa"/>
            <w:vAlign w:val="center"/>
          </w:tcPr>
          <w:p w14:paraId="6F403C18">
            <w:pPr>
              <w:pStyle w:val="276"/>
              <w:jc w:val="center"/>
              <w:rPr>
                <w:rFonts w:ascii="宋体" w:hAnsi="宋体" w:cs="宋体"/>
                <w:color w:val="auto"/>
                <w:highlight w:val="none"/>
              </w:rPr>
            </w:pPr>
          </w:p>
        </w:tc>
        <w:tc>
          <w:tcPr>
            <w:tcW w:w="641" w:type="dxa"/>
            <w:vAlign w:val="center"/>
          </w:tcPr>
          <w:p w14:paraId="70FE7837">
            <w:pPr>
              <w:pStyle w:val="276"/>
              <w:jc w:val="center"/>
              <w:rPr>
                <w:rFonts w:ascii="宋体" w:hAnsi="宋体" w:cs="宋体"/>
                <w:color w:val="auto"/>
                <w:highlight w:val="none"/>
              </w:rPr>
            </w:pPr>
          </w:p>
        </w:tc>
        <w:tc>
          <w:tcPr>
            <w:tcW w:w="663" w:type="dxa"/>
            <w:vAlign w:val="center"/>
          </w:tcPr>
          <w:p w14:paraId="4B837A42">
            <w:pPr>
              <w:pStyle w:val="276"/>
              <w:jc w:val="center"/>
              <w:rPr>
                <w:rFonts w:ascii="宋体" w:hAnsi="宋体" w:cs="宋体"/>
                <w:color w:val="auto"/>
                <w:highlight w:val="none"/>
              </w:rPr>
            </w:pPr>
          </w:p>
        </w:tc>
      </w:tr>
      <w:tr w14:paraId="468A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exact"/>
        </w:trPr>
        <w:tc>
          <w:tcPr>
            <w:tcW w:w="546" w:type="dxa"/>
            <w:vAlign w:val="center"/>
          </w:tcPr>
          <w:p w14:paraId="0A2FDC69">
            <w:pPr>
              <w:pStyle w:val="276"/>
              <w:jc w:val="center"/>
              <w:rPr>
                <w:rFonts w:ascii="宋体" w:hAnsi="宋体" w:cs="宋体"/>
                <w:color w:val="auto"/>
                <w:highlight w:val="none"/>
              </w:rPr>
            </w:pPr>
            <w:r>
              <w:rPr>
                <w:rFonts w:ascii="宋体" w:hAnsi="宋体" w:cs="宋体"/>
                <w:color w:val="auto"/>
                <w:highlight w:val="none"/>
              </w:rPr>
              <w:t>7</w:t>
            </w:r>
          </w:p>
        </w:tc>
        <w:tc>
          <w:tcPr>
            <w:tcW w:w="832" w:type="dxa"/>
            <w:vAlign w:val="center"/>
          </w:tcPr>
          <w:p w14:paraId="19F7AB66">
            <w:pPr>
              <w:pStyle w:val="276"/>
              <w:jc w:val="center"/>
              <w:rPr>
                <w:rFonts w:ascii="宋体" w:hAnsi="宋体" w:cs="宋体"/>
                <w:color w:val="auto"/>
                <w:highlight w:val="none"/>
              </w:rPr>
            </w:pPr>
          </w:p>
        </w:tc>
        <w:tc>
          <w:tcPr>
            <w:tcW w:w="416" w:type="dxa"/>
            <w:vAlign w:val="center"/>
          </w:tcPr>
          <w:p w14:paraId="2646E39E">
            <w:pPr>
              <w:pStyle w:val="276"/>
              <w:jc w:val="center"/>
              <w:rPr>
                <w:rFonts w:ascii="宋体" w:hAnsi="宋体" w:cs="宋体"/>
                <w:color w:val="auto"/>
                <w:highlight w:val="none"/>
              </w:rPr>
            </w:pPr>
          </w:p>
        </w:tc>
        <w:tc>
          <w:tcPr>
            <w:tcW w:w="694" w:type="dxa"/>
            <w:vAlign w:val="center"/>
          </w:tcPr>
          <w:p w14:paraId="05B40E66">
            <w:pPr>
              <w:pStyle w:val="276"/>
              <w:jc w:val="center"/>
              <w:rPr>
                <w:rFonts w:ascii="宋体" w:hAnsi="宋体" w:cs="宋体"/>
                <w:color w:val="auto"/>
                <w:highlight w:val="none"/>
              </w:rPr>
            </w:pPr>
          </w:p>
        </w:tc>
        <w:tc>
          <w:tcPr>
            <w:tcW w:w="692" w:type="dxa"/>
            <w:vAlign w:val="center"/>
          </w:tcPr>
          <w:p w14:paraId="14A83404">
            <w:pPr>
              <w:pStyle w:val="276"/>
              <w:jc w:val="center"/>
              <w:rPr>
                <w:rFonts w:ascii="宋体" w:hAnsi="宋体" w:cs="宋体"/>
                <w:color w:val="auto"/>
                <w:highlight w:val="none"/>
              </w:rPr>
            </w:pPr>
          </w:p>
        </w:tc>
        <w:tc>
          <w:tcPr>
            <w:tcW w:w="691" w:type="dxa"/>
            <w:vAlign w:val="center"/>
          </w:tcPr>
          <w:p w14:paraId="2D034E48">
            <w:pPr>
              <w:pStyle w:val="276"/>
              <w:jc w:val="center"/>
              <w:rPr>
                <w:rFonts w:ascii="宋体" w:hAnsi="宋体" w:cs="宋体"/>
                <w:color w:val="auto"/>
                <w:highlight w:val="none"/>
              </w:rPr>
            </w:pPr>
          </w:p>
        </w:tc>
        <w:tc>
          <w:tcPr>
            <w:tcW w:w="834" w:type="dxa"/>
            <w:vAlign w:val="center"/>
          </w:tcPr>
          <w:p w14:paraId="51EA4E19">
            <w:pPr>
              <w:pStyle w:val="276"/>
              <w:jc w:val="center"/>
              <w:rPr>
                <w:rFonts w:ascii="宋体" w:hAnsi="宋体" w:cs="宋体"/>
                <w:color w:val="auto"/>
                <w:highlight w:val="none"/>
              </w:rPr>
            </w:pPr>
          </w:p>
        </w:tc>
        <w:tc>
          <w:tcPr>
            <w:tcW w:w="691" w:type="dxa"/>
            <w:vAlign w:val="center"/>
          </w:tcPr>
          <w:p w14:paraId="2CF4B5FD">
            <w:pPr>
              <w:pStyle w:val="276"/>
              <w:jc w:val="center"/>
              <w:rPr>
                <w:rFonts w:ascii="宋体" w:hAnsi="宋体" w:cs="宋体"/>
                <w:color w:val="auto"/>
                <w:highlight w:val="none"/>
              </w:rPr>
            </w:pPr>
          </w:p>
        </w:tc>
        <w:tc>
          <w:tcPr>
            <w:tcW w:w="554" w:type="dxa"/>
            <w:vAlign w:val="center"/>
          </w:tcPr>
          <w:p w14:paraId="0C12D9E1">
            <w:pPr>
              <w:pStyle w:val="276"/>
              <w:jc w:val="center"/>
              <w:rPr>
                <w:rFonts w:ascii="宋体" w:hAnsi="宋体" w:cs="宋体"/>
                <w:color w:val="auto"/>
                <w:highlight w:val="none"/>
              </w:rPr>
            </w:pPr>
          </w:p>
        </w:tc>
        <w:tc>
          <w:tcPr>
            <w:tcW w:w="833" w:type="dxa"/>
            <w:vAlign w:val="center"/>
          </w:tcPr>
          <w:p w14:paraId="71DFEA73">
            <w:pPr>
              <w:pStyle w:val="276"/>
              <w:jc w:val="center"/>
              <w:rPr>
                <w:rFonts w:ascii="宋体" w:hAnsi="宋体" w:cs="宋体"/>
                <w:color w:val="auto"/>
                <w:highlight w:val="none"/>
              </w:rPr>
            </w:pPr>
          </w:p>
        </w:tc>
        <w:tc>
          <w:tcPr>
            <w:tcW w:w="692" w:type="dxa"/>
            <w:vAlign w:val="center"/>
          </w:tcPr>
          <w:p w14:paraId="2F0FA85D">
            <w:pPr>
              <w:pStyle w:val="276"/>
              <w:jc w:val="center"/>
              <w:rPr>
                <w:rFonts w:ascii="宋体" w:hAnsi="宋体" w:cs="宋体"/>
                <w:color w:val="auto"/>
                <w:highlight w:val="none"/>
              </w:rPr>
            </w:pPr>
          </w:p>
        </w:tc>
        <w:tc>
          <w:tcPr>
            <w:tcW w:w="641" w:type="dxa"/>
            <w:vAlign w:val="center"/>
          </w:tcPr>
          <w:p w14:paraId="6FCA72FB">
            <w:pPr>
              <w:pStyle w:val="276"/>
              <w:jc w:val="center"/>
              <w:rPr>
                <w:rFonts w:ascii="宋体" w:hAnsi="宋体" w:cs="宋体"/>
                <w:color w:val="auto"/>
                <w:highlight w:val="none"/>
              </w:rPr>
            </w:pPr>
          </w:p>
        </w:tc>
        <w:tc>
          <w:tcPr>
            <w:tcW w:w="663" w:type="dxa"/>
            <w:vAlign w:val="center"/>
          </w:tcPr>
          <w:p w14:paraId="3414A787">
            <w:pPr>
              <w:pStyle w:val="276"/>
              <w:jc w:val="center"/>
              <w:rPr>
                <w:rFonts w:ascii="宋体" w:hAnsi="宋体" w:cs="宋体"/>
                <w:color w:val="auto"/>
                <w:highlight w:val="none"/>
              </w:rPr>
            </w:pPr>
          </w:p>
        </w:tc>
      </w:tr>
      <w:tr w14:paraId="479E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exact"/>
        </w:trPr>
        <w:tc>
          <w:tcPr>
            <w:tcW w:w="546" w:type="dxa"/>
            <w:vAlign w:val="center"/>
          </w:tcPr>
          <w:p w14:paraId="7262E1F2">
            <w:pPr>
              <w:pStyle w:val="276"/>
              <w:jc w:val="center"/>
              <w:rPr>
                <w:rFonts w:ascii="宋体" w:hAnsi="宋体" w:cs="宋体"/>
                <w:color w:val="auto"/>
                <w:highlight w:val="none"/>
              </w:rPr>
            </w:pPr>
            <w:r>
              <w:rPr>
                <w:rFonts w:ascii="宋体" w:hAnsi="宋体" w:cs="宋体"/>
                <w:color w:val="auto"/>
                <w:highlight w:val="none"/>
              </w:rPr>
              <w:t>8</w:t>
            </w:r>
          </w:p>
        </w:tc>
        <w:tc>
          <w:tcPr>
            <w:tcW w:w="832" w:type="dxa"/>
            <w:vAlign w:val="center"/>
          </w:tcPr>
          <w:p w14:paraId="5AAF341B">
            <w:pPr>
              <w:pStyle w:val="276"/>
              <w:jc w:val="center"/>
              <w:rPr>
                <w:rFonts w:ascii="宋体" w:hAnsi="宋体" w:cs="宋体"/>
                <w:color w:val="auto"/>
                <w:highlight w:val="none"/>
              </w:rPr>
            </w:pPr>
          </w:p>
        </w:tc>
        <w:tc>
          <w:tcPr>
            <w:tcW w:w="416" w:type="dxa"/>
            <w:vAlign w:val="center"/>
          </w:tcPr>
          <w:p w14:paraId="0C7F89E5">
            <w:pPr>
              <w:pStyle w:val="276"/>
              <w:jc w:val="center"/>
              <w:rPr>
                <w:rFonts w:ascii="宋体" w:hAnsi="宋体" w:cs="宋体"/>
                <w:color w:val="auto"/>
                <w:highlight w:val="none"/>
              </w:rPr>
            </w:pPr>
          </w:p>
        </w:tc>
        <w:tc>
          <w:tcPr>
            <w:tcW w:w="694" w:type="dxa"/>
            <w:vAlign w:val="center"/>
          </w:tcPr>
          <w:p w14:paraId="1361F884">
            <w:pPr>
              <w:pStyle w:val="276"/>
              <w:jc w:val="center"/>
              <w:rPr>
                <w:rFonts w:ascii="宋体" w:hAnsi="宋体" w:cs="宋体"/>
                <w:color w:val="auto"/>
                <w:highlight w:val="none"/>
              </w:rPr>
            </w:pPr>
          </w:p>
        </w:tc>
        <w:tc>
          <w:tcPr>
            <w:tcW w:w="692" w:type="dxa"/>
            <w:vAlign w:val="center"/>
          </w:tcPr>
          <w:p w14:paraId="57EAD079">
            <w:pPr>
              <w:pStyle w:val="276"/>
              <w:jc w:val="center"/>
              <w:rPr>
                <w:rFonts w:ascii="宋体" w:hAnsi="宋体" w:cs="宋体"/>
                <w:color w:val="auto"/>
                <w:highlight w:val="none"/>
              </w:rPr>
            </w:pPr>
          </w:p>
        </w:tc>
        <w:tc>
          <w:tcPr>
            <w:tcW w:w="691" w:type="dxa"/>
            <w:vAlign w:val="center"/>
          </w:tcPr>
          <w:p w14:paraId="7EC43FEB">
            <w:pPr>
              <w:pStyle w:val="276"/>
              <w:jc w:val="center"/>
              <w:rPr>
                <w:rFonts w:ascii="宋体" w:hAnsi="宋体" w:cs="宋体"/>
                <w:color w:val="auto"/>
                <w:highlight w:val="none"/>
              </w:rPr>
            </w:pPr>
          </w:p>
        </w:tc>
        <w:tc>
          <w:tcPr>
            <w:tcW w:w="834" w:type="dxa"/>
            <w:vAlign w:val="center"/>
          </w:tcPr>
          <w:p w14:paraId="2742E134">
            <w:pPr>
              <w:pStyle w:val="276"/>
              <w:jc w:val="center"/>
              <w:rPr>
                <w:rFonts w:ascii="宋体" w:hAnsi="宋体" w:cs="宋体"/>
                <w:color w:val="auto"/>
                <w:highlight w:val="none"/>
              </w:rPr>
            </w:pPr>
          </w:p>
        </w:tc>
        <w:tc>
          <w:tcPr>
            <w:tcW w:w="691" w:type="dxa"/>
            <w:vAlign w:val="center"/>
          </w:tcPr>
          <w:p w14:paraId="6588FF3B">
            <w:pPr>
              <w:pStyle w:val="276"/>
              <w:jc w:val="center"/>
              <w:rPr>
                <w:rFonts w:ascii="宋体" w:hAnsi="宋体" w:cs="宋体"/>
                <w:color w:val="auto"/>
                <w:highlight w:val="none"/>
              </w:rPr>
            </w:pPr>
          </w:p>
        </w:tc>
        <w:tc>
          <w:tcPr>
            <w:tcW w:w="554" w:type="dxa"/>
            <w:vAlign w:val="center"/>
          </w:tcPr>
          <w:p w14:paraId="02214C0B">
            <w:pPr>
              <w:pStyle w:val="276"/>
              <w:jc w:val="center"/>
              <w:rPr>
                <w:rFonts w:ascii="宋体" w:hAnsi="宋体" w:cs="宋体"/>
                <w:color w:val="auto"/>
                <w:highlight w:val="none"/>
              </w:rPr>
            </w:pPr>
          </w:p>
        </w:tc>
        <w:tc>
          <w:tcPr>
            <w:tcW w:w="833" w:type="dxa"/>
            <w:vAlign w:val="center"/>
          </w:tcPr>
          <w:p w14:paraId="6BEFDE11">
            <w:pPr>
              <w:pStyle w:val="276"/>
              <w:jc w:val="center"/>
              <w:rPr>
                <w:rFonts w:ascii="宋体" w:hAnsi="宋体" w:cs="宋体"/>
                <w:color w:val="auto"/>
                <w:highlight w:val="none"/>
              </w:rPr>
            </w:pPr>
          </w:p>
        </w:tc>
        <w:tc>
          <w:tcPr>
            <w:tcW w:w="692" w:type="dxa"/>
            <w:vAlign w:val="center"/>
          </w:tcPr>
          <w:p w14:paraId="76ACF5FC">
            <w:pPr>
              <w:pStyle w:val="276"/>
              <w:jc w:val="center"/>
              <w:rPr>
                <w:rFonts w:ascii="宋体" w:hAnsi="宋体" w:cs="宋体"/>
                <w:color w:val="auto"/>
                <w:highlight w:val="none"/>
              </w:rPr>
            </w:pPr>
          </w:p>
        </w:tc>
        <w:tc>
          <w:tcPr>
            <w:tcW w:w="641" w:type="dxa"/>
            <w:vAlign w:val="center"/>
          </w:tcPr>
          <w:p w14:paraId="5488B12E">
            <w:pPr>
              <w:pStyle w:val="276"/>
              <w:jc w:val="center"/>
              <w:rPr>
                <w:rFonts w:ascii="宋体" w:hAnsi="宋体" w:cs="宋体"/>
                <w:color w:val="auto"/>
                <w:highlight w:val="none"/>
              </w:rPr>
            </w:pPr>
          </w:p>
        </w:tc>
        <w:tc>
          <w:tcPr>
            <w:tcW w:w="663" w:type="dxa"/>
            <w:vAlign w:val="center"/>
          </w:tcPr>
          <w:p w14:paraId="3A43C191">
            <w:pPr>
              <w:pStyle w:val="276"/>
              <w:jc w:val="center"/>
              <w:rPr>
                <w:rFonts w:ascii="宋体" w:hAnsi="宋体" w:cs="宋体"/>
                <w:color w:val="auto"/>
                <w:highlight w:val="none"/>
              </w:rPr>
            </w:pPr>
          </w:p>
        </w:tc>
      </w:tr>
      <w:tr w14:paraId="0D59E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exact"/>
        </w:trPr>
        <w:tc>
          <w:tcPr>
            <w:tcW w:w="546" w:type="dxa"/>
            <w:vAlign w:val="center"/>
          </w:tcPr>
          <w:p w14:paraId="3FB89149">
            <w:pPr>
              <w:pStyle w:val="276"/>
              <w:jc w:val="center"/>
              <w:rPr>
                <w:rFonts w:ascii="宋体" w:hAnsi="宋体" w:cs="宋体"/>
                <w:color w:val="auto"/>
                <w:highlight w:val="none"/>
              </w:rPr>
            </w:pPr>
            <w:r>
              <w:rPr>
                <w:rFonts w:hint="eastAsia" w:ascii="宋体" w:hAnsi="宋体" w:eastAsia="宋体" w:cs="宋体"/>
                <w:color w:val="auto"/>
                <w:highlight w:val="none"/>
              </w:rPr>
              <w:t>…</w:t>
            </w:r>
          </w:p>
        </w:tc>
        <w:tc>
          <w:tcPr>
            <w:tcW w:w="832" w:type="dxa"/>
            <w:vAlign w:val="center"/>
          </w:tcPr>
          <w:p w14:paraId="14945C86">
            <w:pPr>
              <w:pStyle w:val="276"/>
              <w:jc w:val="center"/>
              <w:rPr>
                <w:rFonts w:ascii="宋体" w:hAnsi="宋体" w:cs="宋体"/>
                <w:color w:val="auto"/>
                <w:highlight w:val="none"/>
              </w:rPr>
            </w:pPr>
          </w:p>
        </w:tc>
        <w:tc>
          <w:tcPr>
            <w:tcW w:w="416" w:type="dxa"/>
            <w:vAlign w:val="center"/>
          </w:tcPr>
          <w:p w14:paraId="6034CFF9">
            <w:pPr>
              <w:pStyle w:val="276"/>
              <w:jc w:val="center"/>
              <w:rPr>
                <w:rFonts w:ascii="宋体" w:hAnsi="宋体" w:cs="宋体"/>
                <w:color w:val="auto"/>
                <w:highlight w:val="none"/>
              </w:rPr>
            </w:pPr>
          </w:p>
        </w:tc>
        <w:tc>
          <w:tcPr>
            <w:tcW w:w="694" w:type="dxa"/>
            <w:vAlign w:val="center"/>
          </w:tcPr>
          <w:p w14:paraId="7115DE81">
            <w:pPr>
              <w:pStyle w:val="276"/>
              <w:jc w:val="center"/>
              <w:rPr>
                <w:rFonts w:ascii="宋体" w:hAnsi="宋体" w:cs="宋体"/>
                <w:color w:val="auto"/>
                <w:highlight w:val="none"/>
              </w:rPr>
            </w:pPr>
          </w:p>
        </w:tc>
        <w:tc>
          <w:tcPr>
            <w:tcW w:w="692" w:type="dxa"/>
            <w:vAlign w:val="center"/>
          </w:tcPr>
          <w:p w14:paraId="27C63F3C">
            <w:pPr>
              <w:pStyle w:val="276"/>
              <w:jc w:val="center"/>
              <w:rPr>
                <w:rFonts w:ascii="宋体" w:hAnsi="宋体" w:cs="宋体"/>
                <w:color w:val="auto"/>
                <w:highlight w:val="none"/>
              </w:rPr>
            </w:pPr>
          </w:p>
        </w:tc>
        <w:tc>
          <w:tcPr>
            <w:tcW w:w="691" w:type="dxa"/>
            <w:vAlign w:val="center"/>
          </w:tcPr>
          <w:p w14:paraId="7CFF3669">
            <w:pPr>
              <w:pStyle w:val="276"/>
              <w:jc w:val="center"/>
              <w:rPr>
                <w:rFonts w:ascii="宋体" w:hAnsi="宋体" w:cs="宋体"/>
                <w:color w:val="auto"/>
                <w:highlight w:val="none"/>
              </w:rPr>
            </w:pPr>
          </w:p>
        </w:tc>
        <w:tc>
          <w:tcPr>
            <w:tcW w:w="834" w:type="dxa"/>
            <w:vAlign w:val="center"/>
          </w:tcPr>
          <w:p w14:paraId="7EABF634">
            <w:pPr>
              <w:pStyle w:val="276"/>
              <w:jc w:val="center"/>
              <w:rPr>
                <w:rFonts w:ascii="宋体" w:hAnsi="宋体" w:cs="宋体"/>
                <w:color w:val="auto"/>
                <w:highlight w:val="none"/>
              </w:rPr>
            </w:pPr>
          </w:p>
        </w:tc>
        <w:tc>
          <w:tcPr>
            <w:tcW w:w="691" w:type="dxa"/>
            <w:vAlign w:val="center"/>
          </w:tcPr>
          <w:p w14:paraId="4FAD0623">
            <w:pPr>
              <w:pStyle w:val="276"/>
              <w:jc w:val="center"/>
              <w:rPr>
                <w:rFonts w:ascii="宋体" w:hAnsi="宋体" w:cs="宋体"/>
                <w:color w:val="auto"/>
                <w:highlight w:val="none"/>
              </w:rPr>
            </w:pPr>
          </w:p>
        </w:tc>
        <w:tc>
          <w:tcPr>
            <w:tcW w:w="554" w:type="dxa"/>
            <w:vAlign w:val="center"/>
          </w:tcPr>
          <w:p w14:paraId="7BC19A71">
            <w:pPr>
              <w:pStyle w:val="276"/>
              <w:jc w:val="center"/>
              <w:rPr>
                <w:rFonts w:ascii="宋体" w:hAnsi="宋体" w:cs="宋体"/>
                <w:color w:val="auto"/>
                <w:highlight w:val="none"/>
              </w:rPr>
            </w:pPr>
          </w:p>
        </w:tc>
        <w:tc>
          <w:tcPr>
            <w:tcW w:w="833" w:type="dxa"/>
            <w:vAlign w:val="center"/>
          </w:tcPr>
          <w:p w14:paraId="4D87DD18">
            <w:pPr>
              <w:pStyle w:val="276"/>
              <w:jc w:val="center"/>
              <w:rPr>
                <w:rFonts w:ascii="宋体" w:hAnsi="宋体" w:cs="宋体"/>
                <w:color w:val="auto"/>
                <w:highlight w:val="none"/>
              </w:rPr>
            </w:pPr>
          </w:p>
        </w:tc>
        <w:tc>
          <w:tcPr>
            <w:tcW w:w="692" w:type="dxa"/>
            <w:vAlign w:val="center"/>
          </w:tcPr>
          <w:p w14:paraId="4D0A0BE7">
            <w:pPr>
              <w:pStyle w:val="276"/>
              <w:jc w:val="center"/>
              <w:rPr>
                <w:rFonts w:ascii="宋体" w:hAnsi="宋体" w:cs="宋体"/>
                <w:color w:val="auto"/>
                <w:highlight w:val="none"/>
              </w:rPr>
            </w:pPr>
          </w:p>
        </w:tc>
        <w:tc>
          <w:tcPr>
            <w:tcW w:w="641" w:type="dxa"/>
            <w:vAlign w:val="center"/>
          </w:tcPr>
          <w:p w14:paraId="3559184B">
            <w:pPr>
              <w:pStyle w:val="276"/>
              <w:jc w:val="center"/>
              <w:rPr>
                <w:rFonts w:ascii="宋体" w:hAnsi="宋体" w:cs="宋体"/>
                <w:color w:val="auto"/>
                <w:highlight w:val="none"/>
              </w:rPr>
            </w:pPr>
          </w:p>
        </w:tc>
        <w:tc>
          <w:tcPr>
            <w:tcW w:w="663" w:type="dxa"/>
            <w:vAlign w:val="center"/>
          </w:tcPr>
          <w:p w14:paraId="443D0428">
            <w:pPr>
              <w:pStyle w:val="276"/>
              <w:jc w:val="center"/>
              <w:rPr>
                <w:rFonts w:ascii="宋体" w:hAnsi="宋体" w:cs="宋体"/>
                <w:color w:val="auto"/>
                <w:highlight w:val="none"/>
              </w:rPr>
            </w:pPr>
          </w:p>
        </w:tc>
      </w:tr>
      <w:tr w14:paraId="2A2FA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exact"/>
        </w:trPr>
        <w:tc>
          <w:tcPr>
            <w:tcW w:w="2488" w:type="dxa"/>
            <w:gridSpan w:val="4"/>
            <w:vAlign w:val="center"/>
          </w:tcPr>
          <w:p w14:paraId="563D8143">
            <w:pPr>
              <w:pStyle w:val="276"/>
              <w:jc w:val="center"/>
              <w:rPr>
                <w:rFonts w:ascii="宋体" w:hAnsi="宋体" w:cs="宋体"/>
                <w:color w:val="auto"/>
                <w:highlight w:val="none"/>
              </w:rPr>
            </w:pPr>
            <w:r>
              <w:rPr>
                <w:rFonts w:hint="eastAsia" w:ascii="宋体" w:hAnsi="宋体" w:cs="宋体"/>
                <w:color w:val="auto"/>
                <w:highlight w:val="none"/>
              </w:rPr>
              <w:t>合计（元）</w:t>
            </w:r>
          </w:p>
        </w:tc>
        <w:tc>
          <w:tcPr>
            <w:tcW w:w="692" w:type="dxa"/>
            <w:vAlign w:val="center"/>
          </w:tcPr>
          <w:p w14:paraId="008BE000">
            <w:pPr>
              <w:pStyle w:val="276"/>
              <w:jc w:val="center"/>
              <w:rPr>
                <w:rFonts w:ascii="宋体" w:hAnsi="宋体" w:cs="宋体"/>
                <w:color w:val="auto"/>
                <w:highlight w:val="none"/>
              </w:rPr>
            </w:pPr>
          </w:p>
        </w:tc>
        <w:tc>
          <w:tcPr>
            <w:tcW w:w="691" w:type="dxa"/>
            <w:vAlign w:val="center"/>
          </w:tcPr>
          <w:p w14:paraId="0D49E841">
            <w:pPr>
              <w:pStyle w:val="276"/>
              <w:jc w:val="center"/>
              <w:rPr>
                <w:rFonts w:ascii="宋体" w:hAnsi="宋体" w:cs="宋体"/>
                <w:color w:val="auto"/>
                <w:highlight w:val="none"/>
              </w:rPr>
            </w:pPr>
          </w:p>
        </w:tc>
        <w:tc>
          <w:tcPr>
            <w:tcW w:w="834" w:type="dxa"/>
            <w:vAlign w:val="center"/>
          </w:tcPr>
          <w:p w14:paraId="3A639CF7">
            <w:pPr>
              <w:pStyle w:val="276"/>
              <w:jc w:val="center"/>
              <w:rPr>
                <w:rFonts w:ascii="宋体" w:hAnsi="宋体" w:cs="宋体"/>
                <w:color w:val="auto"/>
                <w:highlight w:val="none"/>
              </w:rPr>
            </w:pPr>
          </w:p>
        </w:tc>
        <w:tc>
          <w:tcPr>
            <w:tcW w:w="2078" w:type="dxa"/>
            <w:gridSpan w:val="3"/>
            <w:vAlign w:val="center"/>
          </w:tcPr>
          <w:p w14:paraId="09247695">
            <w:pPr>
              <w:pStyle w:val="276"/>
              <w:jc w:val="center"/>
              <w:rPr>
                <w:rFonts w:ascii="宋体" w:hAnsi="宋体" w:cs="宋体"/>
                <w:color w:val="auto"/>
                <w:highlight w:val="none"/>
              </w:rPr>
            </w:pPr>
            <w:r>
              <w:rPr>
                <w:rFonts w:hint="eastAsia" w:ascii="宋体" w:hAnsi="宋体" w:cs="宋体"/>
                <w:color w:val="auto"/>
                <w:highlight w:val="none"/>
              </w:rPr>
              <w:t>合计（元）</w:t>
            </w:r>
          </w:p>
        </w:tc>
        <w:tc>
          <w:tcPr>
            <w:tcW w:w="692" w:type="dxa"/>
            <w:vAlign w:val="center"/>
          </w:tcPr>
          <w:p w14:paraId="3CB04F8C">
            <w:pPr>
              <w:pStyle w:val="276"/>
              <w:jc w:val="center"/>
              <w:rPr>
                <w:rFonts w:ascii="宋体" w:hAnsi="宋体" w:cs="宋体"/>
                <w:color w:val="auto"/>
                <w:highlight w:val="none"/>
              </w:rPr>
            </w:pPr>
          </w:p>
        </w:tc>
        <w:tc>
          <w:tcPr>
            <w:tcW w:w="641" w:type="dxa"/>
            <w:vAlign w:val="center"/>
          </w:tcPr>
          <w:p w14:paraId="2ECDB65A">
            <w:pPr>
              <w:pStyle w:val="276"/>
              <w:jc w:val="center"/>
              <w:rPr>
                <w:rFonts w:ascii="宋体" w:hAnsi="宋体" w:cs="宋体"/>
                <w:color w:val="auto"/>
                <w:highlight w:val="none"/>
              </w:rPr>
            </w:pPr>
          </w:p>
        </w:tc>
        <w:tc>
          <w:tcPr>
            <w:tcW w:w="663" w:type="dxa"/>
            <w:vAlign w:val="center"/>
          </w:tcPr>
          <w:p w14:paraId="07FF3A17">
            <w:pPr>
              <w:pStyle w:val="276"/>
              <w:jc w:val="center"/>
              <w:rPr>
                <w:rFonts w:ascii="宋体" w:hAnsi="宋体" w:cs="宋体"/>
                <w:color w:val="auto"/>
                <w:highlight w:val="none"/>
              </w:rPr>
            </w:pPr>
          </w:p>
        </w:tc>
      </w:tr>
    </w:tbl>
    <w:p w14:paraId="20D24059">
      <w:pPr>
        <w:pStyle w:val="276"/>
        <w:rPr>
          <w:rFonts w:ascii="宋体" w:hAnsi="宋体" w:cs="宋体"/>
          <w:color w:val="auto"/>
          <w:highlight w:val="none"/>
        </w:rPr>
      </w:pPr>
    </w:p>
    <w:p w14:paraId="4AC0D4A9">
      <w:pPr>
        <w:pStyle w:val="276"/>
        <w:rPr>
          <w:rFonts w:ascii="宋体" w:hAnsi="宋体" w:cs="宋体"/>
          <w:color w:val="auto"/>
          <w:highlight w:val="none"/>
        </w:rPr>
      </w:pPr>
    </w:p>
    <w:p w14:paraId="7DC90514">
      <w:pPr>
        <w:pStyle w:val="276"/>
        <w:rPr>
          <w:rFonts w:ascii="宋体" w:hAnsi="宋体" w:cs="宋体"/>
          <w:color w:val="auto"/>
          <w:highlight w:val="none"/>
        </w:rPr>
      </w:pPr>
    </w:p>
    <w:p w14:paraId="3810D26F">
      <w:pPr>
        <w:pStyle w:val="276"/>
        <w:rPr>
          <w:rFonts w:ascii="宋体" w:hAnsi="宋体" w:cs="宋体"/>
          <w:color w:val="auto"/>
          <w:highlight w:val="none"/>
        </w:rPr>
      </w:pPr>
    </w:p>
    <w:p w14:paraId="685E0990">
      <w:pPr>
        <w:jc w:val="center"/>
        <w:rPr>
          <w:rFonts w:ascii="黑体" w:hAnsi="黑体" w:eastAsia="黑体" w:cs="宋体"/>
          <w:color w:val="auto"/>
          <w:kern w:val="0"/>
          <w:szCs w:val="21"/>
          <w:highlight w:val="none"/>
        </w:rPr>
      </w:pPr>
      <w:r>
        <w:rPr>
          <w:rFonts w:ascii="黑体" w:hAnsi="黑体" w:eastAsia="黑体" w:cs="宋体"/>
          <w:color w:val="auto"/>
          <w:kern w:val="0"/>
          <w:szCs w:val="21"/>
          <w:highlight w:val="none"/>
        </w:rPr>
        <w:br w:type="page"/>
      </w:r>
    </w:p>
    <w:p w14:paraId="4061606A">
      <w:pPr>
        <w:jc w:val="center"/>
        <w:rPr>
          <w:rFonts w:ascii="黑体" w:hAnsi="黑体" w:eastAsia="黑体" w:cs="宋体"/>
          <w:color w:val="auto"/>
          <w:sz w:val="24"/>
          <w:highlight w:val="none"/>
        </w:rPr>
      </w:pPr>
      <w:r>
        <w:rPr>
          <w:rFonts w:ascii="黑体" w:hAnsi="黑体" w:eastAsia="黑体" w:cs="宋体"/>
          <w:color w:val="auto"/>
          <w:kern w:val="0"/>
          <w:szCs w:val="21"/>
          <w:highlight w:val="none"/>
        </w:rPr>
        <w:t xml:space="preserve"> </w:t>
      </w:r>
      <w:r>
        <w:rPr>
          <w:rFonts w:hint="eastAsia" w:ascii="黑体" w:hAnsi="黑体" w:eastAsia="黑体" w:cs="宋体"/>
          <w:color w:val="auto"/>
          <w:sz w:val="24"/>
          <w:highlight w:val="none"/>
        </w:rPr>
        <w:t>表</w:t>
      </w:r>
      <w:r>
        <w:rPr>
          <w:rFonts w:ascii="黑体" w:hAnsi="黑体" w:eastAsia="黑体" w:cs="宋体"/>
          <w:color w:val="auto"/>
          <w:sz w:val="24"/>
          <w:highlight w:val="none"/>
        </w:rPr>
        <w:t>6</w:t>
      </w:r>
      <w:r>
        <w:rPr>
          <w:rFonts w:ascii="黑体" w:hAnsi="黑体" w:eastAsia="黑体" w:cs="宋体"/>
          <w:color w:val="auto"/>
          <w:sz w:val="24"/>
          <w:highlight w:val="none"/>
        </w:rPr>
        <w:tab/>
      </w:r>
      <w:r>
        <w:rPr>
          <w:rFonts w:ascii="黑体" w:hAnsi="黑体" w:eastAsia="黑体" w:cs="宋体"/>
          <w:color w:val="auto"/>
          <w:sz w:val="24"/>
          <w:highlight w:val="none"/>
        </w:rPr>
        <w:t xml:space="preserve">  </w:t>
      </w:r>
      <w:r>
        <w:rPr>
          <w:rFonts w:hint="eastAsia" w:ascii="黑体" w:hAnsi="黑体" w:eastAsia="黑体" w:cs="宋体"/>
          <w:color w:val="auto"/>
          <w:sz w:val="24"/>
          <w:highlight w:val="none"/>
        </w:rPr>
        <w:t>监理试验室试验设施费报价表</w:t>
      </w:r>
      <w:r>
        <w:rPr>
          <w:rFonts w:ascii="黑体" w:hAnsi="黑体" w:eastAsia="黑体" w:cs="宋体"/>
          <w:color w:val="auto"/>
          <w:sz w:val="24"/>
          <w:highlight w:val="none"/>
        </w:rPr>
        <w:t xml:space="preserve"> </w:t>
      </w:r>
    </w:p>
    <w:p w14:paraId="64789129">
      <w:pPr>
        <w:jc w:val="center"/>
        <w:rPr>
          <w:rFonts w:ascii="宋体" w:hAnsi="宋体" w:cs="宋体"/>
          <w:b/>
          <w:color w:val="auto"/>
          <w:sz w:val="24"/>
          <w:highlight w:val="none"/>
        </w:rPr>
      </w:pPr>
    </w:p>
    <w:tbl>
      <w:tblPr>
        <w:tblStyle w:val="48"/>
        <w:tblW w:w="892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60"/>
        <w:gridCol w:w="678"/>
        <w:gridCol w:w="655"/>
        <w:gridCol w:w="392"/>
        <w:gridCol w:w="657"/>
        <w:gridCol w:w="656"/>
        <w:gridCol w:w="656"/>
        <w:gridCol w:w="765"/>
        <w:gridCol w:w="489"/>
        <w:gridCol w:w="530"/>
        <w:gridCol w:w="568"/>
        <w:gridCol w:w="570"/>
        <w:gridCol w:w="680"/>
        <w:gridCol w:w="620"/>
        <w:gridCol w:w="645"/>
      </w:tblGrid>
      <w:tr w14:paraId="302E2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360" w:type="dxa"/>
            <w:vMerge w:val="restart"/>
            <w:vAlign w:val="center"/>
          </w:tcPr>
          <w:p w14:paraId="7B2BFF18">
            <w:pPr>
              <w:pStyle w:val="276"/>
              <w:jc w:val="center"/>
              <w:rPr>
                <w:rFonts w:ascii="宋体" w:hAnsi="宋体" w:cs="宋体"/>
                <w:color w:val="auto"/>
                <w:highlight w:val="none"/>
              </w:rPr>
            </w:pPr>
            <w:r>
              <w:rPr>
                <w:rFonts w:hint="eastAsia" w:ascii="宋体" w:hAnsi="宋体" w:cs="宋体"/>
                <w:color w:val="auto"/>
                <w:highlight w:val="none"/>
              </w:rPr>
              <w:t>序号</w:t>
            </w:r>
          </w:p>
        </w:tc>
        <w:tc>
          <w:tcPr>
            <w:tcW w:w="4459" w:type="dxa"/>
            <w:gridSpan w:val="7"/>
            <w:vAlign w:val="center"/>
          </w:tcPr>
          <w:p w14:paraId="02CF8FB6">
            <w:pPr>
              <w:pStyle w:val="276"/>
              <w:jc w:val="center"/>
              <w:rPr>
                <w:rFonts w:ascii="宋体" w:hAnsi="宋体" w:cs="宋体"/>
                <w:color w:val="auto"/>
                <w:highlight w:val="none"/>
              </w:rPr>
            </w:pPr>
            <w:r>
              <w:rPr>
                <w:rFonts w:hint="eastAsia" w:ascii="宋体" w:hAnsi="宋体" w:cs="宋体"/>
                <w:color w:val="auto"/>
                <w:highlight w:val="none"/>
              </w:rPr>
              <w:t>施工期（含施工准备期）</w:t>
            </w:r>
          </w:p>
        </w:tc>
        <w:tc>
          <w:tcPr>
            <w:tcW w:w="4102" w:type="dxa"/>
            <w:gridSpan w:val="7"/>
            <w:vAlign w:val="center"/>
          </w:tcPr>
          <w:p w14:paraId="43FA88CA">
            <w:pPr>
              <w:pStyle w:val="276"/>
              <w:jc w:val="center"/>
              <w:rPr>
                <w:rFonts w:ascii="宋体" w:hAnsi="宋体" w:cs="宋体"/>
                <w:color w:val="auto"/>
                <w:highlight w:val="none"/>
              </w:rPr>
            </w:pPr>
            <w:r>
              <w:rPr>
                <w:rFonts w:hint="eastAsia" w:ascii="宋体" w:hAnsi="宋体" w:cs="宋体"/>
                <w:color w:val="auto"/>
                <w:highlight w:val="none"/>
              </w:rPr>
              <w:t>缺陷责任期</w:t>
            </w:r>
          </w:p>
        </w:tc>
      </w:tr>
      <w:tr w14:paraId="0FBA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9" w:hRule="exact"/>
        </w:trPr>
        <w:tc>
          <w:tcPr>
            <w:tcW w:w="360" w:type="dxa"/>
            <w:vMerge w:val="continue"/>
            <w:vAlign w:val="center"/>
          </w:tcPr>
          <w:p w14:paraId="7BA35FBD">
            <w:pPr>
              <w:pStyle w:val="276"/>
              <w:jc w:val="center"/>
              <w:rPr>
                <w:rFonts w:ascii="宋体" w:hAnsi="宋体" w:cs="宋体"/>
                <w:color w:val="auto"/>
                <w:highlight w:val="none"/>
              </w:rPr>
            </w:pPr>
          </w:p>
        </w:tc>
        <w:tc>
          <w:tcPr>
            <w:tcW w:w="678" w:type="dxa"/>
            <w:vAlign w:val="center"/>
          </w:tcPr>
          <w:p w14:paraId="233EA467">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设备名称</w:t>
            </w:r>
          </w:p>
        </w:tc>
        <w:tc>
          <w:tcPr>
            <w:tcW w:w="655" w:type="dxa"/>
            <w:vAlign w:val="center"/>
          </w:tcPr>
          <w:p w14:paraId="5097189E">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型号</w:t>
            </w:r>
          </w:p>
        </w:tc>
        <w:tc>
          <w:tcPr>
            <w:tcW w:w="392" w:type="dxa"/>
            <w:vAlign w:val="center"/>
          </w:tcPr>
          <w:p w14:paraId="1C066737">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数量</w:t>
            </w:r>
          </w:p>
        </w:tc>
        <w:tc>
          <w:tcPr>
            <w:tcW w:w="657" w:type="dxa"/>
            <w:vAlign w:val="center"/>
          </w:tcPr>
          <w:p w14:paraId="32EBEB1E">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购置合价</w:t>
            </w:r>
          </w:p>
          <w:p w14:paraId="67F34515">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656" w:type="dxa"/>
            <w:vAlign w:val="center"/>
          </w:tcPr>
          <w:p w14:paraId="71042F49">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折旧费</w:t>
            </w:r>
          </w:p>
          <w:p w14:paraId="474C26CB">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656" w:type="dxa"/>
            <w:vAlign w:val="center"/>
          </w:tcPr>
          <w:p w14:paraId="7457B747">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使用费</w:t>
            </w:r>
          </w:p>
          <w:p w14:paraId="024DA6B1">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765" w:type="dxa"/>
            <w:vAlign w:val="center"/>
          </w:tcPr>
          <w:p w14:paraId="5CD0FB08">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小计</w:t>
            </w:r>
          </w:p>
          <w:p w14:paraId="2B0CEF12">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折旧及使用费</w:t>
            </w:r>
          </w:p>
          <w:p w14:paraId="798C468B">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489" w:type="dxa"/>
            <w:vAlign w:val="center"/>
          </w:tcPr>
          <w:p w14:paraId="2C704187">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设备名称</w:t>
            </w:r>
          </w:p>
          <w:p w14:paraId="7AEF2E51">
            <w:pPr>
              <w:pStyle w:val="276"/>
              <w:jc w:val="center"/>
              <w:rPr>
                <w:rFonts w:ascii="宋体" w:hAnsi="宋体" w:cs="宋体"/>
                <w:color w:val="auto"/>
                <w:sz w:val="18"/>
                <w:szCs w:val="18"/>
                <w:highlight w:val="none"/>
              </w:rPr>
            </w:pPr>
          </w:p>
        </w:tc>
        <w:tc>
          <w:tcPr>
            <w:tcW w:w="530" w:type="dxa"/>
            <w:vAlign w:val="center"/>
          </w:tcPr>
          <w:p w14:paraId="2F2E3300">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型号</w:t>
            </w:r>
          </w:p>
        </w:tc>
        <w:tc>
          <w:tcPr>
            <w:tcW w:w="568" w:type="dxa"/>
            <w:vAlign w:val="center"/>
          </w:tcPr>
          <w:p w14:paraId="374A912C">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数量</w:t>
            </w:r>
          </w:p>
        </w:tc>
        <w:tc>
          <w:tcPr>
            <w:tcW w:w="570" w:type="dxa"/>
            <w:vAlign w:val="center"/>
          </w:tcPr>
          <w:p w14:paraId="5403DC22">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购置合价</w:t>
            </w:r>
          </w:p>
          <w:p w14:paraId="1B91CD77">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680" w:type="dxa"/>
            <w:vAlign w:val="center"/>
          </w:tcPr>
          <w:p w14:paraId="04AB26C6">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折旧费</w:t>
            </w:r>
          </w:p>
          <w:p w14:paraId="0C6C31FF">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620" w:type="dxa"/>
            <w:vAlign w:val="center"/>
          </w:tcPr>
          <w:p w14:paraId="27467CCB">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使用费</w:t>
            </w:r>
          </w:p>
          <w:p w14:paraId="5D4BDBE4">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c>
          <w:tcPr>
            <w:tcW w:w="645" w:type="dxa"/>
            <w:vAlign w:val="center"/>
          </w:tcPr>
          <w:p w14:paraId="119AE105">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小计</w:t>
            </w:r>
          </w:p>
          <w:p w14:paraId="361DE8EE">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折旧及使用费</w:t>
            </w:r>
          </w:p>
          <w:p w14:paraId="1A6E648A">
            <w:pPr>
              <w:pStyle w:val="276"/>
              <w:jc w:val="center"/>
              <w:rPr>
                <w:rFonts w:ascii="宋体" w:hAnsi="宋体" w:cs="宋体"/>
                <w:color w:val="auto"/>
                <w:sz w:val="18"/>
                <w:szCs w:val="18"/>
                <w:highlight w:val="none"/>
              </w:rPr>
            </w:pPr>
            <w:r>
              <w:rPr>
                <w:rFonts w:hint="eastAsia" w:ascii="宋体" w:hAnsi="宋体" w:cs="宋体"/>
                <w:color w:val="auto"/>
                <w:sz w:val="18"/>
                <w:szCs w:val="18"/>
                <w:highlight w:val="none"/>
              </w:rPr>
              <w:t>（元）</w:t>
            </w:r>
          </w:p>
        </w:tc>
      </w:tr>
      <w:tr w14:paraId="26CB5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exact"/>
        </w:trPr>
        <w:tc>
          <w:tcPr>
            <w:tcW w:w="360" w:type="dxa"/>
            <w:vAlign w:val="center"/>
          </w:tcPr>
          <w:p w14:paraId="4D6472C7">
            <w:pPr>
              <w:pStyle w:val="276"/>
              <w:jc w:val="center"/>
              <w:rPr>
                <w:rFonts w:ascii="宋体" w:hAnsi="宋体" w:cs="宋体"/>
                <w:color w:val="auto"/>
                <w:highlight w:val="none"/>
              </w:rPr>
            </w:pPr>
            <w:r>
              <w:rPr>
                <w:rFonts w:ascii="宋体" w:hAnsi="宋体" w:cs="宋体"/>
                <w:color w:val="auto"/>
                <w:highlight w:val="none"/>
              </w:rPr>
              <w:t>1</w:t>
            </w:r>
          </w:p>
        </w:tc>
        <w:tc>
          <w:tcPr>
            <w:tcW w:w="678" w:type="dxa"/>
            <w:vAlign w:val="center"/>
          </w:tcPr>
          <w:p w14:paraId="31703908">
            <w:pPr>
              <w:pStyle w:val="276"/>
              <w:jc w:val="center"/>
              <w:rPr>
                <w:rFonts w:ascii="宋体" w:hAnsi="宋体" w:cs="宋体"/>
                <w:color w:val="auto"/>
                <w:highlight w:val="none"/>
              </w:rPr>
            </w:pPr>
          </w:p>
        </w:tc>
        <w:tc>
          <w:tcPr>
            <w:tcW w:w="655" w:type="dxa"/>
            <w:vAlign w:val="center"/>
          </w:tcPr>
          <w:p w14:paraId="39B09C30">
            <w:pPr>
              <w:pStyle w:val="276"/>
              <w:jc w:val="center"/>
              <w:rPr>
                <w:rFonts w:ascii="宋体" w:hAnsi="宋体" w:cs="宋体"/>
                <w:color w:val="auto"/>
                <w:highlight w:val="none"/>
              </w:rPr>
            </w:pPr>
          </w:p>
        </w:tc>
        <w:tc>
          <w:tcPr>
            <w:tcW w:w="392" w:type="dxa"/>
            <w:vAlign w:val="center"/>
          </w:tcPr>
          <w:p w14:paraId="57129690">
            <w:pPr>
              <w:pStyle w:val="276"/>
              <w:jc w:val="center"/>
              <w:rPr>
                <w:rFonts w:ascii="宋体" w:hAnsi="宋体" w:cs="宋体"/>
                <w:color w:val="auto"/>
                <w:highlight w:val="none"/>
              </w:rPr>
            </w:pPr>
          </w:p>
        </w:tc>
        <w:tc>
          <w:tcPr>
            <w:tcW w:w="657" w:type="dxa"/>
            <w:vAlign w:val="center"/>
          </w:tcPr>
          <w:p w14:paraId="6F808E5F">
            <w:pPr>
              <w:pStyle w:val="276"/>
              <w:jc w:val="center"/>
              <w:rPr>
                <w:rFonts w:ascii="宋体" w:hAnsi="宋体" w:cs="宋体"/>
                <w:color w:val="auto"/>
                <w:highlight w:val="none"/>
              </w:rPr>
            </w:pPr>
          </w:p>
        </w:tc>
        <w:tc>
          <w:tcPr>
            <w:tcW w:w="656" w:type="dxa"/>
            <w:vAlign w:val="center"/>
          </w:tcPr>
          <w:p w14:paraId="5A007D81">
            <w:pPr>
              <w:pStyle w:val="276"/>
              <w:jc w:val="center"/>
              <w:rPr>
                <w:rFonts w:ascii="宋体" w:hAnsi="宋体" w:cs="宋体"/>
                <w:color w:val="auto"/>
                <w:highlight w:val="none"/>
              </w:rPr>
            </w:pPr>
          </w:p>
        </w:tc>
        <w:tc>
          <w:tcPr>
            <w:tcW w:w="656" w:type="dxa"/>
            <w:vAlign w:val="center"/>
          </w:tcPr>
          <w:p w14:paraId="2135DBF2">
            <w:pPr>
              <w:pStyle w:val="276"/>
              <w:jc w:val="center"/>
              <w:rPr>
                <w:rFonts w:ascii="宋体" w:hAnsi="宋体" w:cs="宋体"/>
                <w:color w:val="auto"/>
                <w:highlight w:val="none"/>
              </w:rPr>
            </w:pPr>
          </w:p>
        </w:tc>
        <w:tc>
          <w:tcPr>
            <w:tcW w:w="765" w:type="dxa"/>
            <w:vAlign w:val="center"/>
          </w:tcPr>
          <w:p w14:paraId="6FA0002C">
            <w:pPr>
              <w:pStyle w:val="276"/>
              <w:jc w:val="center"/>
              <w:rPr>
                <w:rFonts w:ascii="宋体" w:hAnsi="宋体" w:cs="宋体"/>
                <w:color w:val="auto"/>
                <w:highlight w:val="none"/>
              </w:rPr>
            </w:pPr>
          </w:p>
        </w:tc>
        <w:tc>
          <w:tcPr>
            <w:tcW w:w="489" w:type="dxa"/>
            <w:vAlign w:val="center"/>
          </w:tcPr>
          <w:p w14:paraId="3037E3B1">
            <w:pPr>
              <w:pStyle w:val="276"/>
              <w:jc w:val="center"/>
              <w:rPr>
                <w:rFonts w:ascii="宋体" w:hAnsi="宋体" w:cs="宋体"/>
                <w:color w:val="auto"/>
                <w:highlight w:val="none"/>
              </w:rPr>
            </w:pPr>
          </w:p>
        </w:tc>
        <w:tc>
          <w:tcPr>
            <w:tcW w:w="530" w:type="dxa"/>
            <w:vAlign w:val="center"/>
          </w:tcPr>
          <w:p w14:paraId="418914A6">
            <w:pPr>
              <w:pStyle w:val="276"/>
              <w:jc w:val="center"/>
              <w:rPr>
                <w:rFonts w:ascii="宋体" w:hAnsi="宋体" w:cs="宋体"/>
                <w:color w:val="auto"/>
                <w:highlight w:val="none"/>
              </w:rPr>
            </w:pPr>
          </w:p>
        </w:tc>
        <w:tc>
          <w:tcPr>
            <w:tcW w:w="568" w:type="dxa"/>
          </w:tcPr>
          <w:p w14:paraId="1BE691D8">
            <w:pPr>
              <w:pStyle w:val="276"/>
              <w:jc w:val="center"/>
              <w:rPr>
                <w:rFonts w:ascii="宋体" w:hAnsi="宋体" w:cs="宋体"/>
                <w:color w:val="auto"/>
                <w:highlight w:val="none"/>
              </w:rPr>
            </w:pPr>
          </w:p>
        </w:tc>
        <w:tc>
          <w:tcPr>
            <w:tcW w:w="570" w:type="dxa"/>
            <w:vAlign w:val="center"/>
          </w:tcPr>
          <w:p w14:paraId="4FB95588">
            <w:pPr>
              <w:pStyle w:val="276"/>
              <w:jc w:val="center"/>
              <w:rPr>
                <w:rFonts w:ascii="宋体" w:hAnsi="宋体" w:cs="宋体"/>
                <w:color w:val="auto"/>
                <w:highlight w:val="none"/>
              </w:rPr>
            </w:pPr>
          </w:p>
        </w:tc>
        <w:tc>
          <w:tcPr>
            <w:tcW w:w="680" w:type="dxa"/>
            <w:vAlign w:val="center"/>
          </w:tcPr>
          <w:p w14:paraId="1E4718DA">
            <w:pPr>
              <w:pStyle w:val="276"/>
              <w:jc w:val="center"/>
              <w:rPr>
                <w:rFonts w:ascii="宋体" w:hAnsi="宋体" w:cs="宋体"/>
                <w:color w:val="auto"/>
                <w:highlight w:val="none"/>
              </w:rPr>
            </w:pPr>
          </w:p>
        </w:tc>
        <w:tc>
          <w:tcPr>
            <w:tcW w:w="620" w:type="dxa"/>
            <w:vAlign w:val="center"/>
          </w:tcPr>
          <w:p w14:paraId="1B7E2754">
            <w:pPr>
              <w:pStyle w:val="276"/>
              <w:jc w:val="center"/>
              <w:rPr>
                <w:rFonts w:ascii="宋体" w:hAnsi="宋体" w:cs="宋体"/>
                <w:color w:val="auto"/>
                <w:highlight w:val="none"/>
              </w:rPr>
            </w:pPr>
          </w:p>
        </w:tc>
        <w:tc>
          <w:tcPr>
            <w:tcW w:w="645" w:type="dxa"/>
            <w:vAlign w:val="center"/>
          </w:tcPr>
          <w:p w14:paraId="1321042F">
            <w:pPr>
              <w:pStyle w:val="276"/>
              <w:jc w:val="center"/>
              <w:rPr>
                <w:rFonts w:ascii="宋体" w:hAnsi="宋体" w:cs="宋体"/>
                <w:color w:val="auto"/>
                <w:highlight w:val="none"/>
              </w:rPr>
            </w:pPr>
          </w:p>
        </w:tc>
      </w:tr>
      <w:tr w14:paraId="18A2D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exact"/>
        </w:trPr>
        <w:tc>
          <w:tcPr>
            <w:tcW w:w="360" w:type="dxa"/>
            <w:vAlign w:val="center"/>
          </w:tcPr>
          <w:p w14:paraId="066CF891">
            <w:pPr>
              <w:pStyle w:val="276"/>
              <w:jc w:val="center"/>
              <w:rPr>
                <w:rFonts w:ascii="宋体" w:hAnsi="宋体" w:cs="宋体"/>
                <w:color w:val="auto"/>
                <w:highlight w:val="none"/>
              </w:rPr>
            </w:pPr>
            <w:r>
              <w:rPr>
                <w:rFonts w:ascii="宋体" w:hAnsi="宋体" w:cs="宋体"/>
                <w:color w:val="auto"/>
                <w:highlight w:val="none"/>
              </w:rPr>
              <w:t>2</w:t>
            </w:r>
          </w:p>
        </w:tc>
        <w:tc>
          <w:tcPr>
            <w:tcW w:w="678" w:type="dxa"/>
            <w:vAlign w:val="center"/>
          </w:tcPr>
          <w:p w14:paraId="7DED1EAB">
            <w:pPr>
              <w:pStyle w:val="276"/>
              <w:jc w:val="center"/>
              <w:rPr>
                <w:rFonts w:ascii="宋体" w:hAnsi="宋体" w:cs="宋体"/>
                <w:color w:val="auto"/>
                <w:highlight w:val="none"/>
              </w:rPr>
            </w:pPr>
          </w:p>
        </w:tc>
        <w:tc>
          <w:tcPr>
            <w:tcW w:w="655" w:type="dxa"/>
            <w:vAlign w:val="center"/>
          </w:tcPr>
          <w:p w14:paraId="0D933649">
            <w:pPr>
              <w:pStyle w:val="276"/>
              <w:jc w:val="center"/>
              <w:rPr>
                <w:rFonts w:ascii="宋体" w:hAnsi="宋体" w:cs="宋体"/>
                <w:color w:val="auto"/>
                <w:highlight w:val="none"/>
              </w:rPr>
            </w:pPr>
          </w:p>
        </w:tc>
        <w:tc>
          <w:tcPr>
            <w:tcW w:w="392" w:type="dxa"/>
            <w:vAlign w:val="center"/>
          </w:tcPr>
          <w:p w14:paraId="539DACAA">
            <w:pPr>
              <w:pStyle w:val="276"/>
              <w:jc w:val="center"/>
              <w:rPr>
                <w:rFonts w:ascii="宋体" w:hAnsi="宋体" w:cs="宋体"/>
                <w:color w:val="auto"/>
                <w:highlight w:val="none"/>
              </w:rPr>
            </w:pPr>
          </w:p>
        </w:tc>
        <w:tc>
          <w:tcPr>
            <w:tcW w:w="657" w:type="dxa"/>
            <w:vAlign w:val="center"/>
          </w:tcPr>
          <w:p w14:paraId="789721E8">
            <w:pPr>
              <w:pStyle w:val="276"/>
              <w:jc w:val="center"/>
              <w:rPr>
                <w:rFonts w:ascii="宋体" w:hAnsi="宋体" w:cs="宋体"/>
                <w:color w:val="auto"/>
                <w:highlight w:val="none"/>
              </w:rPr>
            </w:pPr>
          </w:p>
        </w:tc>
        <w:tc>
          <w:tcPr>
            <w:tcW w:w="656" w:type="dxa"/>
            <w:vAlign w:val="center"/>
          </w:tcPr>
          <w:p w14:paraId="2614C198">
            <w:pPr>
              <w:pStyle w:val="276"/>
              <w:jc w:val="center"/>
              <w:rPr>
                <w:rFonts w:ascii="宋体" w:hAnsi="宋体" w:cs="宋体"/>
                <w:color w:val="auto"/>
                <w:highlight w:val="none"/>
              </w:rPr>
            </w:pPr>
          </w:p>
        </w:tc>
        <w:tc>
          <w:tcPr>
            <w:tcW w:w="656" w:type="dxa"/>
            <w:vAlign w:val="center"/>
          </w:tcPr>
          <w:p w14:paraId="71F5E40D">
            <w:pPr>
              <w:pStyle w:val="276"/>
              <w:jc w:val="center"/>
              <w:rPr>
                <w:rFonts w:ascii="宋体" w:hAnsi="宋体" w:cs="宋体"/>
                <w:color w:val="auto"/>
                <w:highlight w:val="none"/>
              </w:rPr>
            </w:pPr>
          </w:p>
        </w:tc>
        <w:tc>
          <w:tcPr>
            <w:tcW w:w="765" w:type="dxa"/>
            <w:vAlign w:val="center"/>
          </w:tcPr>
          <w:p w14:paraId="6C655477">
            <w:pPr>
              <w:pStyle w:val="276"/>
              <w:jc w:val="center"/>
              <w:rPr>
                <w:rFonts w:ascii="宋体" w:hAnsi="宋体" w:cs="宋体"/>
                <w:color w:val="auto"/>
                <w:highlight w:val="none"/>
              </w:rPr>
            </w:pPr>
          </w:p>
        </w:tc>
        <w:tc>
          <w:tcPr>
            <w:tcW w:w="489" w:type="dxa"/>
            <w:vAlign w:val="center"/>
          </w:tcPr>
          <w:p w14:paraId="6BEA49CD">
            <w:pPr>
              <w:pStyle w:val="276"/>
              <w:jc w:val="center"/>
              <w:rPr>
                <w:rFonts w:ascii="宋体" w:hAnsi="宋体" w:cs="宋体"/>
                <w:color w:val="auto"/>
                <w:highlight w:val="none"/>
              </w:rPr>
            </w:pPr>
          </w:p>
        </w:tc>
        <w:tc>
          <w:tcPr>
            <w:tcW w:w="530" w:type="dxa"/>
            <w:vAlign w:val="center"/>
          </w:tcPr>
          <w:p w14:paraId="7D87A65B">
            <w:pPr>
              <w:pStyle w:val="276"/>
              <w:jc w:val="center"/>
              <w:rPr>
                <w:rFonts w:ascii="宋体" w:hAnsi="宋体" w:cs="宋体"/>
                <w:color w:val="auto"/>
                <w:highlight w:val="none"/>
              </w:rPr>
            </w:pPr>
          </w:p>
        </w:tc>
        <w:tc>
          <w:tcPr>
            <w:tcW w:w="568" w:type="dxa"/>
          </w:tcPr>
          <w:p w14:paraId="1535C161">
            <w:pPr>
              <w:pStyle w:val="276"/>
              <w:jc w:val="center"/>
              <w:rPr>
                <w:rFonts w:ascii="宋体" w:hAnsi="宋体" w:cs="宋体"/>
                <w:color w:val="auto"/>
                <w:highlight w:val="none"/>
              </w:rPr>
            </w:pPr>
          </w:p>
        </w:tc>
        <w:tc>
          <w:tcPr>
            <w:tcW w:w="570" w:type="dxa"/>
            <w:vAlign w:val="center"/>
          </w:tcPr>
          <w:p w14:paraId="2904D044">
            <w:pPr>
              <w:pStyle w:val="276"/>
              <w:jc w:val="center"/>
              <w:rPr>
                <w:rFonts w:ascii="宋体" w:hAnsi="宋体" w:cs="宋体"/>
                <w:color w:val="auto"/>
                <w:highlight w:val="none"/>
              </w:rPr>
            </w:pPr>
          </w:p>
        </w:tc>
        <w:tc>
          <w:tcPr>
            <w:tcW w:w="680" w:type="dxa"/>
            <w:vAlign w:val="center"/>
          </w:tcPr>
          <w:p w14:paraId="3A3E3AB3">
            <w:pPr>
              <w:pStyle w:val="276"/>
              <w:jc w:val="center"/>
              <w:rPr>
                <w:rFonts w:ascii="宋体" w:hAnsi="宋体" w:cs="宋体"/>
                <w:color w:val="auto"/>
                <w:highlight w:val="none"/>
              </w:rPr>
            </w:pPr>
          </w:p>
        </w:tc>
        <w:tc>
          <w:tcPr>
            <w:tcW w:w="620" w:type="dxa"/>
            <w:vAlign w:val="center"/>
          </w:tcPr>
          <w:p w14:paraId="3369AD58">
            <w:pPr>
              <w:pStyle w:val="276"/>
              <w:jc w:val="center"/>
              <w:rPr>
                <w:rFonts w:ascii="宋体" w:hAnsi="宋体" w:cs="宋体"/>
                <w:color w:val="auto"/>
                <w:highlight w:val="none"/>
              </w:rPr>
            </w:pPr>
          </w:p>
        </w:tc>
        <w:tc>
          <w:tcPr>
            <w:tcW w:w="645" w:type="dxa"/>
            <w:vAlign w:val="center"/>
          </w:tcPr>
          <w:p w14:paraId="739C4878">
            <w:pPr>
              <w:pStyle w:val="276"/>
              <w:jc w:val="center"/>
              <w:rPr>
                <w:rFonts w:ascii="宋体" w:hAnsi="宋体" w:cs="宋体"/>
                <w:color w:val="auto"/>
                <w:highlight w:val="none"/>
              </w:rPr>
            </w:pPr>
          </w:p>
        </w:tc>
      </w:tr>
      <w:tr w14:paraId="472D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exact"/>
        </w:trPr>
        <w:tc>
          <w:tcPr>
            <w:tcW w:w="360" w:type="dxa"/>
            <w:vAlign w:val="center"/>
          </w:tcPr>
          <w:p w14:paraId="55ED8FA6">
            <w:pPr>
              <w:pStyle w:val="276"/>
              <w:jc w:val="center"/>
              <w:rPr>
                <w:rFonts w:ascii="宋体" w:hAnsi="宋体" w:cs="宋体"/>
                <w:color w:val="auto"/>
                <w:highlight w:val="none"/>
              </w:rPr>
            </w:pPr>
            <w:r>
              <w:rPr>
                <w:rFonts w:ascii="宋体" w:hAnsi="宋体" w:cs="宋体"/>
                <w:color w:val="auto"/>
                <w:highlight w:val="none"/>
              </w:rPr>
              <w:t>3</w:t>
            </w:r>
          </w:p>
        </w:tc>
        <w:tc>
          <w:tcPr>
            <w:tcW w:w="678" w:type="dxa"/>
            <w:vAlign w:val="center"/>
          </w:tcPr>
          <w:p w14:paraId="098FE8AE">
            <w:pPr>
              <w:pStyle w:val="276"/>
              <w:jc w:val="center"/>
              <w:rPr>
                <w:rFonts w:ascii="宋体" w:hAnsi="宋体" w:cs="宋体"/>
                <w:color w:val="auto"/>
                <w:highlight w:val="none"/>
              </w:rPr>
            </w:pPr>
          </w:p>
        </w:tc>
        <w:tc>
          <w:tcPr>
            <w:tcW w:w="655" w:type="dxa"/>
            <w:vAlign w:val="center"/>
          </w:tcPr>
          <w:p w14:paraId="70CA1375">
            <w:pPr>
              <w:pStyle w:val="276"/>
              <w:jc w:val="center"/>
              <w:rPr>
                <w:rFonts w:ascii="宋体" w:hAnsi="宋体" w:cs="宋体"/>
                <w:color w:val="auto"/>
                <w:highlight w:val="none"/>
              </w:rPr>
            </w:pPr>
          </w:p>
        </w:tc>
        <w:tc>
          <w:tcPr>
            <w:tcW w:w="392" w:type="dxa"/>
            <w:vAlign w:val="center"/>
          </w:tcPr>
          <w:p w14:paraId="573A8606">
            <w:pPr>
              <w:pStyle w:val="276"/>
              <w:jc w:val="center"/>
              <w:rPr>
                <w:rFonts w:ascii="宋体" w:hAnsi="宋体" w:cs="宋体"/>
                <w:color w:val="auto"/>
                <w:highlight w:val="none"/>
              </w:rPr>
            </w:pPr>
          </w:p>
        </w:tc>
        <w:tc>
          <w:tcPr>
            <w:tcW w:w="657" w:type="dxa"/>
            <w:vAlign w:val="center"/>
          </w:tcPr>
          <w:p w14:paraId="3F4DCFEF">
            <w:pPr>
              <w:pStyle w:val="276"/>
              <w:jc w:val="center"/>
              <w:rPr>
                <w:rFonts w:ascii="宋体" w:hAnsi="宋体" w:cs="宋体"/>
                <w:color w:val="auto"/>
                <w:highlight w:val="none"/>
              </w:rPr>
            </w:pPr>
          </w:p>
        </w:tc>
        <w:tc>
          <w:tcPr>
            <w:tcW w:w="656" w:type="dxa"/>
            <w:vAlign w:val="center"/>
          </w:tcPr>
          <w:p w14:paraId="10DBD132">
            <w:pPr>
              <w:pStyle w:val="276"/>
              <w:jc w:val="center"/>
              <w:rPr>
                <w:rFonts w:ascii="宋体" w:hAnsi="宋体" w:cs="宋体"/>
                <w:color w:val="auto"/>
                <w:highlight w:val="none"/>
              </w:rPr>
            </w:pPr>
          </w:p>
        </w:tc>
        <w:tc>
          <w:tcPr>
            <w:tcW w:w="656" w:type="dxa"/>
            <w:vAlign w:val="center"/>
          </w:tcPr>
          <w:p w14:paraId="7C035520">
            <w:pPr>
              <w:pStyle w:val="276"/>
              <w:jc w:val="center"/>
              <w:rPr>
                <w:rFonts w:ascii="宋体" w:hAnsi="宋体" w:cs="宋体"/>
                <w:color w:val="auto"/>
                <w:highlight w:val="none"/>
              </w:rPr>
            </w:pPr>
          </w:p>
        </w:tc>
        <w:tc>
          <w:tcPr>
            <w:tcW w:w="765" w:type="dxa"/>
            <w:vAlign w:val="center"/>
          </w:tcPr>
          <w:p w14:paraId="327AD967">
            <w:pPr>
              <w:pStyle w:val="276"/>
              <w:jc w:val="center"/>
              <w:rPr>
                <w:rFonts w:ascii="宋体" w:hAnsi="宋体" w:cs="宋体"/>
                <w:color w:val="auto"/>
                <w:highlight w:val="none"/>
              </w:rPr>
            </w:pPr>
          </w:p>
        </w:tc>
        <w:tc>
          <w:tcPr>
            <w:tcW w:w="489" w:type="dxa"/>
            <w:vAlign w:val="center"/>
          </w:tcPr>
          <w:p w14:paraId="73F8940E">
            <w:pPr>
              <w:pStyle w:val="276"/>
              <w:jc w:val="center"/>
              <w:rPr>
                <w:rFonts w:ascii="宋体" w:hAnsi="宋体" w:cs="宋体"/>
                <w:color w:val="auto"/>
                <w:highlight w:val="none"/>
              </w:rPr>
            </w:pPr>
          </w:p>
        </w:tc>
        <w:tc>
          <w:tcPr>
            <w:tcW w:w="530" w:type="dxa"/>
            <w:vAlign w:val="center"/>
          </w:tcPr>
          <w:p w14:paraId="5D5F364F">
            <w:pPr>
              <w:pStyle w:val="276"/>
              <w:jc w:val="center"/>
              <w:rPr>
                <w:rFonts w:ascii="宋体" w:hAnsi="宋体" w:cs="宋体"/>
                <w:color w:val="auto"/>
                <w:highlight w:val="none"/>
              </w:rPr>
            </w:pPr>
          </w:p>
        </w:tc>
        <w:tc>
          <w:tcPr>
            <w:tcW w:w="568" w:type="dxa"/>
          </w:tcPr>
          <w:p w14:paraId="71298BFB">
            <w:pPr>
              <w:pStyle w:val="276"/>
              <w:jc w:val="center"/>
              <w:rPr>
                <w:rFonts w:ascii="宋体" w:hAnsi="宋体" w:cs="宋体"/>
                <w:color w:val="auto"/>
                <w:highlight w:val="none"/>
              </w:rPr>
            </w:pPr>
          </w:p>
        </w:tc>
        <w:tc>
          <w:tcPr>
            <w:tcW w:w="570" w:type="dxa"/>
            <w:vAlign w:val="center"/>
          </w:tcPr>
          <w:p w14:paraId="248900CC">
            <w:pPr>
              <w:pStyle w:val="276"/>
              <w:jc w:val="center"/>
              <w:rPr>
                <w:rFonts w:ascii="宋体" w:hAnsi="宋体" w:cs="宋体"/>
                <w:color w:val="auto"/>
                <w:highlight w:val="none"/>
              </w:rPr>
            </w:pPr>
          </w:p>
        </w:tc>
        <w:tc>
          <w:tcPr>
            <w:tcW w:w="680" w:type="dxa"/>
            <w:vAlign w:val="center"/>
          </w:tcPr>
          <w:p w14:paraId="33360A97">
            <w:pPr>
              <w:pStyle w:val="276"/>
              <w:jc w:val="center"/>
              <w:rPr>
                <w:rFonts w:ascii="宋体" w:hAnsi="宋体" w:cs="宋体"/>
                <w:color w:val="auto"/>
                <w:highlight w:val="none"/>
              </w:rPr>
            </w:pPr>
          </w:p>
        </w:tc>
        <w:tc>
          <w:tcPr>
            <w:tcW w:w="620" w:type="dxa"/>
            <w:vAlign w:val="center"/>
          </w:tcPr>
          <w:p w14:paraId="64C2D73D">
            <w:pPr>
              <w:pStyle w:val="276"/>
              <w:jc w:val="center"/>
              <w:rPr>
                <w:rFonts w:ascii="宋体" w:hAnsi="宋体" w:cs="宋体"/>
                <w:color w:val="auto"/>
                <w:highlight w:val="none"/>
              </w:rPr>
            </w:pPr>
          </w:p>
        </w:tc>
        <w:tc>
          <w:tcPr>
            <w:tcW w:w="645" w:type="dxa"/>
            <w:vAlign w:val="center"/>
          </w:tcPr>
          <w:p w14:paraId="78CD648E">
            <w:pPr>
              <w:pStyle w:val="276"/>
              <w:jc w:val="center"/>
              <w:rPr>
                <w:rFonts w:ascii="宋体" w:hAnsi="宋体" w:cs="宋体"/>
                <w:color w:val="auto"/>
                <w:highlight w:val="none"/>
              </w:rPr>
            </w:pPr>
          </w:p>
        </w:tc>
      </w:tr>
      <w:tr w14:paraId="1E10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exact"/>
        </w:trPr>
        <w:tc>
          <w:tcPr>
            <w:tcW w:w="360" w:type="dxa"/>
            <w:vAlign w:val="center"/>
          </w:tcPr>
          <w:p w14:paraId="68591870">
            <w:pPr>
              <w:pStyle w:val="276"/>
              <w:jc w:val="center"/>
              <w:rPr>
                <w:rFonts w:ascii="宋体" w:hAnsi="宋体" w:cs="宋体"/>
                <w:color w:val="auto"/>
                <w:highlight w:val="none"/>
              </w:rPr>
            </w:pPr>
            <w:r>
              <w:rPr>
                <w:rFonts w:hint="eastAsia" w:ascii="宋体" w:hAnsi="宋体" w:eastAsia="宋体" w:cs="宋体"/>
                <w:color w:val="auto"/>
                <w:highlight w:val="none"/>
              </w:rPr>
              <w:t>…</w:t>
            </w:r>
          </w:p>
        </w:tc>
        <w:tc>
          <w:tcPr>
            <w:tcW w:w="678" w:type="dxa"/>
            <w:vAlign w:val="center"/>
          </w:tcPr>
          <w:p w14:paraId="592E9D24">
            <w:pPr>
              <w:pStyle w:val="276"/>
              <w:jc w:val="center"/>
              <w:rPr>
                <w:rFonts w:ascii="宋体" w:hAnsi="宋体" w:cs="宋体"/>
                <w:color w:val="auto"/>
                <w:highlight w:val="none"/>
              </w:rPr>
            </w:pPr>
          </w:p>
        </w:tc>
        <w:tc>
          <w:tcPr>
            <w:tcW w:w="655" w:type="dxa"/>
            <w:vAlign w:val="center"/>
          </w:tcPr>
          <w:p w14:paraId="4DAFDF56">
            <w:pPr>
              <w:pStyle w:val="276"/>
              <w:jc w:val="center"/>
              <w:rPr>
                <w:rFonts w:ascii="宋体" w:hAnsi="宋体" w:cs="宋体"/>
                <w:color w:val="auto"/>
                <w:highlight w:val="none"/>
              </w:rPr>
            </w:pPr>
          </w:p>
        </w:tc>
        <w:tc>
          <w:tcPr>
            <w:tcW w:w="392" w:type="dxa"/>
            <w:vAlign w:val="center"/>
          </w:tcPr>
          <w:p w14:paraId="3ABA3F0F">
            <w:pPr>
              <w:pStyle w:val="276"/>
              <w:jc w:val="center"/>
              <w:rPr>
                <w:rFonts w:ascii="宋体" w:hAnsi="宋体" w:cs="宋体"/>
                <w:color w:val="auto"/>
                <w:highlight w:val="none"/>
              </w:rPr>
            </w:pPr>
          </w:p>
        </w:tc>
        <w:tc>
          <w:tcPr>
            <w:tcW w:w="657" w:type="dxa"/>
            <w:vAlign w:val="center"/>
          </w:tcPr>
          <w:p w14:paraId="54B0A4AD">
            <w:pPr>
              <w:pStyle w:val="276"/>
              <w:jc w:val="center"/>
              <w:rPr>
                <w:rFonts w:ascii="宋体" w:hAnsi="宋体" w:cs="宋体"/>
                <w:color w:val="auto"/>
                <w:highlight w:val="none"/>
              </w:rPr>
            </w:pPr>
          </w:p>
        </w:tc>
        <w:tc>
          <w:tcPr>
            <w:tcW w:w="656" w:type="dxa"/>
            <w:vAlign w:val="center"/>
          </w:tcPr>
          <w:p w14:paraId="5A67DBD0">
            <w:pPr>
              <w:pStyle w:val="276"/>
              <w:jc w:val="center"/>
              <w:rPr>
                <w:rFonts w:ascii="宋体" w:hAnsi="宋体" w:cs="宋体"/>
                <w:color w:val="auto"/>
                <w:highlight w:val="none"/>
              </w:rPr>
            </w:pPr>
          </w:p>
        </w:tc>
        <w:tc>
          <w:tcPr>
            <w:tcW w:w="656" w:type="dxa"/>
            <w:vAlign w:val="center"/>
          </w:tcPr>
          <w:p w14:paraId="2580E64E">
            <w:pPr>
              <w:pStyle w:val="276"/>
              <w:jc w:val="center"/>
              <w:rPr>
                <w:rFonts w:ascii="宋体" w:hAnsi="宋体" w:cs="宋体"/>
                <w:color w:val="auto"/>
                <w:highlight w:val="none"/>
              </w:rPr>
            </w:pPr>
          </w:p>
        </w:tc>
        <w:tc>
          <w:tcPr>
            <w:tcW w:w="765" w:type="dxa"/>
            <w:vAlign w:val="center"/>
          </w:tcPr>
          <w:p w14:paraId="04FF7BEF">
            <w:pPr>
              <w:pStyle w:val="276"/>
              <w:jc w:val="center"/>
              <w:rPr>
                <w:rFonts w:ascii="宋体" w:hAnsi="宋体" w:cs="宋体"/>
                <w:color w:val="auto"/>
                <w:highlight w:val="none"/>
              </w:rPr>
            </w:pPr>
          </w:p>
        </w:tc>
        <w:tc>
          <w:tcPr>
            <w:tcW w:w="489" w:type="dxa"/>
            <w:vAlign w:val="center"/>
          </w:tcPr>
          <w:p w14:paraId="1CFE64EB">
            <w:pPr>
              <w:pStyle w:val="276"/>
              <w:jc w:val="center"/>
              <w:rPr>
                <w:rFonts w:ascii="宋体" w:hAnsi="宋体" w:cs="宋体"/>
                <w:color w:val="auto"/>
                <w:highlight w:val="none"/>
              </w:rPr>
            </w:pPr>
          </w:p>
        </w:tc>
        <w:tc>
          <w:tcPr>
            <w:tcW w:w="530" w:type="dxa"/>
            <w:vAlign w:val="center"/>
          </w:tcPr>
          <w:p w14:paraId="334229C6">
            <w:pPr>
              <w:pStyle w:val="276"/>
              <w:jc w:val="center"/>
              <w:rPr>
                <w:rFonts w:ascii="宋体" w:hAnsi="宋体" w:cs="宋体"/>
                <w:color w:val="auto"/>
                <w:highlight w:val="none"/>
              </w:rPr>
            </w:pPr>
          </w:p>
        </w:tc>
        <w:tc>
          <w:tcPr>
            <w:tcW w:w="568" w:type="dxa"/>
          </w:tcPr>
          <w:p w14:paraId="57BFF21D">
            <w:pPr>
              <w:pStyle w:val="276"/>
              <w:jc w:val="center"/>
              <w:rPr>
                <w:rFonts w:ascii="宋体" w:hAnsi="宋体" w:cs="宋体"/>
                <w:color w:val="auto"/>
                <w:highlight w:val="none"/>
              </w:rPr>
            </w:pPr>
          </w:p>
        </w:tc>
        <w:tc>
          <w:tcPr>
            <w:tcW w:w="570" w:type="dxa"/>
            <w:vAlign w:val="center"/>
          </w:tcPr>
          <w:p w14:paraId="25010669">
            <w:pPr>
              <w:pStyle w:val="276"/>
              <w:jc w:val="center"/>
              <w:rPr>
                <w:rFonts w:ascii="宋体" w:hAnsi="宋体" w:cs="宋体"/>
                <w:color w:val="auto"/>
                <w:highlight w:val="none"/>
              </w:rPr>
            </w:pPr>
          </w:p>
        </w:tc>
        <w:tc>
          <w:tcPr>
            <w:tcW w:w="680" w:type="dxa"/>
            <w:vAlign w:val="center"/>
          </w:tcPr>
          <w:p w14:paraId="39FF1212">
            <w:pPr>
              <w:pStyle w:val="276"/>
              <w:jc w:val="center"/>
              <w:rPr>
                <w:rFonts w:ascii="宋体" w:hAnsi="宋体" w:cs="宋体"/>
                <w:color w:val="auto"/>
                <w:highlight w:val="none"/>
              </w:rPr>
            </w:pPr>
          </w:p>
        </w:tc>
        <w:tc>
          <w:tcPr>
            <w:tcW w:w="620" w:type="dxa"/>
            <w:vAlign w:val="center"/>
          </w:tcPr>
          <w:p w14:paraId="3ADEC172">
            <w:pPr>
              <w:pStyle w:val="276"/>
              <w:jc w:val="center"/>
              <w:rPr>
                <w:rFonts w:ascii="宋体" w:hAnsi="宋体" w:cs="宋体"/>
                <w:color w:val="auto"/>
                <w:highlight w:val="none"/>
              </w:rPr>
            </w:pPr>
          </w:p>
        </w:tc>
        <w:tc>
          <w:tcPr>
            <w:tcW w:w="645" w:type="dxa"/>
            <w:vAlign w:val="center"/>
          </w:tcPr>
          <w:p w14:paraId="16FEFCE7">
            <w:pPr>
              <w:pStyle w:val="276"/>
              <w:jc w:val="center"/>
              <w:rPr>
                <w:rFonts w:ascii="宋体" w:hAnsi="宋体" w:cs="宋体"/>
                <w:color w:val="auto"/>
                <w:highlight w:val="none"/>
              </w:rPr>
            </w:pPr>
          </w:p>
        </w:tc>
      </w:tr>
      <w:tr w14:paraId="01D17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exact"/>
        </w:trPr>
        <w:tc>
          <w:tcPr>
            <w:tcW w:w="360" w:type="dxa"/>
            <w:vAlign w:val="center"/>
          </w:tcPr>
          <w:p w14:paraId="59A03419">
            <w:pPr>
              <w:pStyle w:val="276"/>
              <w:jc w:val="center"/>
              <w:rPr>
                <w:rFonts w:ascii="宋体" w:hAnsi="宋体" w:cs="宋体"/>
                <w:color w:val="auto"/>
                <w:highlight w:val="none"/>
              </w:rPr>
            </w:pPr>
          </w:p>
        </w:tc>
        <w:tc>
          <w:tcPr>
            <w:tcW w:w="2382" w:type="dxa"/>
            <w:gridSpan w:val="4"/>
            <w:vAlign w:val="center"/>
          </w:tcPr>
          <w:p w14:paraId="3DEDCAE4">
            <w:pPr>
              <w:pStyle w:val="276"/>
              <w:jc w:val="center"/>
              <w:rPr>
                <w:rFonts w:ascii="宋体" w:hAnsi="宋体" w:cs="宋体"/>
                <w:color w:val="auto"/>
                <w:highlight w:val="none"/>
              </w:rPr>
            </w:pPr>
            <w:r>
              <w:rPr>
                <w:rFonts w:hint="eastAsia" w:ascii="宋体" w:hAnsi="宋体" w:cs="宋体"/>
                <w:color w:val="auto"/>
                <w:highlight w:val="none"/>
              </w:rPr>
              <w:t>合计（元）</w:t>
            </w:r>
          </w:p>
        </w:tc>
        <w:tc>
          <w:tcPr>
            <w:tcW w:w="656" w:type="dxa"/>
            <w:vAlign w:val="center"/>
          </w:tcPr>
          <w:p w14:paraId="140871B6">
            <w:pPr>
              <w:pStyle w:val="276"/>
              <w:jc w:val="center"/>
              <w:rPr>
                <w:rFonts w:ascii="宋体" w:hAnsi="宋体" w:cs="宋体"/>
                <w:color w:val="auto"/>
                <w:highlight w:val="none"/>
              </w:rPr>
            </w:pPr>
          </w:p>
        </w:tc>
        <w:tc>
          <w:tcPr>
            <w:tcW w:w="656" w:type="dxa"/>
            <w:vAlign w:val="center"/>
          </w:tcPr>
          <w:p w14:paraId="29F73CED">
            <w:pPr>
              <w:pStyle w:val="276"/>
              <w:jc w:val="center"/>
              <w:rPr>
                <w:rFonts w:ascii="宋体" w:hAnsi="宋体" w:cs="宋体"/>
                <w:color w:val="auto"/>
                <w:highlight w:val="none"/>
              </w:rPr>
            </w:pPr>
          </w:p>
        </w:tc>
        <w:tc>
          <w:tcPr>
            <w:tcW w:w="765" w:type="dxa"/>
            <w:vAlign w:val="center"/>
          </w:tcPr>
          <w:p w14:paraId="450A8784">
            <w:pPr>
              <w:pStyle w:val="276"/>
              <w:jc w:val="center"/>
              <w:rPr>
                <w:rFonts w:ascii="宋体" w:hAnsi="宋体" w:cs="宋体"/>
                <w:color w:val="auto"/>
                <w:highlight w:val="none"/>
              </w:rPr>
            </w:pPr>
          </w:p>
        </w:tc>
        <w:tc>
          <w:tcPr>
            <w:tcW w:w="2157" w:type="dxa"/>
            <w:gridSpan w:val="4"/>
            <w:vAlign w:val="center"/>
          </w:tcPr>
          <w:p w14:paraId="25193A8C">
            <w:pPr>
              <w:pStyle w:val="276"/>
              <w:jc w:val="center"/>
              <w:rPr>
                <w:rFonts w:ascii="宋体" w:hAnsi="宋体" w:cs="宋体"/>
                <w:color w:val="auto"/>
                <w:highlight w:val="none"/>
              </w:rPr>
            </w:pPr>
            <w:r>
              <w:rPr>
                <w:rFonts w:hint="eastAsia" w:ascii="宋体" w:hAnsi="宋体" w:cs="宋体"/>
                <w:color w:val="auto"/>
                <w:highlight w:val="none"/>
              </w:rPr>
              <w:t>合计（元）</w:t>
            </w:r>
          </w:p>
        </w:tc>
        <w:tc>
          <w:tcPr>
            <w:tcW w:w="680" w:type="dxa"/>
            <w:vAlign w:val="center"/>
          </w:tcPr>
          <w:p w14:paraId="7C686A8E">
            <w:pPr>
              <w:pStyle w:val="276"/>
              <w:jc w:val="center"/>
              <w:rPr>
                <w:rFonts w:ascii="宋体" w:hAnsi="宋体" w:cs="宋体"/>
                <w:color w:val="auto"/>
                <w:highlight w:val="none"/>
              </w:rPr>
            </w:pPr>
          </w:p>
        </w:tc>
        <w:tc>
          <w:tcPr>
            <w:tcW w:w="620" w:type="dxa"/>
            <w:vAlign w:val="center"/>
          </w:tcPr>
          <w:p w14:paraId="5A0F8AE7">
            <w:pPr>
              <w:pStyle w:val="276"/>
              <w:jc w:val="center"/>
              <w:rPr>
                <w:rFonts w:ascii="宋体" w:hAnsi="宋体" w:cs="宋体"/>
                <w:color w:val="auto"/>
                <w:highlight w:val="none"/>
              </w:rPr>
            </w:pPr>
          </w:p>
        </w:tc>
        <w:tc>
          <w:tcPr>
            <w:tcW w:w="645" w:type="dxa"/>
            <w:vAlign w:val="center"/>
          </w:tcPr>
          <w:p w14:paraId="6740976B">
            <w:pPr>
              <w:pStyle w:val="276"/>
              <w:jc w:val="center"/>
              <w:rPr>
                <w:rFonts w:ascii="宋体" w:hAnsi="宋体" w:cs="宋体"/>
                <w:color w:val="auto"/>
                <w:highlight w:val="none"/>
              </w:rPr>
            </w:pPr>
          </w:p>
        </w:tc>
      </w:tr>
    </w:tbl>
    <w:p w14:paraId="0A163BC9">
      <w:pPr>
        <w:pStyle w:val="276"/>
        <w:rPr>
          <w:rFonts w:ascii="宋体" w:hAnsi="宋体" w:cs="宋体"/>
          <w:color w:val="auto"/>
          <w:highlight w:val="none"/>
        </w:rPr>
      </w:pPr>
    </w:p>
    <w:p w14:paraId="0AC92500">
      <w:pPr>
        <w:pStyle w:val="276"/>
        <w:spacing w:line="360" w:lineRule="auto"/>
        <w:jc w:val="center"/>
        <w:rPr>
          <w:rFonts w:ascii="宋体" w:hAnsi="宋体" w:cs="宋体"/>
          <w:b/>
          <w:color w:val="auto"/>
          <w:sz w:val="24"/>
          <w:highlight w:val="none"/>
        </w:rPr>
        <w:sectPr>
          <w:footnotePr>
            <w:numFmt w:val="decimalEnclosedCircleChinese"/>
            <w:numRestart w:val="eachPage"/>
          </w:footnotePr>
          <w:pgSz w:w="11907" w:h="16839"/>
          <w:pgMar w:top="1418" w:right="1418" w:bottom="1418" w:left="1701" w:header="720" w:footer="720" w:gutter="0"/>
          <w:cols w:space="720" w:num="1"/>
          <w:docGrid w:linePitch="286" w:charSpace="0"/>
        </w:sectPr>
      </w:pPr>
    </w:p>
    <w:p w14:paraId="387E6C48">
      <w:pPr>
        <w:pStyle w:val="276"/>
        <w:spacing w:line="360" w:lineRule="auto"/>
        <w:jc w:val="center"/>
        <w:rPr>
          <w:rFonts w:ascii="黑体" w:hAnsi="黑体" w:eastAsia="黑体" w:cs="宋体"/>
          <w:color w:val="auto"/>
          <w:sz w:val="24"/>
          <w:highlight w:val="none"/>
        </w:rPr>
      </w:pPr>
      <w:r>
        <w:rPr>
          <w:rFonts w:hint="eastAsia" w:ascii="黑体" w:hAnsi="黑体" w:eastAsia="黑体" w:cs="宋体"/>
          <w:color w:val="auto"/>
          <w:sz w:val="24"/>
          <w:highlight w:val="none"/>
        </w:rPr>
        <w:t>附件</w:t>
      </w:r>
      <w:r>
        <w:rPr>
          <w:rFonts w:ascii="黑体" w:hAnsi="黑体" w:eastAsia="黑体" w:cs="宋体"/>
          <w:color w:val="auto"/>
          <w:sz w:val="24"/>
          <w:highlight w:val="none"/>
        </w:rPr>
        <w:t xml:space="preserve">1  </w:t>
      </w:r>
      <w:r>
        <w:rPr>
          <w:rFonts w:hint="eastAsia" w:ascii="黑体" w:hAnsi="黑体" w:eastAsia="黑体" w:cs="宋体"/>
          <w:color w:val="auto"/>
          <w:sz w:val="24"/>
          <w:highlight w:val="none"/>
        </w:rPr>
        <w:t>监理试验室人员工作计划安排表</w:t>
      </w:r>
    </w:p>
    <w:p w14:paraId="127B1B10">
      <w:pPr>
        <w:pStyle w:val="276"/>
        <w:spacing w:line="360" w:lineRule="auto"/>
        <w:rPr>
          <w:rFonts w:ascii="宋体" w:hAnsi="宋体" w:cs="宋体"/>
          <w:color w:val="auto"/>
          <w:highlight w:val="none"/>
        </w:rPr>
      </w:pPr>
      <w:r>
        <w:rPr>
          <w:rFonts w:hint="eastAsia" w:ascii="宋体" w:hAnsi="宋体" w:cs="宋体"/>
          <w:color w:val="auto"/>
          <w:highlight w:val="none"/>
        </w:rPr>
        <w:t>标段：</w:t>
      </w:r>
      <w:r>
        <w:rPr>
          <w:rFonts w:ascii="宋体" w:hAnsi="宋体" w:cs="宋体"/>
          <w:color w:val="auto"/>
          <w:highlight w:val="none"/>
        </w:rPr>
        <w:t xml:space="preserve"> </w:t>
      </w:r>
    </w:p>
    <w:tbl>
      <w:tblPr>
        <w:tblStyle w:val="48"/>
        <w:tblW w:w="8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866"/>
        <w:gridCol w:w="1733"/>
        <w:gridCol w:w="709"/>
        <w:gridCol w:w="1275"/>
        <w:gridCol w:w="1418"/>
        <w:gridCol w:w="1417"/>
        <w:gridCol w:w="982"/>
      </w:tblGrid>
      <w:tr w14:paraId="796C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15" w:type="dxa"/>
            <w:vMerge w:val="restart"/>
            <w:vAlign w:val="center"/>
          </w:tcPr>
          <w:p w14:paraId="23698150">
            <w:pPr>
              <w:pStyle w:val="276"/>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599" w:type="dxa"/>
            <w:gridSpan w:val="2"/>
            <w:vMerge w:val="restart"/>
            <w:vAlign w:val="center"/>
          </w:tcPr>
          <w:p w14:paraId="281677BC">
            <w:pPr>
              <w:pStyle w:val="276"/>
              <w:jc w:val="center"/>
              <w:rPr>
                <w:rFonts w:ascii="宋体" w:hAnsi="宋体" w:cs="宋体"/>
                <w:color w:val="auto"/>
                <w:szCs w:val="21"/>
                <w:highlight w:val="none"/>
              </w:rPr>
            </w:pPr>
            <w:r>
              <w:rPr>
                <w:rFonts w:hint="eastAsia" w:ascii="宋体" w:hAnsi="宋体" w:cs="宋体"/>
                <w:color w:val="auto"/>
                <w:szCs w:val="21"/>
                <w:highlight w:val="none"/>
              </w:rPr>
              <w:t>岗位</w:t>
            </w:r>
          </w:p>
        </w:tc>
        <w:tc>
          <w:tcPr>
            <w:tcW w:w="4819" w:type="dxa"/>
            <w:gridSpan w:val="4"/>
            <w:vAlign w:val="center"/>
          </w:tcPr>
          <w:p w14:paraId="171E7535">
            <w:pPr>
              <w:pStyle w:val="276"/>
              <w:jc w:val="center"/>
              <w:rPr>
                <w:rFonts w:ascii="宋体" w:hAnsi="宋体" w:cs="宋体"/>
                <w:color w:val="auto"/>
                <w:szCs w:val="21"/>
                <w:highlight w:val="none"/>
              </w:rPr>
            </w:pPr>
          </w:p>
        </w:tc>
        <w:tc>
          <w:tcPr>
            <w:tcW w:w="982" w:type="dxa"/>
            <w:vMerge w:val="restart"/>
            <w:vAlign w:val="center"/>
          </w:tcPr>
          <w:p w14:paraId="1E9F179E">
            <w:pPr>
              <w:pStyle w:val="276"/>
              <w:ind w:firstLine="210" w:firstLineChars="100"/>
              <w:rPr>
                <w:rFonts w:ascii="宋体" w:hAnsi="宋体" w:cs="宋体"/>
                <w:color w:val="auto"/>
                <w:szCs w:val="21"/>
                <w:highlight w:val="none"/>
              </w:rPr>
            </w:pPr>
            <w:r>
              <w:rPr>
                <w:rFonts w:hint="eastAsia" w:ascii="宋体" w:hAnsi="宋体" w:cs="宋体"/>
                <w:color w:val="auto"/>
                <w:szCs w:val="21"/>
                <w:highlight w:val="none"/>
              </w:rPr>
              <w:t>合计</w:t>
            </w:r>
          </w:p>
          <w:p w14:paraId="1AA0309F">
            <w:pPr>
              <w:pStyle w:val="276"/>
              <w:rPr>
                <w:rFonts w:ascii="宋体" w:hAnsi="宋体" w:cs="宋体"/>
                <w:color w:val="auto"/>
                <w:szCs w:val="21"/>
                <w:highlight w:val="none"/>
              </w:rPr>
            </w:pPr>
            <w:r>
              <w:rPr>
                <w:rFonts w:hint="eastAsia" w:ascii="宋体" w:hAnsi="宋体" w:cs="宋体"/>
                <w:color w:val="auto"/>
                <w:szCs w:val="21"/>
                <w:highlight w:val="none"/>
              </w:rPr>
              <w:t>（月数）</w:t>
            </w:r>
          </w:p>
        </w:tc>
      </w:tr>
      <w:tr w14:paraId="66697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15" w:type="dxa"/>
            <w:vMerge w:val="continue"/>
            <w:vAlign w:val="center"/>
          </w:tcPr>
          <w:p w14:paraId="6699A680">
            <w:pPr>
              <w:pStyle w:val="276"/>
              <w:jc w:val="center"/>
              <w:rPr>
                <w:rFonts w:ascii="宋体" w:hAnsi="宋体" w:cs="宋体"/>
                <w:color w:val="auto"/>
                <w:szCs w:val="21"/>
                <w:highlight w:val="none"/>
              </w:rPr>
            </w:pPr>
          </w:p>
        </w:tc>
        <w:tc>
          <w:tcPr>
            <w:tcW w:w="2599" w:type="dxa"/>
            <w:gridSpan w:val="2"/>
            <w:vMerge w:val="continue"/>
            <w:vAlign w:val="center"/>
          </w:tcPr>
          <w:p w14:paraId="3514D795">
            <w:pPr>
              <w:pStyle w:val="276"/>
              <w:jc w:val="center"/>
              <w:rPr>
                <w:rFonts w:ascii="宋体" w:hAnsi="宋体" w:cs="宋体"/>
                <w:color w:val="auto"/>
                <w:szCs w:val="21"/>
                <w:highlight w:val="none"/>
              </w:rPr>
            </w:pPr>
          </w:p>
        </w:tc>
        <w:tc>
          <w:tcPr>
            <w:tcW w:w="709" w:type="dxa"/>
            <w:vMerge w:val="restart"/>
            <w:vAlign w:val="center"/>
          </w:tcPr>
          <w:p w14:paraId="2CD7AAAC">
            <w:pPr>
              <w:pStyle w:val="276"/>
              <w:jc w:val="center"/>
              <w:rPr>
                <w:rFonts w:ascii="宋体" w:hAnsi="宋体" w:cs="宋体"/>
                <w:color w:val="auto"/>
                <w:szCs w:val="21"/>
                <w:highlight w:val="none"/>
              </w:rPr>
            </w:pPr>
            <w:r>
              <w:rPr>
                <w:rFonts w:hint="eastAsia" w:ascii="宋体" w:hAnsi="宋体" w:cs="宋体"/>
                <w:color w:val="auto"/>
                <w:szCs w:val="21"/>
                <w:highlight w:val="none"/>
              </w:rPr>
              <w:t>人数</w:t>
            </w:r>
          </w:p>
        </w:tc>
        <w:tc>
          <w:tcPr>
            <w:tcW w:w="4110" w:type="dxa"/>
            <w:gridSpan w:val="3"/>
            <w:vAlign w:val="center"/>
          </w:tcPr>
          <w:p w14:paraId="1F15D3AB">
            <w:pPr>
              <w:pStyle w:val="276"/>
              <w:jc w:val="center"/>
              <w:rPr>
                <w:rFonts w:ascii="宋体" w:hAnsi="宋体" w:cs="宋体"/>
                <w:color w:val="auto"/>
                <w:szCs w:val="21"/>
                <w:highlight w:val="none"/>
              </w:rPr>
            </w:pPr>
            <w:r>
              <w:rPr>
                <w:rFonts w:hint="eastAsia" w:ascii="宋体" w:hAnsi="宋体" w:cs="宋体"/>
                <w:color w:val="auto"/>
                <w:szCs w:val="21"/>
                <w:highlight w:val="none"/>
              </w:rPr>
              <w:t>进驻月数（人·月）</w:t>
            </w:r>
          </w:p>
        </w:tc>
        <w:tc>
          <w:tcPr>
            <w:tcW w:w="982" w:type="dxa"/>
            <w:vMerge w:val="continue"/>
            <w:vAlign w:val="center"/>
          </w:tcPr>
          <w:p w14:paraId="7D40FA6D">
            <w:pPr>
              <w:pStyle w:val="276"/>
              <w:jc w:val="center"/>
              <w:rPr>
                <w:rFonts w:ascii="宋体" w:hAnsi="宋体" w:cs="宋体"/>
                <w:color w:val="auto"/>
                <w:szCs w:val="21"/>
                <w:highlight w:val="none"/>
              </w:rPr>
            </w:pPr>
          </w:p>
        </w:tc>
      </w:tr>
      <w:tr w14:paraId="2454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15" w:type="dxa"/>
            <w:vMerge w:val="continue"/>
            <w:vAlign w:val="center"/>
          </w:tcPr>
          <w:p w14:paraId="774F0A87">
            <w:pPr>
              <w:pStyle w:val="276"/>
              <w:jc w:val="center"/>
              <w:rPr>
                <w:rFonts w:ascii="宋体" w:hAnsi="宋体" w:cs="宋体"/>
                <w:color w:val="auto"/>
                <w:szCs w:val="21"/>
                <w:highlight w:val="none"/>
              </w:rPr>
            </w:pPr>
          </w:p>
        </w:tc>
        <w:tc>
          <w:tcPr>
            <w:tcW w:w="2599" w:type="dxa"/>
            <w:gridSpan w:val="2"/>
            <w:vMerge w:val="continue"/>
            <w:vAlign w:val="center"/>
          </w:tcPr>
          <w:p w14:paraId="3173A3B9">
            <w:pPr>
              <w:pStyle w:val="276"/>
              <w:jc w:val="center"/>
              <w:rPr>
                <w:rFonts w:ascii="宋体" w:hAnsi="宋体" w:cs="宋体"/>
                <w:color w:val="auto"/>
                <w:szCs w:val="21"/>
                <w:highlight w:val="none"/>
              </w:rPr>
            </w:pPr>
          </w:p>
        </w:tc>
        <w:tc>
          <w:tcPr>
            <w:tcW w:w="709" w:type="dxa"/>
            <w:vMerge w:val="continue"/>
            <w:vAlign w:val="center"/>
          </w:tcPr>
          <w:p w14:paraId="1FED589C">
            <w:pPr>
              <w:pStyle w:val="276"/>
              <w:jc w:val="center"/>
              <w:rPr>
                <w:rFonts w:ascii="宋体" w:hAnsi="宋体" w:cs="宋体"/>
                <w:color w:val="auto"/>
                <w:szCs w:val="21"/>
                <w:highlight w:val="none"/>
              </w:rPr>
            </w:pPr>
          </w:p>
        </w:tc>
        <w:tc>
          <w:tcPr>
            <w:tcW w:w="1275" w:type="dxa"/>
            <w:vAlign w:val="center"/>
          </w:tcPr>
          <w:p w14:paraId="1C351EF4">
            <w:pPr>
              <w:pStyle w:val="276"/>
              <w:jc w:val="center"/>
              <w:rPr>
                <w:rFonts w:ascii="宋体" w:hAnsi="宋体" w:cs="宋体"/>
                <w:color w:val="auto"/>
                <w:szCs w:val="21"/>
                <w:highlight w:val="none"/>
              </w:rPr>
            </w:pPr>
            <w:r>
              <w:rPr>
                <w:rFonts w:hint="eastAsia" w:ascii="宋体" w:hAnsi="宋体" w:cs="宋体"/>
                <w:color w:val="auto"/>
                <w:szCs w:val="21"/>
                <w:highlight w:val="none"/>
              </w:rPr>
              <w:t>准备期</w:t>
            </w:r>
          </w:p>
        </w:tc>
        <w:tc>
          <w:tcPr>
            <w:tcW w:w="1418" w:type="dxa"/>
            <w:vAlign w:val="center"/>
          </w:tcPr>
          <w:p w14:paraId="589141FD">
            <w:pPr>
              <w:pStyle w:val="276"/>
              <w:jc w:val="center"/>
              <w:rPr>
                <w:rFonts w:ascii="宋体" w:hAnsi="宋体" w:cs="宋体"/>
                <w:color w:val="auto"/>
                <w:szCs w:val="21"/>
                <w:highlight w:val="none"/>
              </w:rPr>
            </w:pPr>
            <w:r>
              <w:rPr>
                <w:rFonts w:hint="eastAsia" w:ascii="宋体" w:hAnsi="宋体" w:cs="宋体"/>
                <w:color w:val="auto"/>
                <w:szCs w:val="21"/>
                <w:highlight w:val="none"/>
              </w:rPr>
              <w:t>施工期</w:t>
            </w:r>
          </w:p>
        </w:tc>
        <w:tc>
          <w:tcPr>
            <w:tcW w:w="1417" w:type="dxa"/>
            <w:vAlign w:val="center"/>
          </w:tcPr>
          <w:p w14:paraId="55057B7F">
            <w:pPr>
              <w:pStyle w:val="276"/>
              <w:jc w:val="center"/>
              <w:rPr>
                <w:rFonts w:ascii="宋体" w:hAnsi="宋体" w:cs="宋体"/>
                <w:color w:val="auto"/>
                <w:szCs w:val="21"/>
                <w:highlight w:val="none"/>
              </w:rPr>
            </w:pPr>
            <w:r>
              <w:rPr>
                <w:rFonts w:hint="eastAsia" w:ascii="宋体" w:hAnsi="宋体" w:cs="宋体"/>
                <w:color w:val="auto"/>
                <w:szCs w:val="21"/>
                <w:highlight w:val="none"/>
              </w:rPr>
              <w:t>缺陷责任期</w:t>
            </w:r>
          </w:p>
        </w:tc>
        <w:tc>
          <w:tcPr>
            <w:tcW w:w="982" w:type="dxa"/>
            <w:vMerge w:val="continue"/>
            <w:vAlign w:val="center"/>
          </w:tcPr>
          <w:p w14:paraId="0B9BDF31">
            <w:pPr>
              <w:pStyle w:val="276"/>
              <w:jc w:val="center"/>
              <w:rPr>
                <w:rFonts w:ascii="宋体" w:hAnsi="宋体" w:cs="宋体"/>
                <w:color w:val="auto"/>
                <w:szCs w:val="21"/>
                <w:highlight w:val="none"/>
              </w:rPr>
            </w:pPr>
          </w:p>
        </w:tc>
      </w:tr>
      <w:tr w14:paraId="04A4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515" w:type="dxa"/>
            <w:vAlign w:val="center"/>
          </w:tcPr>
          <w:p w14:paraId="2163DD0D">
            <w:pPr>
              <w:pStyle w:val="276"/>
              <w:jc w:val="center"/>
              <w:rPr>
                <w:rFonts w:ascii="宋体" w:hAnsi="宋体" w:cs="宋体"/>
                <w:color w:val="auto"/>
                <w:szCs w:val="21"/>
                <w:highlight w:val="none"/>
              </w:rPr>
            </w:pPr>
            <w:r>
              <w:rPr>
                <w:rFonts w:ascii="宋体" w:hAnsi="宋体" w:cs="宋体"/>
                <w:color w:val="auto"/>
                <w:szCs w:val="21"/>
                <w:highlight w:val="none"/>
              </w:rPr>
              <w:t>1</w:t>
            </w:r>
          </w:p>
        </w:tc>
        <w:tc>
          <w:tcPr>
            <w:tcW w:w="866" w:type="dxa"/>
            <w:vMerge w:val="restart"/>
            <w:vAlign w:val="center"/>
          </w:tcPr>
          <w:p w14:paraId="04A945D3">
            <w:pPr>
              <w:pStyle w:val="276"/>
              <w:jc w:val="center"/>
              <w:rPr>
                <w:rFonts w:ascii="宋体" w:hAnsi="宋体" w:cs="宋体"/>
                <w:color w:val="auto"/>
                <w:szCs w:val="21"/>
                <w:highlight w:val="none"/>
              </w:rPr>
            </w:pPr>
            <w:r>
              <w:rPr>
                <w:rFonts w:hint="eastAsia" w:ascii="宋体" w:hAnsi="宋体" w:cs="宋体"/>
                <w:color w:val="auto"/>
                <w:szCs w:val="21"/>
                <w:highlight w:val="none"/>
              </w:rPr>
              <w:t>监理试验室</w:t>
            </w:r>
          </w:p>
        </w:tc>
        <w:tc>
          <w:tcPr>
            <w:tcW w:w="1733" w:type="dxa"/>
            <w:vAlign w:val="center"/>
          </w:tcPr>
          <w:p w14:paraId="1CA42D23">
            <w:pPr>
              <w:pStyle w:val="276"/>
              <w:jc w:val="center"/>
              <w:rPr>
                <w:rFonts w:ascii="宋体" w:hAnsi="宋体" w:cs="宋体"/>
                <w:color w:val="auto"/>
                <w:szCs w:val="21"/>
                <w:highlight w:val="none"/>
              </w:rPr>
            </w:pPr>
            <w:r>
              <w:rPr>
                <w:rFonts w:hint="eastAsia" w:ascii="宋体" w:hAnsi="宋体" w:cs="宋体"/>
                <w:color w:val="auto"/>
                <w:szCs w:val="21"/>
                <w:highlight w:val="none"/>
              </w:rPr>
              <w:t>试验室主任</w:t>
            </w:r>
          </w:p>
        </w:tc>
        <w:tc>
          <w:tcPr>
            <w:tcW w:w="709" w:type="dxa"/>
            <w:vAlign w:val="center"/>
          </w:tcPr>
          <w:p w14:paraId="4C7B9AD3">
            <w:pPr>
              <w:pStyle w:val="276"/>
              <w:jc w:val="center"/>
              <w:rPr>
                <w:rFonts w:ascii="宋体" w:hAnsi="宋体" w:cs="宋体"/>
                <w:color w:val="auto"/>
                <w:szCs w:val="21"/>
                <w:highlight w:val="none"/>
              </w:rPr>
            </w:pPr>
          </w:p>
        </w:tc>
        <w:tc>
          <w:tcPr>
            <w:tcW w:w="1275" w:type="dxa"/>
            <w:vAlign w:val="center"/>
          </w:tcPr>
          <w:p w14:paraId="1DFA3934">
            <w:pPr>
              <w:pStyle w:val="276"/>
              <w:jc w:val="center"/>
              <w:rPr>
                <w:rFonts w:ascii="宋体" w:hAnsi="宋体" w:cs="宋体"/>
                <w:color w:val="auto"/>
                <w:szCs w:val="21"/>
                <w:highlight w:val="none"/>
              </w:rPr>
            </w:pPr>
            <w:r>
              <w:rPr>
                <w:rFonts w:hint="eastAsia" w:ascii="宋体" w:hAnsi="宋体" w:cs="宋体"/>
                <w:color w:val="auto"/>
                <w:szCs w:val="21"/>
                <w:highlight w:val="none"/>
              </w:rPr>
              <w:t>人数×月数</w:t>
            </w:r>
          </w:p>
        </w:tc>
        <w:tc>
          <w:tcPr>
            <w:tcW w:w="1418" w:type="dxa"/>
            <w:vAlign w:val="center"/>
          </w:tcPr>
          <w:p w14:paraId="147AD2F5">
            <w:pPr>
              <w:pStyle w:val="276"/>
              <w:jc w:val="center"/>
              <w:rPr>
                <w:rFonts w:ascii="宋体" w:hAnsi="宋体" w:cs="宋体"/>
                <w:color w:val="auto"/>
                <w:szCs w:val="21"/>
                <w:highlight w:val="none"/>
              </w:rPr>
            </w:pPr>
            <w:r>
              <w:rPr>
                <w:rFonts w:hint="eastAsia" w:ascii="宋体" w:hAnsi="宋体" w:cs="宋体"/>
                <w:color w:val="auto"/>
                <w:szCs w:val="21"/>
                <w:highlight w:val="none"/>
              </w:rPr>
              <w:t>人数×月数</w:t>
            </w:r>
          </w:p>
        </w:tc>
        <w:tc>
          <w:tcPr>
            <w:tcW w:w="1417" w:type="dxa"/>
            <w:vAlign w:val="center"/>
          </w:tcPr>
          <w:p w14:paraId="44020432">
            <w:pPr>
              <w:pStyle w:val="276"/>
              <w:jc w:val="center"/>
              <w:rPr>
                <w:rFonts w:ascii="宋体" w:hAnsi="宋体" w:cs="宋体"/>
                <w:color w:val="auto"/>
                <w:szCs w:val="21"/>
                <w:highlight w:val="none"/>
              </w:rPr>
            </w:pPr>
            <w:r>
              <w:rPr>
                <w:rFonts w:hint="eastAsia" w:ascii="宋体" w:hAnsi="宋体" w:cs="宋体"/>
                <w:color w:val="auto"/>
                <w:szCs w:val="21"/>
                <w:highlight w:val="none"/>
              </w:rPr>
              <w:t>人数×月数</w:t>
            </w:r>
          </w:p>
        </w:tc>
        <w:tc>
          <w:tcPr>
            <w:tcW w:w="982" w:type="dxa"/>
            <w:vAlign w:val="center"/>
          </w:tcPr>
          <w:p w14:paraId="4CD04113">
            <w:pPr>
              <w:pStyle w:val="276"/>
              <w:jc w:val="center"/>
              <w:rPr>
                <w:rFonts w:ascii="宋体" w:hAnsi="宋体" w:cs="宋体"/>
                <w:color w:val="auto"/>
                <w:szCs w:val="21"/>
                <w:highlight w:val="none"/>
              </w:rPr>
            </w:pPr>
          </w:p>
        </w:tc>
      </w:tr>
      <w:tr w14:paraId="3A76C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515" w:type="dxa"/>
            <w:vAlign w:val="center"/>
          </w:tcPr>
          <w:p w14:paraId="5661FA06">
            <w:pPr>
              <w:pStyle w:val="276"/>
              <w:jc w:val="center"/>
              <w:rPr>
                <w:rFonts w:ascii="宋体" w:hAnsi="宋体" w:cs="宋体"/>
                <w:color w:val="auto"/>
                <w:szCs w:val="21"/>
                <w:highlight w:val="none"/>
              </w:rPr>
            </w:pPr>
            <w:r>
              <w:rPr>
                <w:rFonts w:ascii="宋体" w:hAnsi="宋体" w:cs="宋体"/>
                <w:color w:val="auto"/>
                <w:szCs w:val="21"/>
                <w:highlight w:val="none"/>
              </w:rPr>
              <w:t>2</w:t>
            </w:r>
          </w:p>
        </w:tc>
        <w:tc>
          <w:tcPr>
            <w:tcW w:w="866" w:type="dxa"/>
            <w:vMerge w:val="continue"/>
            <w:vAlign w:val="center"/>
          </w:tcPr>
          <w:p w14:paraId="04122FE7">
            <w:pPr>
              <w:pStyle w:val="276"/>
              <w:jc w:val="center"/>
              <w:rPr>
                <w:rFonts w:ascii="宋体" w:hAnsi="宋体" w:cs="宋体"/>
                <w:color w:val="auto"/>
                <w:szCs w:val="21"/>
                <w:highlight w:val="none"/>
              </w:rPr>
            </w:pPr>
          </w:p>
        </w:tc>
        <w:tc>
          <w:tcPr>
            <w:tcW w:w="1733" w:type="dxa"/>
            <w:vAlign w:val="center"/>
          </w:tcPr>
          <w:p w14:paraId="767064CC">
            <w:pPr>
              <w:pStyle w:val="276"/>
              <w:jc w:val="center"/>
              <w:rPr>
                <w:rFonts w:ascii="宋体" w:hAnsi="宋体" w:cs="宋体"/>
                <w:color w:val="auto"/>
                <w:szCs w:val="21"/>
                <w:highlight w:val="none"/>
              </w:rPr>
            </w:pPr>
            <w:r>
              <w:rPr>
                <w:rFonts w:hint="eastAsia" w:ascii="宋体" w:hAnsi="宋体" w:cs="宋体"/>
                <w:color w:val="auto"/>
                <w:szCs w:val="21"/>
                <w:highlight w:val="none"/>
              </w:rPr>
              <w:t>技术负责人</w:t>
            </w:r>
          </w:p>
        </w:tc>
        <w:tc>
          <w:tcPr>
            <w:tcW w:w="709" w:type="dxa"/>
            <w:vAlign w:val="center"/>
          </w:tcPr>
          <w:p w14:paraId="2B624A21">
            <w:pPr>
              <w:pStyle w:val="276"/>
              <w:jc w:val="center"/>
              <w:rPr>
                <w:rFonts w:ascii="宋体" w:hAnsi="宋体" w:cs="宋体"/>
                <w:color w:val="auto"/>
                <w:szCs w:val="21"/>
                <w:highlight w:val="none"/>
              </w:rPr>
            </w:pPr>
          </w:p>
        </w:tc>
        <w:tc>
          <w:tcPr>
            <w:tcW w:w="1275" w:type="dxa"/>
            <w:vAlign w:val="center"/>
          </w:tcPr>
          <w:p w14:paraId="0D5E4D80">
            <w:pPr>
              <w:pStyle w:val="276"/>
              <w:jc w:val="center"/>
              <w:rPr>
                <w:rFonts w:ascii="宋体" w:hAnsi="宋体" w:cs="宋体"/>
                <w:color w:val="auto"/>
                <w:szCs w:val="21"/>
                <w:highlight w:val="none"/>
              </w:rPr>
            </w:pPr>
            <w:r>
              <w:rPr>
                <w:rFonts w:ascii="宋体" w:hAnsi="宋体" w:cs="宋体"/>
                <w:color w:val="auto"/>
                <w:szCs w:val="21"/>
                <w:highlight w:val="none"/>
              </w:rPr>
              <w:t>/</w:t>
            </w:r>
          </w:p>
        </w:tc>
        <w:tc>
          <w:tcPr>
            <w:tcW w:w="1418" w:type="dxa"/>
            <w:vAlign w:val="center"/>
          </w:tcPr>
          <w:p w14:paraId="49430C6E">
            <w:pPr>
              <w:pStyle w:val="276"/>
              <w:jc w:val="center"/>
              <w:rPr>
                <w:rFonts w:ascii="宋体" w:hAnsi="宋体" w:cs="宋体"/>
                <w:color w:val="auto"/>
                <w:szCs w:val="21"/>
                <w:highlight w:val="none"/>
              </w:rPr>
            </w:pPr>
            <w:r>
              <w:rPr>
                <w:rFonts w:hint="eastAsia" w:ascii="宋体" w:hAnsi="宋体" w:cs="宋体"/>
                <w:color w:val="auto"/>
                <w:szCs w:val="21"/>
                <w:highlight w:val="none"/>
              </w:rPr>
              <w:t>人数×月数</w:t>
            </w:r>
          </w:p>
        </w:tc>
        <w:tc>
          <w:tcPr>
            <w:tcW w:w="1417" w:type="dxa"/>
            <w:vAlign w:val="center"/>
          </w:tcPr>
          <w:p w14:paraId="111984CA">
            <w:pPr>
              <w:pStyle w:val="276"/>
              <w:jc w:val="center"/>
              <w:rPr>
                <w:rFonts w:ascii="宋体" w:hAnsi="宋体" w:cs="宋体"/>
                <w:color w:val="auto"/>
                <w:szCs w:val="21"/>
                <w:highlight w:val="none"/>
              </w:rPr>
            </w:pPr>
            <w:r>
              <w:rPr>
                <w:rFonts w:ascii="宋体" w:hAnsi="宋体" w:cs="宋体"/>
                <w:color w:val="auto"/>
                <w:szCs w:val="21"/>
                <w:highlight w:val="none"/>
              </w:rPr>
              <w:t>/</w:t>
            </w:r>
          </w:p>
        </w:tc>
        <w:tc>
          <w:tcPr>
            <w:tcW w:w="982" w:type="dxa"/>
            <w:vAlign w:val="center"/>
          </w:tcPr>
          <w:p w14:paraId="1E216B9B">
            <w:pPr>
              <w:pStyle w:val="276"/>
              <w:jc w:val="center"/>
              <w:rPr>
                <w:rFonts w:ascii="宋体" w:hAnsi="宋体" w:cs="宋体"/>
                <w:color w:val="auto"/>
                <w:szCs w:val="21"/>
                <w:highlight w:val="none"/>
              </w:rPr>
            </w:pPr>
          </w:p>
        </w:tc>
      </w:tr>
      <w:tr w14:paraId="087F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515" w:type="dxa"/>
            <w:vAlign w:val="center"/>
          </w:tcPr>
          <w:p w14:paraId="32F68C92">
            <w:pPr>
              <w:pStyle w:val="276"/>
              <w:jc w:val="center"/>
              <w:rPr>
                <w:rFonts w:ascii="宋体" w:hAnsi="宋体" w:cs="宋体"/>
                <w:color w:val="auto"/>
                <w:szCs w:val="21"/>
                <w:highlight w:val="none"/>
              </w:rPr>
            </w:pPr>
            <w:r>
              <w:rPr>
                <w:rFonts w:ascii="宋体" w:hAnsi="宋体" w:cs="宋体"/>
                <w:color w:val="auto"/>
                <w:szCs w:val="21"/>
                <w:highlight w:val="none"/>
              </w:rPr>
              <w:t>3</w:t>
            </w:r>
          </w:p>
        </w:tc>
        <w:tc>
          <w:tcPr>
            <w:tcW w:w="866" w:type="dxa"/>
            <w:vMerge w:val="continue"/>
            <w:vAlign w:val="center"/>
          </w:tcPr>
          <w:p w14:paraId="0DD815F9">
            <w:pPr>
              <w:pStyle w:val="276"/>
              <w:jc w:val="center"/>
              <w:rPr>
                <w:rFonts w:ascii="宋体" w:hAnsi="宋体" w:cs="宋体"/>
                <w:color w:val="auto"/>
                <w:szCs w:val="21"/>
                <w:highlight w:val="none"/>
              </w:rPr>
            </w:pPr>
          </w:p>
        </w:tc>
        <w:tc>
          <w:tcPr>
            <w:tcW w:w="1733" w:type="dxa"/>
            <w:vAlign w:val="center"/>
          </w:tcPr>
          <w:p w14:paraId="7BA4A6FF">
            <w:pPr>
              <w:pStyle w:val="276"/>
              <w:jc w:val="center"/>
              <w:rPr>
                <w:rFonts w:ascii="宋体" w:hAnsi="宋体" w:cs="宋体"/>
                <w:color w:val="auto"/>
                <w:szCs w:val="21"/>
                <w:highlight w:val="none"/>
              </w:rPr>
            </w:pPr>
            <w:r>
              <w:rPr>
                <w:rFonts w:hint="eastAsia" w:ascii="宋体" w:hAnsi="宋体" w:cs="宋体"/>
                <w:color w:val="auto"/>
                <w:szCs w:val="21"/>
                <w:highlight w:val="none"/>
              </w:rPr>
              <w:t>试验检测工程师</w:t>
            </w:r>
          </w:p>
        </w:tc>
        <w:tc>
          <w:tcPr>
            <w:tcW w:w="709" w:type="dxa"/>
            <w:vAlign w:val="center"/>
          </w:tcPr>
          <w:p w14:paraId="7C239C85">
            <w:pPr>
              <w:pStyle w:val="276"/>
              <w:jc w:val="center"/>
              <w:rPr>
                <w:rFonts w:ascii="宋体" w:hAnsi="宋体" w:cs="宋体"/>
                <w:color w:val="auto"/>
                <w:szCs w:val="21"/>
                <w:highlight w:val="none"/>
              </w:rPr>
            </w:pPr>
          </w:p>
        </w:tc>
        <w:tc>
          <w:tcPr>
            <w:tcW w:w="1275" w:type="dxa"/>
            <w:vAlign w:val="center"/>
          </w:tcPr>
          <w:p w14:paraId="22286888">
            <w:pPr>
              <w:pStyle w:val="276"/>
              <w:jc w:val="center"/>
              <w:rPr>
                <w:rFonts w:ascii="宋体" w:hAnsi="宋体" w:cs="宋体"/>
                <w:color w:val="auto"/>
                <w:szCs w:val="21"/>
                <w:highlight w:val="none"/>
              </w:rPr>
            </w:pPr>
            <w:r>
              <w:rPr>
                <w:rFonts w:ascii="宋体" w:hAnsi="宋体" w:cs="宋体"/>
                <w:color w:val="auto"/>
                <w:szCs w:val="21"/>
                <w:highlight w:val="none"/>
              </w:rPr>
              <w:t>/</w:t>
            </w:r>
          </w:p>
        </w:tc>
        <w:tc>
          <w:tcPr>
            <w:tcW w:w="1418" w:type="dxa"/>
            <w:vAlign w:val="center"/>
          </w:tcPr>
          <w:p w14:paraId="4A262757">
            <w:pPr>
              <w:pStyle w:val="276"/>
              <w:jc w:val="center"/>
              <w:rPr>
                <w:rFonts w:ascii="宋体" w:hAnsi="宋体" w:cs="宋体"/>
                <w:color w:val="auto"/>
                <w:szCs w:val="21"/>
                <w:highlight w:val="none"/>
              </w:rPr>
            </w:pPr>
            <w:r>
              <w:rPr>
                <w:rFonts w:hint="eastAsia" w:ascii="宋体" w:hAnsi="宋体" w:cs="宋体"/>
                <w:color w:val="auto"/>
                <w:szCs w:val="21"/>
                <w:highlight w:val="none"/>
              </w:rPr>
              <w:t>人数×月数</w:t>
            </w:r>
          </w:p>
        </w:tc>
        <w:tc>
          <w:tcPr>
            <w:tcW w:w="1417" w:type="dxa"/>
            <w:vAlign w:val="center"/>
          </w:tcPr>
          <w:p w14:paraId="39004784">
            <w:pPr>
              <w:pStyle w:val="276"/>
              <w:jc w:val="center"/>
              <w:rPr>
                <w:rFonts w:ascii="宋体" w:hAnsi="宋体" w:cs="宋体"/>
                <w:color w:val="auto"/>
                <w:szCs w:val="21"/>
                <w:highlight w:val="none"/>
              </w:rPr>
            </w:pPr>
            <w:r>
              <w:rPr>
                <w:rFonts w:ascii="宋体" w:hAnsi="宋体" w:cs="宋体"/>
                <w:color w:val="auto"/>
                <w:szCs w:val="21"/>
                <w:highlight w:val="none"/>
              </w:rPr>
              <w:t>/</w:t>
            </w:r>
          </w:p>
        </w:tc>
        <w:tc>
          <w:tcPr>
            <w:tcW w:w="982" w:type="dxa"/>
            <w:vAlign w:val="center"/>
          </w:tcPr>
          <w:p w14:paraId="0ACBE15A">
            <w:pPr>
              <w:pStyle w:val="276"/>
              <w:jc w:val="center"/>
              <w:rPr>
                <w:rFonts w:ascii="宋体" w:hAnsi="宋体" w:cs="宋体"/>
                <w:color w:val="auto"/>
                <w:szCs w:val="21"/>
                <w:highlight w:val="none"/>
              </w:rPr>
            </w:pPr>
          </w:p>
        </w:tc>
      </w:tr>
      <w:tr w14:paraId="4DCE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515" w:type="dxa"/>
            <w:vAlign w:val="center"/>
          </w:tcPr>
          <w:p w14:paraId="47E4B25D">
            <w:pPr>
              <w:pStyle w:val="276"/>
              <w:jc w:val="center"/>
              <w:rPr>
                <w:rFonts w:ascii="宋体" w:hAnsi="宋体" w:cs="宋体"/>
                <w:color w:val="auto"/>
                <w:szCs w:val="21"/>
                <w:highlight w:val="none"/>
              </w:rPr>
            </w:pPr>
            <w:r>
              <w:rPr>
                <w:rFonts w:ascii="宋体" w:hAnsi="宋体" w:cs="宋体"/>
                <w:color w:val="auto"/>
                <w:szCs w:val="21"/>
                <w:highlight w:val="none"/>
              </w:rPr>
              <w:t>4</w:t>
            </w:r>
          </w:p>
        </w:tc>
        <w:tc>
          <w:tcPr>
            <w:tcW w:w="866" w:type="dxa"/>
            <w:vMerge w:val="continue"/>
            <w:vAlign w:val="center"/>
          </w:tcPr>
          <w:p w14:paraId="17BF0CC9">
            <w:pPr>
              <w:pStyle w:val="276"/>
              <w:jc w:val="center"/>
              <w:rPr>
                <w:rFonts w:ascii="宋体" w:hAnsi="宋体" w:cs="宋体"/>
                <w:color w:val="auto"/>
                <w:szCs w:val="21"/>
                <w:highlight w:val="none"/>
              </w:rPr>
            </w:pPr>
          </w:p>
        </w:tc>
        <w:tc>
          <w:tcPr>
            <w:tcW w:w="1733" w:type="dxa"/>
            <w:vAlign w:val="center"/>
          </w:tcPr>
          <w:p w14:paraId="0907017E">
            <w:pPr>
              <w:pStyle w:val="276"/>
              <w:jc w:val="center"/>
              <w:rPr>
                <w:rFonts w:ascii="宋体" w:hAnsi="宋体" w:cs="宋体"/>
                <w:color w:val="auto"/>
                <w:szCs w:val="21"/>
                <w:highlight w:val="none"/>
              </w:rPr>
            </w:pPr>
            <w:r>
              <w:rPr>
                <w:rFonts w:hint="eastAsia" w:ascii="宋体" w:hAnsi="宋体" w:cs="宋体"/>
                <w:color w:val="auto"/>
                <w:szCs w:val="21"/>
                <w:highlight w:val="none"/>
              </w:rPr>
              <w:t>试验员</w:t>
            </w:r>
            <w:r>
              <w:rPr>
                <w:rFonts w:ascii="宋体" w:hAnsi="宋体" w:cs="宋体"/>
                <w:color w:val="auto"/>
                <w:szCs w:val="21"/>
                <w:highlight w:val="none"/>
              </w:rPr>
              <w:t>/助理试验检测工程师</w:t>
            </w:r>
          </w:p>
        </w:tc>
        <w:tc>
          <w:tcPr>
            <w:tcW w:w="709" w:type="dxa"/>
            <w:vAlign w:val="center"/>
          </w:tcPr>
          <w:p w14:paraId="717D6B25">
            <w:pPr>
              <w:pStyle w:val="276"/>
              <w:jc w:val="center"/>
              <w:rPr>
                <w:rFonts w:ascii="宋体" w:hAnsi="宋体" w:cs="宋体"/>
                <w:color w:val="auto"/>
                <w:szCs w:val="21"/>
                <w:highlight w:val="none"/>
              </w:rPr>
            </w:pPr>
          </w:p>
        </w:tc>
        <w:tc>
          <w:tcPr>
            <w:tcW w:w="1275" w:type="dxa"/>
            <w:vAlign w:val="center"/>
          </w:tcPr>
          <w:p w14:paraId="2FED1121">
            <w:pPr>
              <w:pStyle w:val="276"/>
              <w:jc w:val="center"/>
              <w:rPr>
                <w:rFonts w:ascii="宋体" w:hAnsi="宋体" w:cs="宋体"/>
                <w:color w:val="auto"/>
                <w:szCs w:val="21"/>
                <w:highlight w:val="none"/>
              </w:rPr>
            </w:pPr>
            <w:r>
              <w:rPr>
                <w:rFonts w:ascii="宋体" w:hAnsi="宋体" w:cs="宋体"/>
                <w:color w:val="auto"/>
                <w:szCs w:val="21"/>
                <w:highlight w:val="none"/>
              </w:rPr>
              <w:t>/</w:t>
            </w:r>
          </w:p>
        </w:tc>
        <w:tc>
          <w:tcPr>
            <w:tcW w:w="1418" w:type="dxa"/>
            <w:vAlign w:val="center"/>
          </w:tcPr>
          <w:p w14:paraId="4E9E1582">
            <w:pPr>
              <w:pStyle w:val="276"/>
              <w:jc w:val="center"/>
              <w:rPr>
                <w:rFonts w:ascii="宋体" w:hAnsi="宋体" w:cs="宋体"/>
                <w:color w:val="auto"/>
                <w:szCs w:val="21"/>
                <w:highlight w:val="none"/>
              </w:rPr>
            </w:pPr>
            <w:r>
              <w:rPr>
                <w:rFonts w:hint="eastAsia" w:ascii="宋体" w:hAnsi="宋体" w:cs="宋体"/>
                <w:color w:val="auto"/>
                <w:szCs w:val="21"/>
                <w:highlight w:val="none"/>
              </w:rPr>
              <w:t>人数×月数</w:t>
            </w:r>
          </w:p>
        </w:tc>
        <w:tc>
          <w:tcPr>
            <w:tcW w:w="1417" w:type="dxa"/>
            <w:vAlign w:val="center"/>
          </w:tcPr>
          <w:p w14:paraId="2E005754">
            <w:pPr>
              <w:pStyle w:val="276"/>
              <w:jc w:val="center"/>
              <w:rPr>
                <w:rFonts w:ascii="宋体" w:hAnsi="宋体" w:cs="宋体"/>
                <w:color w:val="auto"/>
                <w:szCs w:val="21"/>
                <w:highlight w:val="none"/>
              </w:rPr>
            </w:pPr>
            <w:r>
              <w:rPr>
                <w:rFonts w:ascii="宋体" w:hAnsi="宋体" w:cs="宋体"/>
                <w:color w:val="auto"/>
                <w:szCs w:val="21"/>
                <w:highlight w:val="none"/>
              </w:rPr>
              <w:t>/</w:t>
            </w:r>
          </w:p>
        </w:tc>
        <w:tc>
          <w:tcPr>
            <w:tcW w:w="982" w:type="dxa"/>
            <w:vAlign w:val="center"/>
          </w:tcPr>
          <w:p w14:paraId="6CE81E75">
            <w:pPr>
              <w:pStyle w:val="276"/>
              <w:jc w:val="center"/>
              <w:rPr>
                <w:rFonts w:ascii="宋体" w:hAnsi="宋体" w:cs="宋体"/>
                <w:color w:val="auto"/>
                <w:szCs w:val="21"/>
                <w:highlight w:val="none"/>
              </w:rPr>
            </w:pPr>
          </w:p>
        </w:tc>
      </w:tr>
      <w:tr w14:paraId="470B3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515" w:type="dxa"/>
            <w:vAlign w:val="center"/>
          </w:tcPr>
          <w:p w14:paraId="4827F60D">
            <w:pPr>
              <w:pStyle w:val="276"/>
              <w:jc w:val="center"/>
              <w:rPr>
                <w:rFonts w:ascii="宋体" w:hAnsi="宋体" w:cs="宋体"/>
                <w:color w:val="auto"/>
                <w:szCs w:val="21"/>
                <w:highlight w:val="none"/>
              </w:rPr>
            </w:pPr>
            <w:r>
              <w:rPr>
                <w:rFonts w:ascii="宋体" w:hAnsi="宋体" w:cs="宋体"/>
                <w:color w:val="auto"/>
                <w:szCs w:val="21"/>
                <w:highlight w:val="none"/>
              </w:rPr>
              <w:t>5</w:t>
            </w:r>
          </w:p>
        </w:tc>
        <w:tc>
          <w:tcPr>
            <w:tcW w:w="866" w:type="dxa"/>
            <w:vMerge w:val="continue"/>
            <w:vAlign w:val="center"/>
          </w:tcPr>
          <w:p w14:paraId="10BB388B">
            <w:pPr>
              <w:pStyle w:val="276"/>
              <w:jc w:val="center"/>
              <w:rPr>
                <w:rFonts w:ascii="宋体" w:hAnsi="宋体" w:cs="宋体"/>
                <w:color w:val="auto"/>
                <w:szCs w:val="21"/>
                <w:highlight w:val="none"/>
              </w:rPr>
            </w:pPr>
          </w:p>
        </w:tc>
        <w:tc>
          <w:tcPr>
            <w:tcW w:w="1733" w:type="dxa"/>
            <w:vAlign w:val="center"/>
          </w:tcPr>
          <w:p w14:paraId="50AB4091">
            <w:pPr>
              <w:pStyle w:val="276"/>
              <w:jc w:val="center"/>
              <w:rPr>
                <w:rFonts w:ascii="宋体" w:hAnsi="宋体" w:cs="宋体"/>
                <w:color w:val="auto"/>
                <w:szCs w:val="21"/>
                <w:highlight w:val="none"/>
              </w:rPr>
            </w:pPr>
            <w:r>
              <w:rPr>
                <w:rFonts w:hint="eastAsia" w:ascii="宋体" w:hAnsi="宋体" w:cs="宋体"/>
                <w:color w:val="auto"/>
                <w:sz w:val="18"/>
                <w:szCs w:val="18"/>
                <w:highlight w:val="none"/>
              </w:rPr>
              <w:t>…</w:t>
            </w:r>
          </w:p>
        </w:tc>
        <w:tc>
          <w:tcPr>
            <w:tcW w:w="709" w:type="dxa"/>
            <w:vAlign w:val="center"/>
          </w:tcPr>
          <w:p w14:paraId="18B5CA67">
            <w:pPr>
              <w:pStyle w:val="276"/>
              <w:jc w:val="center"/>
              <w:rPr>
                <w:rFonts w:ascii="宋体" w:hAnsi="宋体" w:cs="宋体"/>
                <w:color w:val="auto"/>
                <w:szCs w:val="21"/>
                <w:highlight w:val="none"/>
              </w:rPr>
            </w:pPr>
          </w:p>
        </w:tc>
        <w:tc>
          <w:tcPr>
            <w:tcW w:w="1275" w:type="dxa"/>
            <w:vAlign w:val="center"/>
          </w:tcPr>
          <w:p w14:paraId="37C0A58C">
            <w:pPr>
              <w:pStyle w:val="276"/>
              <w:jc w:val="center"/>
              <w:rPr>
                <w:rFonts w:ascii="宋体" w:hAnsi="宋体" w:cs="宋体"/>
                <w:color w:val="auto"/>
                <w:szCs w:val="21"/>
                <w:highlight w:val="none"/>
              </w:rPr>
            </w:pPr>
            <w:r>
              <w:rPr>
                <w:rFonts w:hint="eastAsia" w:ascii="宋体" w:hAnsi="宋体" w:cs="宋体"/>
                <w:color w:val="auto"/>
                <w:sz w:val="18"/>
                <w:szCs w:val="18"/>
                <w:highlight w:val="none"/>
              </w:rPr>
              <w:t>…</w:t>
            </w:r>
          </w:p>
        </w:tc>
        <w:tc>
          <w:tcPr>
            <w:tcW w:w="1418" w:type="dxa"/>
            <w:vAlign w:val="center"/>
          </w:tcPr>
          <w:p w14:paraId="0135578C">
            <w:pPr>
              <w:pStyle w:val="276"/>
              <w:jc w:val="center"/>
              <w:rPr>
                <w:rFonts w:ascii="宋体" w:hAnsi="宋体" w:cs="宋体"/>
                <w:color w:val="auto"/>
                <w:szCs w:val="21"/>
                <w:highlight w:val="none"/>
              </w:rPr>
            </w:pPr>
            <w:r>
              <w:rPr>
                <w:rFonts w:hint="eastAsia" w:ascii="宋体" w:hAnsi="宋体" w:cs="宋体"/>
                <w:color w:val="auto"/>
                <w:sz w:val="18"/>
                <w:szCs w:val="18"/>
                <w:highlight w:val="none"/>
              </w:rPr>
              <w:t>…</w:t>
            </w:r>
          </w:p>
        </w:tc>
        <w:tc>
          <w:tcPr>
            <w:tcW w:w="1417" w:type="dxa"/>
            <w:vAlign w:val="center"/>
          </w:tcPr>
          <w:p w14:paraId="4C4BEEA4">
            <w:pPr>
              <w:pStyle w:val="276"/>
              <w:jc w:val="center"/>
              <w:rPr>
                <w:rFonts w:ascii="宋体" w:hAnsi="宋体" w:cs="宋体"/>
                <w:color w:val="auto"/>
                <w:szCs w:val="21"/>
                <w:highlight w:val="none"/>
              </w:rPr>
            </w:pPr>
            <w:r>
              <w:rPr>
                <w:rFonts w:hint="eastAsia" w:ascii="宋体" w:hAnsi="宋体" w:cs="宋体"/>
                <w:color w:val="auto"/>
                <w:sz w:val="18"/>
                <w:szCs w:val="18"/>
                <w:highlight w:val="none"/>
              </w:rPr>
              <w:t>…</w:t>
            </w:r>
          </w:p>
        </w:tc>
        <w:tc>
          <w:tcPr>
            <w:tcW w:w="982" w:type="dxa"/>
            <w:vAlign w:val="center"/>
          </w:tcPr>
          <w:p w14:paraId="53AF0348">
            <w:pPr>
              <w:pStyle w:val="276"/>
              <w:jc w:val="center"/>
              <w:rPr>
                <w:rFonts w:ascii="宋体" w:hAnsi="宋体" w:cs="宋体"/>
                <w:color w:val="auto"/>
                <w:szCs w:val="21"/>
                <w:highlight w:val="none"/>
              </w:rPr>
            </w:pPr>
          </w:p>
        </w:tc>
      </w:tr>
      <w:tr w14:paraId="1778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trPr>
        <w:tc>
          <w:tcPr>
            <w:tcW w:w="3114" w:type="dxa"/>
            <w:gridSpan w:val="3"/>
            <w:vAlign w:val="center"/>
          </w:tcPr>
          <w:p w14:paraId="47258974">
            <w:pPr>
              <w:pStyle w:val="276"/>
              <w:jc w:val="center"/>
              <w:rPr>
                <w:rFonts w:ascii="宋体" w:hAnsi="宋体" w:cs="宋体"/>
                <w:color w:val="auto"/>
                <w:szCs w:val="21"/>
                <w:highlight w:val="none"/>
              </w:rPr>
            </w:pPr>
            <w:r>
              <w:rPr>
                <w:rFonts w:hint="eastAsia" w:ascii="宋体" w:hAnsi="宋体" w:cs="宋体"/>
                <w:color w:val="auto"/>
                <w:szCs w:val="21"/>
                <w:highlight w:val="none"/>
              </w:rPr>
              <w:t>每月应在工地的人员合计</w:t>
            </w:r>
          </w:p>
          <w:p w14:paraId="6474F087">
            <w:pPr>
              <w:pStyle w:val="276"/>
              <w:jc w:val="center"/>
              <w:rPr>
                <w:rFonts w:ascii="宋体" w:hAnsi="宋体" w:cs="宋体"/>
                <w:color w:val="auto"/>
                <w:szCs w:val="21"/>
                <w:highlight w:val="none"/>
              </w:rPr>
            </w:pPr>
            <w:r>
              <w:rPr>
                <w:rFonts w:hint="eastAsia" w:ascii="宋体" w:hAnsi="宋体" w:cs="宋体"/>
                <w:color w:val="auto"/>
                <w:szCs w:val="21"/>
                <w:highlight w:val="none"/>
              </w:rPr>
              <w:t>（人数）</w:t>
            </w:r>
          </w:p>
        </w:tc>
        <w:tc>
          <w:tcPr>
            <w:tcW w:w="709" w:type="dxa"/>
            <w:vAlign w:val="center"/>
          </w:tcPr>
          <w:p w14:paraId="5C958395">
            <w:pPr>
              <w:pStyle w:val="276"/>
              <w:jc w:val="center"/>
              <w:rPr>
                <w:rFonts w:ascii="宋体" w:hAnsi="宋体" w:cs="宋体"/>
                <w:color w:val="auto"/>
                <w:szCs w:val="21"/>
                <w:highlight w:val="none"/>
              </w:rPr>
            </w:pPr>
          </w:p>
        </w:tc>
        <w:tc>
          <w:tcPr>
            <w:tcW w:w="1275" w:type="dxa"/>
            <w:vAlign w:val="center"/>
          </w:tcPr>
          <w:p w14:paraId="272D3ECB">
            <w:pPr>
              <w:pStyle w:val="276"/>
              <w:jc w:val="center"/>
              <w:rPr>
                <w:rFonts w:ascii="宋体" w:hAnsi="宋体" w:cs="宋体"/>
                <w:color w:val="auto"/>
                <w:szCs w:val="21"/>
                <w:highlight w:val="none"/>
              </w:rPr>
            </w:pPr>
          </w:p>
        </w:tc>
        <w:tc>
          <w:tcPr>
            <w:tcW w:w="1418" w:type="dxa"/>
            <w:vAlign w:val="center"/>
          </w:tcPr>
          <w:p w14:paraId="69AC131B">
            <w:pPr>
              <w:pStyle w:val="276"/>
              <w:jc w:val="center"/>
              <w:rPr>
                <w:rFonts w:ascii="宋体" w:hAnsi="宋体" w:cs="宋体"/>
                <w:color w:val="auto"/>
                <w:szCs w:val="21"/>
                <w:highlight w:val="none"/>
              </w:rPr>
            </w:pPr>
          </w:p>
        </w:tc>
        <w:tc>
          <w:tcPr>
            <w:tcW w:w="1417" w:type="dxa"/>
            <w:vAlign w:val="center"/>
          </w:tcPr>
          <w:p w14:paraId="1C77767A">
            <w:pPr>
              <w:pStyle w:val="276"/>
              <w:jc w:val="center"/>
              <w:rPr>
                <w:rFonts w:ascii="宋体" w:hAnsi="宋体" w:cs="宋体"/>
                <w:color w:val="auto"/>
                <w:szCs w:val="21"/>
                <w:highlight w:val="none"/>
              </w:rPr>
            </w:pPr>
          </w:p>
        </w:tc>
        <w:tc>
          <w:tcPr>
            <w:tcW w:w="982" w:type="dxa"/>
            <w:vAlign w:val="center"/>
          </w:tcPr>
          <w:p w14:paraId="620DFE98">
            <w:pPr>
              <w:pStyle w:val="276"/>
              <w:jc w:val="center"/>
              <w:rPr>
                <w:rFonts w:ascii="宋体" w:hAnsi="宋体" w:cs="宋体"/>
                <w:color w:val="auto"/>
                <w:szCs w:val="21"/>
                <w:highlight w:val="none"/>
              </w:rPr>
            </w:pPr>
          </w:p>
        </w:tc>
      </w:tr>
    </w:tbl>
    <w:p w14:paraId="06C94E85">
      <w:pPr>
        <w:pStyle w:val="276"/>
        <w:rPr>
          <w:rFonts w:ascii="宋体" w:hAnsi="宋体" w:cs="宋体"/>
          <w:color w:val="auto"/>
          <w:highlight w:val="none"/>
        </w:rPr>
      </w:pPr>
    </w:p>
    <w:p w14:paraId="121E6602">
      <w:pPr>
        <w:pStyle w:val="276"/>
        <w:rPr>
          <w:rFonts w:ascii="宋体" w:hAnsi="宋体" w:cs="宋体"/>
          <w:color w:val="auto"/>
          <w:highlight w:val="none"/>
        </w:rPr>
      </w:pPr>
      <w:r>
        <w:rPr>
          <w:rFonts w:hint="eastAsia" w:ascii="宋体" w:hAnsi="宋体" w:cs="宋体"/>
          <w:color w:val="auto"/>
          <w:highlight w:val="none"/>
        </w:rPr>
        <w:t>注：按照拟投入本工程现场监理试验室人员的计划在岗安排据实填报。</w:t>
      </w:r>
    </w:p>
    <w:p w14:paraId="412023FE">
      <w:pPr>
        <w:rPr>
          <w:color w:val="auto"/>
          <w:highlight w:val="none"/>
        </w:rPr>
      </w:pPr>
    </w:p>
    <w:sectPr>
      <w:footnotePr>
        <w:numFmt w:val="decimalEnclosedCircleChinese"/>
        <w:numRestart w:val="eachPage"/>
      </w:footnotePr>
      <w:pgSz w:w="11907" w:h="16839"/>
      <w:pgMar w:top="1418" w:right="1418" w:bottom="1418" w:left="1701"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兰亭超细黑简体">
    <w:altName w:val="微软雅黑"/>
    <w:panose1 w:val="00000000000000000000"/>
    <w:charset w:val="86"/>
    <w:family w:val="auto"/>
    <w:pitch w:val="default"/>
    <w:sig w:usb0="00000000" w:usb1="00000000" w:usb2="00000010" w:usb3="00000000" w:csb0="00040000" w:csb1="00000000"/>
  </w:font>
  <w:font w:name="Calibri-Bold">
    <w:altName w:val="Times New Roman"/>
    <w:panose1 w:val="00000000000000000000"/>
    <w:charset w:val="00"/>
    <w:family w:val="roman"/>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HiddenHorzOCl">
    <w:altName w:val="宋体"/>
    <w:panose1 w:val="00000000000000000000"/>
    <w:charset w:val="86"/>
    <w:family w:val="swiss"/>
    <w:pitch w:val="default"/>
    <w:sig w:usb0="00000000" w:usb1="00000000" w:usb2="00000010" w:usb3="00000000" w:csb0="00040000" w:csb1="00000000"/>
  </w:font>
  <w:font w:name="Roman 10cpi">
    <w:altName w:val="Courier New"/>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0555459"/>
      <w:docPartObj>
        <w:docPartGallery w:val="autotext"/>
      </w:docPartObj>
    </w:sdtPr>
    <w:sdtContent>
      <w:p w14:paraId="1497A855">
        <w:pPr>
          <w:pStyle w:val="32"/>
          <w:jc w:val="center"/>
        </w:pPr>
      </w:p>
    </w:sdtContent>
  </w:sdt>
  <w:p w14:paraId="3196CB9A">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997627"/>
      <w:docPartObj>
        <w:docPartGallery w:val="autotext"/>
      </w:docPartObj>
    </w:sdtPr>
    <w:sdtContent>
      <w:p w14:paraId="4D599A7F">
        <w:pPr>
          <w:pStyle w:val="32"/>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sdtContent>
  </w:sdt>
  <w:p w14:paraId="647B272D">
    <w:pPr>
      <w:pStyle w:val="3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24">
    <w:p>
      <w:r>
        <w:separator/>
      </w:r>
    </w:p>
  </w:footnote>
  <w:footnote w:type="continuationSeparator" w:id="325">
    <w:p>
      <w:r>
        <w:continuationSeparator/>
      </w:r>
    </w:p>
  </w:footnote>
  <w:footnote w:id="0">
    <w:p w14:paraId="62A5565B">
      <w:pPr>
        <w:pStyle w:val="37"/>
        <w:ind w:left="360" w:hanging="360" w:hangingChars="200"/>
        <w:jc w:val="both"/>
        <w:rPr>
          <w:rFonts w:hint="eastAsia" w:ascii="宋体" w:hAnsi="宋体" w:eastAsia="宋体" w:cs="宋体"/>
          <w:color w:val="auto"/>
          <w:highlight w:val="none"/>
          <w:lang w:val="en-US" w:eastAsia="zh-CN"/>
        </w:rPr>
      </w:pPr>
      <w:r>
        <w:rPr>
          <w:rStyle w:val="58"/>
          <w:rFonts w:hint="eastAsia" w:ascii="宋体" w:hAnsi="宋体" w:cs="宋体"/>
          <w:color w:val="auto"/>
          <w:highlight w:val="none"/>
          <w:vertAlign w:val="baseline"/>
        </w:rPr>
        <w:footnoteRef/>
      </w:r>
      <w:r>
        <w:rPr>
          <w:rFonts w:hint="eastAsia" w:ascii="宋体" w:hAnsi="宋体" w:cs="宋体"/>
          <w:color w:val="auto"/>
          <w:highlight w:val="none"/>
          <w:vertAlign w:val="baseline"/>
          <w:lang w:val="en-US" w:eastAsia="zh-CN"/>
        </w:rPr>
        <w:t xml:space="preserve">  </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招标项目名称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由“</w:t>
      </w:r>
      <w:r>
        <w:rPr>
          <w:rFonts w:hint="eastAsia" w:ascii="宋体" w:hAnsi="宋体" w:eastAsia="宋体" w:cs="宋体"/>
          <w:color w:val="auto"/>
          <w:szCs w:val="18"/>
          <w:highlight w:val="none"/>
          <w:u w:val="single"/>
        </w:rPr>
        <w:t xml:space="preserve">          </w:t>
      </w:r>
      <w:r>
        <w:rPr>
          <w:rFonts w:hint="eastAsia" w:ascii="宋体" w:hAnsi="宋体" w:eastAsia="宋体" w:cs="宋体"/>
          <w:color w:val="auto"/>
          <w:szCs w:val="18"/>
          <w:highlight w:val="none"/>
        </w:rPr>
        <w:t>（项目名称）</w:t>
      </w:r>
      <w:r>
        <w:rPr>
          <w:rFonts w:hint="eastAsia" w:ascii="宋体" w:hAnsi="宋体" w:eastAsia="宋体" w:cs="宋体"/>
          <w:color w:val="auto"/>
          <w:szCs w:val="18"/>
          <w:highlight w:val="none"/>
          <w:lang w:eastAsia="zh-CN"/>
        </w:rPr>
        <w:t>”、“</w:t>
      </w:r>
      <w:r>
        <w:rPr>
          <w:rFonts w:hint="eastAsia" w:ascii="宋体" w:hAnsi="宋体" w:eastAsia="宋体" w:cs="宋体"/>
          <w:color w:val="auto"/>
          <w:szCs w:val="18"/>
          <w:highlight w:val="none"/>
          <w:u w:val="single"/>
        </w:rPr>
        <w:t xml:space="preserve">     </w:t>
      </w:r>
      <w:r>
        <w:rPr>
          <w:rFonts w:hint="eastAsia" w:ascii="宋体" w:hAnsi="宋体" w:eastAsia="宋体" w:cs="宋体"/>
          <w:color w:val="auto"/>
          <w:szCs w:val="18"/>
          <w:highlight w:val="none"/>
        </w:rPr>
        <w:t>（招标类别）</w:t>
      </w:r>
      <w:r>
        <w:rPr>
          <w:rFonts w:hint="eastAsia" w:ascii="宋体" w:hAnsi="宋体" w:eastAsia="宋体" w:cs="宋体"/>
          <w:color w:val="auto"/>
          <w:szCs w:val="18"/>
          <w:highlight w:val="none"/>
          <w:lang w:eastAsia="zh-CN"/>
        </w:rPr>
        <w:t>”、“</w:t>
      </w:r>
      <w:r>
        <w:rPr>
          <w:rFonts w:hint="eastAsia" w:ascii="宋体" w:hAnsi="宋体" w:eastAsia="宋体" w:cs="宋体"/>
          <w:color w:val="auto"/>
          <w:szCs w:val="18"/>
          <w:highlight w:val="none"/>
          <w:u w:val="single"/>
        </w:rPr>
        <w:t xml:space="preserve">    </w:t>
      </w:r>
      <w:r>
        <w:rPr>
          <w:rFonts w:hint="eastAsia" w:ascii="宋体" w:hAnsi="宋体" w:eastAsia="宋体" w:cs="宋体"/>
          <w:color w:val="auto"/>
          <w:szCs w:val="18"/>
          <w:highlight w:val="none"/>
        </w:rPr>
        <w:t>标段</w:t>
      </w:r>
      <w:r>
        <w:rPr>
          <w:rFonts w:hint="eastAsia" w:ascii="宋体" w:hAnsi="宋体" w:eastAsia="宋体" w:cs="宋体"/>
          <w:color w:val="auto"/>
          <w:highlight w:val="none"/>
          <w:lang w:val="en-US" w:eastAsia="zh-CN"/>
        </w:rPr>
        <w:t>”</w:t>
      </w:r>
      <w:r>
        <w:rPr>
          <w:rFonts w:hint="eastAsia" w:ascii="宋体" w:hAnsi="宋体" w:cs="宋体"/>
          <w:color w:val="auto"/>
          <w:highlight w:val="none"/>
          <w:lang w:val="en-US" w:eastAsia="zh-CN"/>
        </w:rPr>
        <w:t>三项</w:t>
      </w:r>
      <w:r>
        <w:rPr>
          <w:rFonts w:hint="eastAsia" w:ascii="宋体" w:hAnsi="宋体" w:eastAsia="宋体" w:cs="宋体"/>
          <w:color w:val="auto"/>
          <w:highlight w:val="none"/>
          <w:lang w:val="en-US" w:eastAsia="zh-CN"/>
        </w:rPr>
        <w:t>组成，其中“项目名称”</w:t>
      </w:r>
      <w:r>
        <w:rPr>
          <w:rFonts w:hint="eastAsia" w:ascii="宋体" w:hAnsi="宋体" w:eastAsia="宋体" w:cs="宋体"/>
          <w:color w:val="auto"/>
          <w:highlight w:val="none"/>
        </w:rPr>
        <w:t>由招标人根据项目招标的要求在全国公共资源交易平台（四川省）“四川省公路水运工程电子招投标系统”</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当项目在市（州）交易中心分平台交易时，指其“电子招标投标系统”名称</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完成“项目注册”</w:t>
      </w:r>
      <w:r>
        <w:rPr>
          <w:rFonts w:hint="eastAsia" w:ascii="宋体" w:hAnsi="宋体" w:eastAsia="宋体" w:cs="宋体"/>
          <w:color w:val="auto"/>
          <w:highlight w:val="none"/>
          <w:lang w:val="en-US" w:eastAsia="zh-CN"/>
        </w:rPr>
        <w:t>时，按照</w:t>
      </w:r>
      <w:r>
        <w:rPr>
          <w:rFonts w:hint="eastAsia" w:ascii="宋体" w:hAnsi="宋体" w:eastAsia="宋体" w:cs="宋体"/>
          <w:color w:val="auto"/>
          <w:highlight w:val="none"/>
        </w:rPr>
        <w:t>项目审批、核准或备案</w:t>
      </w:r>
      <w:r>
        <w:rPr>
          <w:rFonts w:hint="eastAsia" w:ascii="宋体" w:hAnsi="宋体" w:eastAsia="宋体" w:cs="宋体"/>
          <w:color w:val="auto"/>
          <w:highlight w:val="none"/>
          <w:lang w:val="en-US" w:eastAsia="zh-CN"/>
        </w:rPr>
        <w:t>批复的项目名称填写，在</w:t>
      </w:r>
      <w:r>
        <w:rPr>
          <w:rFonts w:hint="eastAsia" w:ascii="宋体" w:hAnsi="宋体" w:eastAsia="宋体" w:cs="宋体"/>
          <w:color w:val="auto"/>
          <w:highlight w:val="none"/>
        </w:rPr>
        <w:t>完成“项目注册”后，进入“招标项目”→“新建招标项目”，在“招标类别”中选择</w:t>
      </w:r>
      <w:r>
        <w:rPr>
          <w:rFonts w:hint="eastAsia" w:ascii="宋体" w:hAnsi="宋体" w:eastAsia="宋体" w:cs="宋体"/>
          <w:color w:val="auto"/>
          <w:highlight w:val="none"/>
          <w:lang w:val="en-US" w:eastAsia="zh-CN"/>
        </w:rPr>
        <w:t>需要实施的相应类别</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标段</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在完成招标类别选择后，对本次招标的所有标段依次逐个新增标段，按照系统要求填写各标段相关内容</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最终完成招标文件编制前的工作，系统自动生成“招标项目名称”。</w:t>
      </w:r>
      <w:r>
        <w:rPr>
          <w:rFonts w:hint="eastAsia" w:ascii="宋体" w:hAnsi="宋体" w:cs="宋体"/>
        </w:rPr>
        <w:t>“招标项目名称”中的“标段”有多个时，标题中的标段可编辑归纳为诸如“</w:t>
      </w:r>
      <w:r>
        <w:rPr>
          <w:rFonts w:hint="eastAsia" w:ascii="宋体" w:hAnsi="宋体" w:cs="宋体"/>
          <w:lang w:val="en-US" w:eastAsia="zh-CN"/>
        </w:rPr>
        <w:t>SY</w:t>
      </w:r>
      <w:r>
        <w:rPr>
          <w:rFonts w:hint="eastAsia" w:ascii="宋体" w:hAnsi="宋体" w:cs="宋体"/>
        </w:rPr>
        <w:t>1～</w:t>
      </w:r>
      <w:r>
        <w:rPr>
          <w:rFonts w:hint="eastAsia" w:ascii="宋体" w:hAnsi="宋体" w:cs="宋体"/>
          <w:lang w:val="en-US" w:eastAsia="zh-CN"/>
        </w:rPr>
        <w:t>SY</w:t>
      </w:r>
      <w:r>
        <w:rPr>
          <w:rFonts w:hint="eastAsia" w:ascii="宋体" w:hAnsi="宋体" w:cs="宋体"/>
        </w:rPr>
        <w:t>5标段”。</w:t>
      </w:r>
      <w:r>
        <w:rPr>
          <w:rFonts w:hint="eastAsia" w:ascii="宋体" w:hAnsi="宋体" w:eastAsia="宋体" w:cs="宋体"/>
          <w:color w:val="auto"/>
          <w:highlight w:val="none"/>
          <w:lang w:val="en-US" w:eastAsia="zh-CN"/>
        </w:rPr>
        <w:t>当项目在市（州）交易中心分平台交易时，其交易系统按照本流程要求设置。</w:t>
      </w:r>
    </w:p>
  </w:footnote>
  <w:footnote w:id="1">
    <w:p w14:paraId="7E826E4B">
      <w:pPr>
        <w:pStyle w:val="37"/>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出资比例若没有,用“/”表示。</w:t>
      </w:r>
    </w:p>
  </w:footnote>
  <w:footnote w:id="2">
    <w:p w14:paraId="223B2183">
      <w:pPr>
        <w:pStyle w:val="37"/>
        <w:rPr>
          <w:rFonts w:hint="eastAsia" w:ascii="宋体" w:hAnsi="宋体" w:cs="宋体"/>
          <w:color w:val="auto"/>
          <w:highlight w:val="none"/>
        </w:rPr>
      </w:pPr>
      <w:r>
        <w:rPr>
          <w:rStyle w:val="50"/>
          <w:rFonts w:hint="eastAsia" w:ascii="宋体" w:hAnsi="宋体" w:eastAsia="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招标“标段”有多个时，标段描述可编辑归纳为诸如“</w:t>
      </w:r>
      <w:r>
        <w:rPr>
          <w:rFonts w:hint="eastAsia" w:ascii="宋体" w:hAnsi="宋体" w:eastAsia="宋体" w:cs="宋体"/>
          <w:color w:val="auto"/>
          <w:highlight w:val="none"/>
          <w:lang w:val="en-US" w:eastAsia="zh-CN"/>
        </w:rPr>
        <w:t>SY</w:t>
      </w:r>
      <w:r>
        <w:rPr>
          <w:rFonts w:hint="eastAsia" w:ascii="宋体" w:hAnsi="宋体" w:cs="宋体"/>
          <w:color w:val="auto"/>
          <w:highlight w:val="none"/>
        </w:rPr>
        <w:t>1～</w:t>
      </w:r>
      <w:r>
        <w:rPr>
          <w:rFonts w:hint="eastAsia" w:ascii="宋体" w:hAnsi="宋体" w:eastAsia="宋体" w:cs="宋体"/>
          <w:color w:val="auto"/>
          <w:highlight w:val="none"/>
          <w:lang w:val="en-US" w:eastAsia="zh-CN"/>
        </w:rPr>
        <w:t>SY</w:t>
      </w:r>
      <w:r>
        <w:rPr>
          <w:rFonts w:hint="eastAsia" w:ascii="宋体" w:hAnsi="宋体" w:cs="宋体"/>
          <w:color w:val="auto"/>
          <w:highlight w:val="none"/>
        </w:rPr>
        <w:t>5”。</w:t>
      </w:r>
    </w:p>
  </w:footnote>
  <w:footnote w:id="3">
    <w:p w14:paraId="456F1BDC">
      <w:pPr>
        <w:pStyle w:val="37"/>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招标范围可为</w:t>
      </w:r>
      <w:r>
        <w:rPr>
          <w:rFonts w:hint="eastAsia" w:ascii="宋体" w:hAnsi="宋体" w:cs="宋体"/>
          <w:color w:val="auto"/>
          <w:sz w:val="18"/>
          <w:szCs w:val="18"/>
          <w:highlight w:val="none"/>
          <w:lang w:val="en-US" w:eastAsia="zh-CN"/>
        </w:rPr>
        <w:t>选择项</w:t>
      </w:r>
      <w:r>
        <w:rPr>
          <w:rFonts w:hint="eastAsia" w:ascii="宋体" w:hAnsi="宋体" w:eastAsia="宋体" w:cs="宋体"/>
          <w:color w:val="auto"/>
          <w:sz w:val="18"/>
          <w:szCs w:val="18"/>
          <w:highlight w:val="none"/>
        </w:rPr>
        <w:t>中的一项或多项，未</w:t>
      </w:r>
      <w:r>
        <w:rPr>
          <w:rFonts w:hint="eastAsia" w:ascii="宋体" w:hAnsi="宋体" w:cs="宋体"/>
          <w:color w:val="auto"/>
          <w:sz w:val="18"/>
          <w:szCs w:val="18"/>
          <w:highlight w:val="none"/>
          <w:lang w:eastAsia="zh-CN"/>
        </w:rPr>
        <w:t>选择</w:t>
      </w:r>
      <w:r>
        <w:rPr>
          <w:rFonts w:hint="eastAsia" w:ascii="宋体" w:hAnsi="宋体" w:eastAsia="宋体" w:cs="宋体"/>
          <w:color w:val="auto"/>
          <w:sz w:val="18"/>
          <w:szCs w:val="18"/>
          <w:highlight w:val="none"/>
        </w:rPr>
        <w:t>的项，视为不含该项内容。</w:t>
      </w:r>
    </w:p>
  </w:footnote>
  <w:footnote w:id="4">
    <w:p w14:paraId="16548F9A">
      <w:pPr>
        <w:pStyle w:val="37"/>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招标人在附表一中应至少反映项目资格审查条件所设置要求对应的工程内容。</w:t>
      </w:r>
    </w:p>
  </w:footnote>
  <w:footnote w:id="5">
    <w:p w14:paraId="6E9DABD4">
      <w:pPr>
        <w:pStyle w:val="37"/>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多个标段监理试验室机构设置情形相同的，可归类表示。</w:t>
      </w:r>
    </w:p>
  </w:footnote>
  <w:footnote w:id="6">
    <w:p w14:paraId="66C9181F">
      <w:pPr>
        <w:pStyle w:val="37"/>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多个标段监理试验室服务期限相同的，可归类表示。</w:t>
      </w:r>
    </w:p>
  </w:footnote>
  <w:footnote w:id="7">
    <w:p w14:paraId="290F0C83">
      <w:pPr>
        <w:pStyle w:val="37"/>
        <w:rPr>
          <w:rFonts w:hint="eastAsia" w:ascii="宋体" w:hAnsi="宋体" w:cs="宋体"/>
          <w:highlight w:val="none"/>
        </w:rPr>
      </w:pPr>
      <w:r>
        <w:rPr>
          <w:rStyle w:val="50"/>
          <w:rFonts w:hint="eastAsia" w:ascii="宋体" w:hAnsi="宋体" w:eastAsia="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允许联合体投标的，应明确对</w:t>
      </w:r>
      <w:r>
        <w:rPr>
          <w:rFonts w:hint="eastAsia" w:ascii="宋体" w:hAnsi="宋体" w:cs="宋体"/>
          <w:highlight w:val="none"/>
        </w:rPr>
        <w:t>联合体各方的资质、业绩、信誉、人员等要求。</w:t>
      </w:r>
    </w:p>
  </w:footnote>
  <w:footnote w:id="8">
    <w:p w14:paraId="2B488C88">
      <w:pPr>
        <w:pStyle w:val="37"/>
        <w:ind w:left="360" w:hanging="360" w:hangingChars="200"/>
        <w:rPr>
          <w:rFonts w:hint="eastAsia" w:ascii="宋体" w:hAnsi="宋体" w:cs="宋体"/>
        </w:rPr>
      </w:pPr>
      <w:r>
        <w:rPr>
          <w:rStyle w:val="58"/>
          <w:rFonts w:hint="eastAsia" w:ascii="宋体" w:hAnsi="宋体" w:cs="宋体"/>
          <w:vertAlign w:val="baseline"/>
        </w:rPr>
        <w:footnoteRef/>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color w:val="000000" w:themeColor="text1"/>
          <w14:textFill>
            <w14:solidFill>
              <w14:schemeClr w14:val="tx1"/>
            </w14:solidFill>
          </w14:textFill>
        </w:rPr>
        <w:t>招标人可根据《四川省重点公路建设从业单位信用管理办法》</w:t>
      </w:r>
      <w:r>
        <w:rPr>
          <w:rFonts w:hint="eastAsia" w:ascii="宋体" w:hAnsi="宋体" w:cs="宋体"/>
          <w:color w:val="000000" w:themeColor="text1"/>
          <w:lang w:val="en-US" w:eastAsia="zh-CN"/>
          <w14:textFill>
            <w14:solidFill>
              <w14:schemeClr w14:val="tx1"/>
            </w14:solidFill>
          </w14:textFill>
        </w:rPr>
        <w:t>/</w:t>
      </w:r>
      <w:r>
        <w:rPr>
          <w:rFonts w:hint="eastAsia" w:ascii="宋体" w:hAnsi="宋体" w:cs="宋体"/>
          <w:color w:val="auto"/>
          <w:highlight w:val="none"/>
          <w:lang w:val="en-US" w:eastAsia="zh-CN"/>
        </w:rPr>
        <w:t>《四川省农村公路建设从业单位信用管理办法》</w:t>
      </w:r>
      <w:r>
        <w:rPr>
          <w:rFonts w:hint="eastAsia" w:ascii="宋体" w:hAnsi="宋体" w:cs="宋体"/>
          <w:color w:val="000000" w:themeColor="text1"/>
          <w14:textFill>
            <w14:solidFill>
              <w14:schemeClr w14:val="tx1"/>
            </w14:solidFill>
          </w14:textFill>
        </w:rPr>
        <w:t>规定对投标人拟投标段数量及中标标段数量进行调整。</w:t>
      </w:r>
    </w:p>
  </w:footnote>
  <w:footnote w:id="9">
    <w:p w14:paraId="5B8E22AC">
      <w:pPr>
        <w:pStyle w:val="37"/>
        <w:jc w:val="both"/>
        <w:rPr>
          <w:rFonts w:hint="eastAsia" w:ascii="宋体" w:hAnsi="宋体" w:cs="宋体"/>
        </w:rPr>
      </w:pPr>
      <w:r>
        <w:rPr>
          <w:rStyle w:val="58"/>
          <w:rFonts w:hint="eastAsia" w:ascii="宋体" w:hAnsi="宋体" w:cs="宋体"/>
          <w:vertAlign w:val="baseline"/>
        </w:rPr>
        <w:footnoteRef/>
      </w:r>
      <w:r>
        <w:rPr>
          <w:rFonts w:hint="eastAsia" w:ascii="宋体" w:hAnsi="宋体" w:cs="宋体"/>
          <w:color w:val="auto"/>
          <w:highlight w:val="none"/>
          <w:lang w:val="en-US" w:eastAsia="zh-CN"/>
        </w:rPr>
        <w:t xml:space="preserve"> </w:t>
      </w:r>
      <w:r>
        <w:rPr>
          <w:rFonts w:hint="eastAsia" w:ascii="宋体" w:hAnsi="宋体" w:cs="宋体"/>
        </w:rPr>
        <w:t xml:space="preserve"> 适用于招标人允许投标人可多标段投标，且可以中2个及以上标段的情形。</w:t>
      </w:r>
    </w:p>
  </w:footnote>
  <w:footnote w:id="10">
    <w:p w14:paraId="0F22D6FB">
      <w:pPr>
        <w:pStyle w:val="37"/>
        <w:ind w:left="360" w:hanging="360" w:hangingChars="200"/>
        <w:jc w:val="both"/>
        <w:rPr>
          <w:rFonts w:hint="eastAsia" w:ascii="宋体" w:hAnsi="宋体" w:eastAsia="宋体" w:cs="宋体"/>
          <w:color w:val="auto"/>
          <w:highlight w:val="none"/>
          <w:lang w:val="en-US"/>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bookmarkStart w:id="796" w:name="_Hlk101686587"/>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投标人办理“注册网员”的方法见全国公共资源交易平台（四川省）“首页”→“办事指南”→</w:t>
      </w:r>
      <w:bookmarkStart w:id="797" w:name="_Hlk100752469"/>
      <w:r>
        <w:rPr>
          <w:rFonts w:hint="eastAsia" w:ascii="宋体" w:hAnsi="宋体" w:eastAsia="宋体" w:cs="宋体"/>
          <w:color w:val="auto"/>
          <w:highlight w:val="none"/>
        </w:rPr>
        <w:t>《四川省交易主体统一认证注册及登录指南》</w:t>
      </w:r>
      <w:bookmarkEnd w:id="796"/>
      <w:bookmarkEnd w:id="797"/>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当项目在市（州）交易中心分平台交易时，交易平台根据其“电子招标投标系统”相应要求，提供投标人参与投标的操作流程。</w:t>
      </w:r>
    </w:p>
  </w:footnote>
  <w:footnote w:id="11">
    <w:p w14:paraId="187C8ACA">
      <w:pPr>
        <w:pStyle w:val="37"/>
        <w:snapToGrid w:val="0"/>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当项目在市（州）交易中心分平台交易时，相应调整为市（州）的“电子招标投标系统”名称。</w:t>
      </w:r>
    </w:p>
  </w:footnote>
  <w:footnote w:id="12">
    <w:p w14:paraId="705457AC">
      <w:pPr>
        <w:pStyle w:val="37"/>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a.招标人对招标图纸、参考资料的提供方式须符合</w:t>
      </w:r>
      <w:bookmarkStart w:id="798" w:name="_Hlk94031391"/>
      <w:r>
        <w:rPr>
          <w:rFonts w:hint="eastAsia" w:ascii="宋体" w:hAnsi="宋体" w:eastAsia="宋体" w:cs="宋体"/>
          <w:color w:val="auto"/>
          <w:highlight w:val="none"/>
        </w:rPr>
        <w:t>《中华人民共和国保守国家秘密法》</w:t>
      </w:r>
      <w:bookmarkEnd w:id="798"/>
      <w:r>
        <w:rPr>
          <w:rFonts w:hint="eastAsia" w:ascii="宋体" w:hAnsi="宋体" w:eastAsia="宋体" w:cs="宋体"/>
          <w:color w:val="auto"/>
          <w:highlight w:val="none"/>
        </w:rPr>
        <w:t>规定，下同。</w:t>
      </w:r>
    </w:p>
    <w:p w14:paraId="78937029">
      <w:pPr>
        <w:pStyle w:val="37"/>
        <w:ind w:left="360" w:hanging="360" w:hanging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b.</w:t>
      </w:r>
      <w:bookmarkStart w:id="799" w:name="_Hlk100752490"/>
      <w:bookmarkStart w:id="800" w:name="_Hlk98611584"/>
      <w:r>
        <w:rPr>
          <w:rFonts w:hint="eastAsia" w:ascii="宋体" w:hAnsi="宋体" w:eastAsia="宋体" w:cs="宋体"/>
          <w:color w:val="auto"/>
          <w:highlight w:val="none"/>
        </w:rPr>
        <w:t>投标人下载招标文件及相关资料、投标文件制作软件下载方法见全国公共资源交易平台（四川省） “首页”→“办事指南”→《四川省公路水运工程电子招投标系统操作手册—投标》</w:t>
      </w:r>
      <w:bookmarkEnd w:id="799"/>
      <w:r>
        <w:rPr>
          <w:rFonts w:hint="eastAsia" w:ascii="宋体" w:hAnsi="宋体" w:eastAsia="宋体" w:cs="宋体"/>
          <w:color w:val="auto"/>
          <w:highlight w:val="none"/>
        </w:rPr>
        <w:t>。</w:t>
      </w:r>
      <w:bookmarkEnd w:id="800"/>
      <w:r>
        <w:rPr>
          <w:rFonts w:hint="eastAsia" w:ascii="宋体" w:hAnsi="宋体" w:eastAsia="宋体" w:cs="宋体"/>
          <w:color w:val="auto"/>
          <w:highlight w:val="none"/>
          <w:lang w:val="en-US" w:eastAsia="zh-CN"/>
        </w:rPr>
        <w:t>当项目在市（州）交易中心分平台交易时，交易平台根据其“电子招标投标系统”相应要求，提供投标人下载上述资料的方法。</w:t>
      </w:r>
    </w:p>
  </w:footnote>
  <w:footnote w:id="13">
    <w:p w14:paraId="3655BDF6">
      <w:pPr>
        <w:pStyle w:val="37"/>
        <w:jc w:val="both"/>
        <w:rPr>
          <w:rFonts w:hint="eastAsia" w:ascii="宋体" w:hAnsi="宋体" w:cs="宋体"/>
          <w:color w:val="auto"/>
          <w:highlight w:val="none"/>
        </w:rPr>
      </w:pPr>
      <w:r>
        <w:rPr>
          <w:rFonts w:hint="eastAsia" w:ascii="宋体" w:hAnsi="宋体" w:cs="宋体"/>
          <w:color w:val="auto"/>
          <w:highlight w:val="no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按照《中华人民共和国保守国家秘密法》规定，不能提供线上图纸、参考资料的，由招标人指定获取方式。</w:t>
      </w:r>
    </w:p>
  </w:footnote>
  <w:footnote w:id="14">
    <w:p w14:paraId="6E9DF7F6">
      <w:pPr>
        <w:pStyle w:val="37"/>
        <w:ind w:left="360" w:hanging="360" w:hanging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依法必须进行招标的公路工程，自招标文件公布下载之日起至投标人递交投标文件截止之日止，不得少于20日。</w:t>
      </w:r>
    </w:p>
  </w:footnote>
  <w:footnote w:id="15">
    <w:p w14:paraId="36AFFF31">
      <w:pPr>
        <w:pStyle w:val="37"/>
        <w:ind w:left="360" w:hanging="360" w:hangingChars="200"/>
        <w:jc w:val="both"/>
        <w:rPr>
          <w:rFonts w:hint="eastAsia" w:ascii="宋体" w:hAnsi="宋体" w:eastAsia="宋体" w:cs="宋体"/>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bookmarkStart w:id="801" w:name="_Hlk100752540"/>
      <w:bookmarkStart w:id="802" w:name="_Hlk98424261"/>
      <w:bookmarkStart w:id="803" w:name="_Hlk101686824"/>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投标人办理单位CA数字证书的方法见全国公共资源交易平台（四川省）“首页”→“办事指南”→《全国公共资源交易平台（四川省）网上CA办理指南》，并领取单位CA数字证书</w:t>
      </w:r>
      <w:bookmarkEnd w:id="801"/>
      <w:bookmarkEnd w:id="802"/>
      <w:r>
        <w:rPr>
          <w:rFonts w:hint="eastAsia" w:ascii="宋体" w:hAnsi="宋体" w:eastAsia="宋体" w:cs="宋体"/>
          <w:color w:val="auto"/>
          <w:highlight w:val="none"/>
        </w:rPr>
        <w:t>。</w:t>
      </w:r>
      <w:bookmarkEnd w:id="803"/>
      <w:r>
        <w:rPr>
          <w:rFonts w:hint="eastAsia" w:ascii="宋体" w:hAnsi="宋体" w:eastAsia="宋体" w:cs="宋体"/>
          <w:color w:val="auto"/>
          <w:highlight w:val="none"/>
          <w:lang w:val="en-US" w:eastAsia="zh-CN"/>
        </w:rPr>
        <w:t>当项目在市（州）交易中心分平台交易时，交易平台根据其“电子招标投标系统”相应要求，提供投标人办理</w:t>
      </w:r>
      <w:r>
        <w:rPr>
          <w:rFonts w:hint="eastAsia" w:ascii="宋体" w:hAnsi="宋体" w:eastAsia="宋体" w:cs="宋体"/>
          <w:color w:val="auto"/>
          <w:highlight w:val="none"/>
        </w:rPr>
        <w:t>单位CA数字证书的方法</w:t>
      </w:r>
      <w:r>
        <w:rPr>
          <w:rFonts w:hint="eastAsia" w:ascii="宋体" w:hAnsi="宋体" w:eastAsia="宋体" w:cs="宋体"/>
          <w:color w:val="auto"/>
          <w:highlight w:val="none"/>
          <w:lang w:val="en-US" w:eastAsia="zh-CN"/>
        </w:rPr>
        <w:t>。</w:t>
      </w:r>
    </w:p>
  </w:footnote>
  <w:footnote w:id="16">
    <w:p w14:paraId="1ED6FEB2">
      <w:pPr>
        <w:pStyle w:val="37"/>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 xml:space="preserve"> </w:t>
      </w:r>
      <w:bookmarkStart w:id="804" w:name="_Hlk100752551"/>
      <w:r>
        <w:rPr>
          <w:rFonts w:hint="eastAsia" w:ascii="宋体" w:hAnsi="宋体" w:eastAsia="宋体" w:cs="宋体"/>
          <w:color w:val="auto"/>
          <w:highlight w:val="none"/>
        </w:rPr>
        <w:t>投标人上传投标文件方法见</w:t>
      </w:r>
      <w:bookmarkStart w:id="805" w:name="_Hlk100654354"/>
      <w:r>
        <w:rPr>
          <w:rFonts w:hint="eastAsia" w:ascii="宋体" w:hAnsi="宋体" w:eastAsia="宋体" w:cs="宋体"/>
          <w:color w:val="auto"/>
          <w:highlight w:val="none"/>
        </w:rPr>
        <w:t>全国公共资源交易平台（四川省）“首页”→“办事指南”→《四川省公路水运工程电子招投标系统操作手册—投标》</w:t>
      </w:r>
      <w:bookmarkEnd w:id="804"/>
      <w:bookmarkEnd w:id="805"/>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当项目在市（州）交易中心分平台交易时，交易平台根据其“电子招标投标系统”相应要求，提供投标人上传投标文件的方法。</w:t>
      </w:r>
    </w:p>
  </w:footnote>
  <w:footnote w:id="17">
    <w:p w14:paraId="19899E86">
      <w:pPr>
        <w:pStyle w:val="37"/>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投标文件的送达方式如有变化，应对应调整第5.2款的要求。</w:t>
      </w:r>
    </w:p>
  </w:footnote>
  <w:footnote w:id="18">
    <w:p w14:paraId="16571C20">
      <w:pPr>
        <w:pStyle w:val="37"/>
        <w:ind w:left="360" w:hanging="360" w:hangingChars="200"/>
        <w:jc w:val="both"/>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bookmarkStart w:id="806" w:name="_Hlk100767832"/>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远程电子开标方式，</w:t>
      </w:r>
      <w:bookmarkStart w:id="807" w:name="_Hlk100752585"/>
      <w:r>
        <w:rPr>
          <w:rFonts w:hint="eastAsia" w:ascii="宋体" w:hAnsi="宋体" w:eastAsia="宋体" w:cs="宋体"/>
          <w:color w:val="auto"/>
          <w:highlight w:val="none"/>
        </w:rPr>
        <w:t>具体详见全国公共资源交易平台（四川省）“首页”→“办事指南”→《四川省公路水运工程电子招投标系统不见面开标大厅操作手册》</w:t>
      </w:r>
      <w:bookmarkEnd w:id="806"/>
      <w:bookmarkEnd w:id="807"/>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当项目在市（州）交易中心分平台交易时，交易平台根据其“电子招标投标系统”相应要求，提供投标人远程电子开标的操作流程。</w:t>
      </w:r>
    </w:p>
  </w:footnote>
  <w:footnote w:id="19">
    <w:p w14:paraId="2296555E">
      <w:pPr>
        <w:pStyle w:val="37"/>
        <w:jc w:val="both"/>
        <w:rPr>
          <w:rFonts w:hint="eastAsia" w:ascii="宋体" w:hAnsi="宋体" w:cs="宋体"/>
          <w:color w:val="auto"/>
          <w:highlight w:val="none"/>
        </w:rPr>
      </w:pPr>
      <w:r>
        <w:rPr>
          <w:rFonts w:hint="eastAsia" w:ascii="宋体" w:hAnsi="宋体" w:cs="宋体"/>
          <w:color w:val="auto"/>
          <w:highlight w:val="no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招标人将近年完成</w:t>
      </w:r>
      <w:r>
        <w:rPr>
          <w:rFonts w:hint="eastAsia" w:ascii="宋体" w:hAnsi="宋体" w:cs="宋体"/>
          <w:color w:val="auto"/>
          <w:highlight w:val="none"/>
          <w:lang w:val="en-US" w:eastAsia="zh-CN"/>
        </w:rPr>
        <w:t>的</w:t>
      </w:r>
      <w:r>
        <w:rPr>
          <w:rFonts w:hint="eastAsia" w:ascii="宋体" w:hAnsi="宋体" w:cs="宋体"/>
          <w:color w:val="auto"/>
          <w:highlight w:val="none"/>
        </w:rPr>
        <w:t>类似项目情况、拟委任</w:t>
      </w:r>
      <w:r>
        <w:rPr>
          <w:rFonts w:hint="eastAsia" w:ascii="宋体" w:hAnsi="宋体" w:cs="宋体"/>
          <w:color w:val="auto"/>
          <w:highlight w:val="none"/>
          <w:lang w:val="en-US" w:eastAsia="zh-CN"/>
        </w:rPr>
        <w:t>的</w:t>
      </w:r>
      <w:r>
        <w:rPr>
          <w:rFonts w:hint="eastAsia" w:ascii="宋体" w:hAnsi="宋体" w:cs="宋体"/>
          <w:color w:val="auto"/>
          <w:highlight w:val="none"/>
        </w:rPr>
        <w:t>主要人员</w:t>
      </w:r>
      <w:r>
        <w:rPr>
          <w:rFonts w:hint="eastAsia" w:ascii="宋体" w:hAnsi="宋体" w:cs="宋体"/>
          <w:color w:val="auto"/>
          <w:highlight w:val="none"/>
          <w:lang w:val="en-US" w:eastAsia="zh-CN"/>
        </w:rPr>
        <w:t>资历</w:t>
      </w:r>
      <w:r>
        <w:rPr>
          <w:rFonts w:hint="eastAsia" w:ascii="宋体" w:hAnsi="宋体" w:cs="宋体"/>
          <w:color w:val="auto"/>
          <w:highlight w:val="none"/>
        </w:rPr>
        <w:t>列入资格审查条件的，须在法定的平台进行公示。</w:t>
      </w:r>
    </w:p>
  </w:footnote>
  <w:footnote w:id="20">
    <w:p w14:paraId="6DEB2D71">
      <w:pPr>
        <w:pStyle w:val="37"/>
        <w:ind w:left="360" w:hanging="360" w:hangingChars="200"/>
        <w:jc w:val="both"/>
        <w:rPr>
          <w:rFonts w:hint="eastAsia" w:ascii="宋体" w:hAnsi="宋体" w:cs="宋体"/>
          <w:color w:val="auto"/>
          <w:highlight w:val="none"/>
        </w:rPr>
      </w:pPr>
      <w:r>
        <w:rPr>
          <w:rStyle w:val="58"/>
          <w:rFonts w:hint="eastAsia" w:ascii="宋体" w:hAnsi="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当项目在市（州）交易中心分平台交易时，交易平台根据其“电子招标投标系统”相应要求，提供投标人提出异议的版块。</w:t>
      </w:r>
    </w:p>
  </w:footnote>
  <w:footnote w:id="21">
    <w:p w14:paraId="3A96B88F">
      <w:pPr>
        <w:pStyle w:val="37"/>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招标项目未进行委托招标的，此项可删除。</w:t>
      </w:r>
    </w:p>
  </w:footnote>
  <w:footnote w:id="22">
    <w:p w14:paraId="2C077460">
      <w:pPr>
        <w:pStyle w:val="37"/>
        <w:snapToGrid w:val="0"/>
        <w:rPr>
          <w:rFonts w:hint="eastAsia" w:ascii="宋体" w:hAnsi="宋体" w:eastAsia="宋体" w:cs="宋体"/>
          <w:color w:val="auto"/>
          <w:highlight w:val="none"/>
          <w:lang w:val="en-US" w:eastAsia="zh-CN"/>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vertAlign w:val="baseline"/>
        </w:rPr>
        <w:t xml:space="preserve"> </w:t>
      </w:r>
      <w:r>
        <w:rPr>
          <w:rFonts w:hint="eastAsia" w:ascii="宋体" w:hAnsi="宋体" w:cs="宋体"/>
          <w:color w:val="auto"/>
          <w:highlight w:val="none"/>
          <w:vertAlign w:val="baseline"/>
          <w:lang w:val="en-US" w:eastAsia="zh-CN"/>
        </w:rPr>
        <w:t xml:space="preserve"> </w:t>
      </w:r>
      <w:r>
        <w:rPr>
          <w:rFonts w:hint="eastAsia" w:ascii="宋体" w:hAnsi="宋体" w:eastAsia="宋体" w:cs="宋体"/>
          <w:color w:val="auto"/>
          <w:highlight w:val="none"/>
          <w:lang w:val="en-US" w:eastAsia="zh-CN"/>
        </w:rPr>
        <w:t>招标人根据项目实际情况可以调整本表格式。</w:t>
      </w:r>
    </w:p>
  </w:footnote>
  <w:footnote w:id="23">
    <w:p w14:paraId="3C617DC7">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招标人应根据招标项目具体特点和实际需要，对监理</w:t>
      </w:r>
      <w:r>
        <w:rPr>
          <w:rFonts w:hint="eastAsia" w:ascii="宋体" w:hAnsi="宋体" w:cs="宋体"/>
          <w:color w:val="auto"/>
          <w:highlight w:val="none"/>
          <w:lang w:val="en-US" w:eastAsia="zh-CN"/>
        </w:rPr>
        <w:t>试验室服务质量</w:t>
      </w:r>
      <w:r>
        <w:rPr>
          <w:rFonts w:hint="eastAsia" w:ascii="宋体" w:hAnsi="宋体" w:eastAsia="宋体" w:cs="宋体"/>
          <w:color w:val="auto"/>
          <w:highlight w:val="none"/>
        </w:rPr>
        <w:t>提出目标要求。</w:t>
      </w:r>
    </w:p>
  </w:footnote>
  <w:footnote w:id="24">
    <w:p w14:paraId="5E06908F">
      <w:pPr>
        <w:pStyle w:val="37"/>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该选项仅适用于招标工程范围包括房建工程的情形。</w:t>
      </w:r>
    </w:p>
  </w:footnote>
  <w:footnote w:id="25">
    <w:p w14:paraId="3726F358">
      <w:pPr>
        <w:pStyle w:val="37"/>
        <w:ind w:left="360" w:hanging="360" w:hanging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该选项针对招标人有其他特殊招标范围的情形时对质量提出的要求，但招标人应依法依规设置，不得提过高的要求。</w:t>
      </w:r>
    </w:p>
  </w:footnote>
  <w:footnote w:id="26">
    <w:p w14:paraId="332B6B63">
      <w:pPr>
        <w:pStyle w:val="37"/>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招标人应根据招标项目具体特点和实际需要，对</w:t>
      </w:r>
      <w:r>
        <w:rPr>
          <w:rFonts w:hint="eastAsia" w:ascii="宋体" w:hAnsi="宋体" w:cs="宋体"/>
          <w:color w:val="auto"/>
          <w:sz w:val="18"/>
          <w:szCs w:val="18"/>
          <w:highlight w:val="none"/>
          <w:lang w:val="en-US" w:eastAsia="zh-CN"/>
        </w:rPr>
        <w:t>监理试验室</w:t>
      </w:r>
      <w:r>
        <w:rPr>
          <w:rFonts w:hint="eastAsia" w:ascii="宋体" w:hAnsi="宋体" w:eastAsia="宋体" w:cs="宋体"/>
          <w:color w:val="auto"/>
          <w:sz w:val="18"/>
          <w:szCs w:val="18"/>
          <w:highlight w:val="none"/>
        </w:rPr>
        <w:t>过程中的人员安全提出目标要求。</w:t>
      </w:r>
    </w:p>
  </w:footnote>
  <w:footnote w:id="27">
    <w:p w14:paraId="7E1498AA">
      <w:pPr>
        <w:pStyle w:val="37"/>
        <w:ind w:left="360" w:hanging="360" w:hangingChars="200"/>
        <w:jc w:val="both"/>
        <w:rPr>
          <w:rFonts w:hint="eastAsia" w:ascii="宋体" w:hAnsi="宋体" w:eastAsia="宋体" w:cs="宋体"/>
          <w:color w:val="auto"/>
          <w:sz w:val="18"/>
          <w:szCs w:val="18"/>
          <w:highlight w:val="none"/>
        </w:rPr>
      </w:pPr>
      <w:r>
        <w:rPr>
          <w:rStyle w:val="58"/>
          <w:rFonts w:hint="eastAsia" w:ascii="宋体" w:hAnsi="宋体" w:eastAsia="宋体" w:cs="宋体"/>
          <w:color w:val="auto"/>
          <w:sz w:val="18"/>
          <w:szCs w:val="18"/>
          <w:highlight w:val="none"/>
          <w:vertAlign w:val="baseli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对于其他有特殊要求的工程，招标人可对拟投入的其他主要人员的岗位、数量及资格条件，或对拟投入本标段试验检测设备提出最低要求。招标人在满足国家相关法律、法规前提下，根据招标项目具体特点和实际情况确定。</w:t>
      </w:r>
    </w:p>
  </w:footnote>
  <w:footnote w:id="28">
    <w:p w14:paraId="4A2CD3F9">
      <w:pPr>
        <w:pStyle w:val="37"/>
        <w:ind w:left="360" w:hanging="360" w:hangingChars="200"/>
        <w:rPr>
          <w:rFonts w:hint="eastAsia" w:ascii="宋体" w:hAnsi="宋体" w:cs="宋体"/>
          <w:highlight w:val="none"/>
        </w:rPr>
      </w:pPr>
      <w:r>
        <w:rPr>
          <w:rStyle w:val="58"/>
          <w:rFonts w:hint="eastAsia" w:ascii="宋体" w:hAnsi="宋体" w:cs="宋体"/>
          <w:highlight w:val="none"/>
          <w:vertAlign w:val="baseline"/>
        </w:rPr>
        <w:footnoteRef/>
      </w:r>
      <w:r>
        <w:rPr>
          <w:rFonts w:hint="eastAsia" w:ascii="宋体" w:hAnsi="宋体" w:cs="宋体"/>
          <w:color w:val="auto"/>
          <w:sz w:val="18"/>
          <w:szCs w:val="18"/>
          <w:highlight w:val="none"/>
          <w:lang w:val="en-US" w:eastAsia="zh-CN"/>
        </w:rPr>
        <w:t xml:space="preserve"> </w:t>
      </w:r>
      <w:r>
        <w:rPr>
          <w:rFonts w:hint="eastAsia" w:ascii="宋体" w:hAnsi="宋体" w:cs="宋体"/>
          <w:highlight w:val="none"/>
        </w:rPr>
        <w:t xml:space="preserve"> </w:t>
      </w:r>
      <w:r>
        <w:rPr>
          <w:rFonts w:hint="eastAsia" w:ascii="宋体" w:hAnsi="宋体" w:cs="宋体"/>
          <w:color w:val="000000"/>
          <w:highlight w:val="none"/>
        </w:rPr>
        <w:t>招标人要明确联合体牵头人、成员方的资格要求</w:t>
      </w:r>
      <w:r>
        <w:rPr>
          <w:rFonts w:hint="eastAsia" w:ascii="宋体" w:hAnsi="宋体" w:cs="宋体"/>
          <w:color w:val="000000"/>
          <w:highlight w:val="none"/>
          <w:lang w:eastAsia="zh-CN"/>
        </w:rPr>
        <w:t>，</w:t>
      </w:r>
      <w:r>
        <w:rPr>
          <w:rFonts w:hint="eastAsia" w:ascii="宋体" w:hAnsi="宋体" w:cs="宋体"/>
          <w:color w:val="000000"/>
          <w:highlight w:val="none"/>
        </w:rPr>
        <w:t>投标人</w:t>
      </w:r>
      <w:r>
        <w:rPr>
          <w:rFonts w:hint="eastAsia" w:ascii="宋体" w:hAnsi="宋体" w:cs="宋体"/>
          <w:color w:val="000000"/>
          <w:highlight w:val="none"/>
          <w:lang w:val="en-US" w:eastAsia="zh-CN"/>
        </w:rPr>
        <w:t>组成</w:t>
      </w:r>
      <w:r>
        <w:rPr>
          <w:rFonts w:hint="eastAsia" w:ascii="宋体" w:hAnsi="宋体" w:cs="宋体"/>
          <w:color w:val="000000"/>
          <w:highlight w:val="none"/>
        </w:rPr>
        <w:t>联合体的资格</w:t>
      </w:r>
      <w:r>
        <w:rPr>
          <w:rFonts w:hint="eastAsia" w:ascii="宋体" w:hAnsi="宋体" w:cs="宋体"/>
          <w:highlight w:val="none"/>
        </w:rPr>
        <w:t>根据联合体协议书中约定的内部职责分工以及本须知前附表附录资格审查条件中对应的专业资质、业绩、信誉、人员等要求最终认定。</w:t>
      </w:r>
    </w:p>
  </w:footnote>
  <w:footnote w:id="29">
    <w:p w14:paraId="7C219D22">
      <w:pPr>
        <w:pStyle w:val="37"/>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根据项目实际情况由招标人明确。</w:t>
      </w:r>
    </w:p>
  </w:footnote>
  <w:footnote w:id="30">
    <w:p w14:paraId="7076DC90">
      <w:pPr>
        <w:pStyle w:val="37"/>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根据项目实际情况由招标人明确。</w:t>
      </w:r>
    </w:p>
  </w:footnote>
  <w:footnote w:id="31">
    <w:p w14:paraId="79B9C659">
      <w:pPr>
        <w:pStyle w:val="37"/>
        <w:ind w:left="360" w:hanging="360" w:hangingChars="200"/>
        <w:rPr>
          <w:rFonts w:hint="eastAsia" w:ascii="宋体" w:hAnsi="宋体" w:cs="宋体"/>
        </w:rPr>
      </w:pPr>
      <w:r>
        <w:rPr>
          <w:rStyle w:val="58"/>
          <w:rFonts w:hint="eastAsia" w:ascii="宋体" w:hAnsi="宋体" w:cs="宋体"/>
          <w:vertAlign w:val="baseline"/>
        </w:rPr>
        <w:footnoteRef/>
      </w:r>
      <w:r>
        <w:rPr>
          <w:rFonts w:hint="eastAsia" w:ascii="宋体" w:hAnsi="宋体" w:cs="宋体"/>
        </w:rPr>
        <w:t xml:space="preserve"> </w:t>
      </w:r>
      <w:r>
        <w:rPr>
          <w:rFonts w:hint="eastAsia" w:ascii="宋体" w:hAnsi="宋体" w:cs="宋体"/>
          <w:lang w:val="en-US" w:eastAsia="zh-CN"/>
        </w:rPr>
        <w:t xml:space="preserve"> 指第七章“投标文件格式”第二个信封（报价文件）“一、</w:t>
      </w:r>
      <w:r>
        <w:rPr>
          <w:rFonts w:hint="eastAsia" w:ascii="宋体" w:hAnsi="宋体" w:cs="宋体"/>
        </w:rPr>
        <w:t>投标函</w:t>
      </w:r>
      <w:r>
        <w:rPr>
          <w:rFonts w:hint="eastAsia" w:ascii="宋体" w:hAnsi="宋体" w:cs="宋体"/>
          <w:lang w:eastAsia="zh-CN"/>
        </w:rPr>
        <w:t>（</w:t>
      </w:r>
      <w:r>
        <w:rPr>
          <w:rFonts w:hint="eastAsia" w:ascii="宋体" w:hAnsi="宋体" w:cs="宋体"/>
          <w:lang w:val="en-US" w:eastAsia="zh-CN"/>
        </w:rPr>
        <w:t>第二个信封</w:t>
      </w:r>
      <w:r>
        <w:rPr>
          <w:rFonts w:hint="eastAsia" w:ascii="宋体" w:hAnsi="宋体" w:cs="宋体"/>
          <w:lang w:eastAsia="zh-CN"/>
        </w:rPr>
        <w:t>）</w:t>
      </w:r>
      <w:r>
        <w:rPr>
          <w:rFonts w:hint="eastAsia" w:ascii="宋体" w:hAnsi="宋体" w:cs="宋体"/>
          <w:lang w:val="en-US" w:eastAsia="zh-CN"/>
        </w:rPr>
        <w:t>”</w:t>
      </w:r>
      <w:r>
        <w:rPr>
          <w:rFonts w:hint="eastAsia" w:ascii="宋体" w:hAnsi="宋体" w:cs="宋体"/>
        </w:rPr>
        <w:t>中“投标总报价”的报价方式。</w:t>
      </w:r>
    </w:p>
  </w:footnote>
  <w:footnote w:id="32">
    <w:p w14:paraId="28EDCD2A">
      <w:pPr>
        <w:pStyle w:val="37"/>
        <w:ind w:left="360" w:hanging="360" w:hangingChars="200"/>
        <w:rPr>
          <w:rFonts w:hint="eastAsia" w:ascii="宋体" w:hAnsi="宋体" w:cs="宋体"/>
        </w:rPr>
      </w:pPr>
      <w:r>
        <w:rPr>
          <w:rStyle w:val="58"/>
          <w:rFonts w:hint="eastAsia" w:ascii="宋体" w:hAnsi="宋体" w:cs="宋体"/>
          <w:vertAlign w:val="baseline"/>
        </w:rPr>
        <w:footnoteRef/>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当报价方式采用</w:t>
      </w:r>
      <w:r>
        <w:rPr>
          <w:rFonts w:hint="eastAsia" w:ascii="宋体" w:hAnsi="宋体" w:cs="宋体"/>
          <w:lang w:val="en-US" w:eastAsia="zh-CN"/>
        </w:rPr>
        <w:t>单价或</w:t>
      </w:r>
      <w:r>
        <w:rPr>
          <w:rFonts w:hint="eastAsia" w:ascii="宋体" w:hAnsi="宋体" w:cs="宋体"/>
        </w:rPr>
        <w:t>总价以外的其他情形时，在此约定具体内容</w:t>
      </w:r>
      <w:r>
        <w:rPr>
          <w:rFonts w:hint="eastAsia" w:ascii="宋体" w:hAnsi="宋体" w:cs="宋体"/>
          <w:lang w:eastAsia="zh-CN"/>
        </w:rPr>
        <w:t>，</w:t>
      </w:r>
      <w:r>
        <w:rPr>
          <w:rFonts w:hint="eastAsia" w:ascii="宋体" w:hAnsi="宋体" w:cs="宋体"/>
          <w:lang w:val="en-US" w:eastAsia="zh-CN"/>
        </w:rPr>
        <w:t>同时监理试验室服务费用清单的填写方式需做相应调整</w:t>
      </w:r>
      <w:r>
        <w:rPr>
          <w:rFonts w:hint="eastAsia" w:ascii="宋体" w:hAnsi="宋体" w:cs="宋体"/>
        </w:rPr>
        <w:t>。</w:t>
      </w:r>
    </w:p>
  </w:footnote>
  <w:footnote w:id="33">
    <w:p w14:paraId="0506DF29">
      <w:pPr>
        <w:pStyle w:val="37"/>
        <w:ind w:left="360" w:hanging="360" w:hangingChars="200"/>
        <w:jc w:val="both"/>
        <w:rPr>
          <w:rFonts w:hint="eastAsia" w:ascii="宋体" w:hAnsi="宋体" w:cs="宋体"/>
        </w:rPr>
      </w:pPr>
      <w:r>
        <w:rPr>
          <w:rStyle w:val="58"/>
          <w:rFonts w:hint="eastAsia" w:ascii="宋体" w:hAnsi="宋体" w:cs="宋体"/>
          <w:vertAlign w:val="baseline"/>
        </w:rPr>
        <w:footnoteRef/>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招标人将招标项目公布的各标段的最高投标限价相关内容填写在该图框内，图框中为总价方式的最高投标限价示例，招标人根据不同的报价方式，对项目的最高投标限价在该图框内进行</w:t>
      </w:r>
      <w:r>
        <w:rPr>
          <w:rFonts w:hint="eastAsia" w:ascii="宋体" w:hAnsi="宋体" w:cs="宋体"/>
          <w:lang w:val="en-US" w:eastAsia="zh-CN"/>
        </w:rPr>
        <w:t>修改</w:t>
      </w:r>
      <w:r>
        <w:rPr>
          <w:rFonts w:hint="eastAsia" w:ascii="宋体" w:hAnsi="宋体" w:cs="宋体"/>
        </w:rPr>
        <w:t>。</w:t>
      </w:r>
    </w:p>
  </w:footnote>
  <w:footnote w:id="34">
    <w:p w14:paraId="6D1734C9">
      <w:pPr>
        <w:pStyle w:val="37"/>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投标保证金不得超过招标标段估算价的2%，招标人应据此测算出具体金额。</w:t>
      </w:r>
    </w:p>
  </w:footnote>
  <w:footnote w:id="35">
    <w:p w14:paraId="3948C1D6">
      <w:pPr>
        <w:pStyle w:val="37"/>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招标人不得强制限定投标保证金必须采用现金或支票方式缴纳，不得拒绝银行保函形式的投标保证金。</w:t>
      </w:r>
    </w:p>
  </w:footnote>
  <w:footnote w:id="36">
    <w:p w14:paraId="0247B1E3">
      <w:pPr>
        <w:pStyle w:val="37"/>
        <w:rPr>
          <w:rFonts w:hint="eastAsia" w:ascii="宋体" w:hAnsi="宋体" w:cs="宋体"/>
        </w:rPr>
      </w:pPr>
      <w:r>
        <w:rPr>
          <w:rStyle w:val="58"/>
          <w:rFonts w:hint="eastAsia" w:ascii="宋体" w:hAnsi="宋体" w:cs="宋体"/>
          <w:vertAlign w:val="baseline"/>
        </w:rPr>
        <w:footnoteRef/>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电子保函不适用。</w:t>
      </w:r>
    </w:p>
  </w:footnote>
  <w:footnote w:id="37">
    <w:p w14:paraId="40A37A83">
      <w:pPr>
        <w:pStyle w:val="37"/>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当采用现金、支票、银行保函之外的其他形式提交投标保证金时，招标人可列明相应的要求。</w:t>
      </w:r>
    </w:p>
  </w:footnote>
  <w:footnote w:id="38">
    <w:p w14:paraId="48C4EEF7">
      <w:pPr>
        <w:pStyle w:val="37"/>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此内容适用于投标保证金采用现金或者支票形式提交时。</w:t>
      </w:r>
    </w:p>
  </w:footnote>
  <w:footnote w:id="39">
    <w:p w14:paraId="07DDADE2">
      <w:pPr>
        <w:pStyle w:val="37"/>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投标保证金以现金或者支票形式递交的，投标保证金的利息计算原则与上述要求不同的，在此列明。</w:t>
      </w:r>
    </w:p>
  </w:footnote>
  <w:footnote w:id="40">
    <w:p w14:paraId="560151FD">
      <w:pPr>
        <w:pStyle w:val="37"/>
        <w:rPr>
          <w:rFonts w:hint="eastAsia" w:ascii="宋体" w:hAnsi="宋体" w:eastAsia="宋体" w:cs="宋体"/>
          <w:color w:val="auto"/>
          <w:sz w:val="18"/>
          <w:szCs w:val="18"/>
          <w:highlight w:val="none"/>
        </w:rPr>
      </w:pPr>
      <w:r>
        <w:rPr>
          <w:rStyle w:val="58"/>
          <w:rFonts w:hint="eastAsia" w:ascii="宋体" w:hAnsi="宋体" w:eastAsia="宋体" w:cs="宋体"/>
          <w:color w:val="auto"/>
          <w:sz w:val="18"/>
          <w:szCs w:val="18"/>
          <w:highlight w:val="none"/>
          <w:vertAlign w:val="baseli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招标人若选择多种方式提交投标保证金的，本项投标保证金退还方式可同时选择多种方式。</w:t>
      </w:r>
    </w:p>
  </w:footnote>
  <w:footnote w:id="41">
    <w:p w14:paraId="0DD12A02">
      <w:pPr>
        <w:pStyle w:val="37"/>
        <w:snapToGrid w:val="0"/>
        <w:ind w:left="360" w:hanging="360" w:hangingChars="200"/>
        <w:rPr>
          <w:rFonts w:hint="eastAsia" w:ascii="宋体" w:hAnsi="宋体" w:eastAsia="宋体" w:cs="宋体"/>
          <w:color w:val="auto"/>
          <w:highlight w:val="none"/>
          <w:lang w:val="en-US" w:eastAsia="zh-CN"/>
        </w:rPr>
      </w:pPr>
      <w:r>
        <w:rPr>
          <w:rStyle w:val="50"/>
          <w:rFonts w:hint="eastAsia" w:ascii="宋体" w:hAnsi="宋体" w:cs="宋体"/>
          <w:color w:val="auto"/>
          <w:highlight w:val="none"/>
          <w:vertAlign w:val="baseline"/>
        </w:rPr>
        <w:footnoteRef/>
      </w:r>
      <w:r>
        <w:rPr>
          <w:rFonts w:hint="eastAsia" w:ascii="宋体" w:hAnsi="宋体" w:cs="宋体"/>
          <w:color w:val="auto"/>
          <w:highlight w:val="none"/>
          <w:vertAlign w:val="baseline"/>
        </w:rPr>
        <w:t xml:space="preserve"> </w:t>
      </w:r>
      <w:r>
        <w:rPr>
          <w:rFonts w:hint="eastAsia" w:ascii="宋体" w:hAnsi="宋体" w:cs="宋体"/>
          <w:color w:val="auto"/>
          <w:highlight w:val="none"/>
          <w:vertAlign w:val="baseline"/>
          <w:lang w:val="en-US" w:eastAsia="zh-CN"/>
        </w:rPr>
        <w:t xml:space="preserve"> </w:t>
      </w:r>
      <w:r>
        <w:rPr>
          <w:rFonts w:hint="eastAsia" w:ascii="宋体" w:hAnsi="宋体" w:cs="宋体"/>
          <w:color w:val="auto"/>
          <w:highlight w:val="none"/>
          <w:lang w:val="en-US" w:eastAsia="zh-CN"/>
        </w:rPr>
        <w:t>本项为单选项。</w:t>
      </w:r>
    </w:p>
  </w:footnote>
  <w:footnote w:id="42">
    <w:p w14:paraId="50C9FDAB">
      <w:pPr>
        <w:pStyle w:val="37"/>
        <w:snapToGrid w:val="0"/>
        <w:ind w:left="360" w:hanging="360" w:hangingChars="200"/>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vertAlign w:val="baseline"/>
        </w:rPr>
        <w:t xml:space="preserve"> </w:t>
      </w:r>
      <w:r>
        <w:rPr>
          <w:rFonts w:hint="eastAsia" w:ascii="宋体" w:hAnsi="宋体" w:cs="宋体"/>
          <w:color w:val="auto"/>
          <w:highlight w:val="none"/>
          <w:vertAlign w:val="baseline"/>
          <w:lang w:val="en-US" w:eastAsia="zh-CN"/>
        </w:rPr>
        <w:t xml:space="preserve"> </w:t>
      </w:r>
      <w:r>
        <w:rPr>
          <w:rFonts w:hint="eastAsia" w:ascii="宋体" w:hAnsi="宋体" w:eastAsia="宋体" w:cs="宋体"/>
          <w:color w:val="auto"/>
          <w:highlight w:val="none"/>
          <w:lang w:val="en-US" w:eastAsia="zh-CN"/>
        </w:rPr>
        <w:t>当项目在市（州）交易中心分平台交易时，相应调整为市（州）“电子招标投标系统”的电子投标文件格式名称。</w:t>
      </w:r>
    </w:p>
  </w:footnote>
  <w:footnote w:id="43">
    <w:p w14:paraId="48FD92E6">
      <w:pPr>
        <w:pStyle w:val="37"/>
        <w:snapToGrid w:val="0"/>
        <w:ind w:left="360" w:hanging="360" w:hangingChars="200"/>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vertAlign w:val="baseline"/>
        </w:rPr>
        <w:t xml:space="preserve"> </w:t>
      </w:r>
      <w:r>
        <w:rPr>
          <w:rFonts w:hint="eastAsia" w:ascii="宋体" w:hAnsi="宋体" w:cs="宋体"/>
          <w:color w:val="auto"/>
          <w:highlight w:val="none"/>
          <w:vertAlign w:val="baseline"/>
          <w:lang w:val="en-US" w:eastAsia="zh-CN"/>
        </w:rPr>
        <w:t xml:space="preserve"> </w:t>
      </w:r>
      <w:r>
        <w:rPr>
          <w:rFonts w:hint="eastAsia" w:ascii="宋体" w:hAnsi="宋体" w:eastAsia="宋体" w:cs="宋体"/>
          <w:color w:val="auto"/>
          <w:highlight w:val="none"/>
          <w:lang w:val="en-US" w:eastAsia="zh-CN"/>
        </w:rPr>
        <w:t>当项目在市（州）交易中心分平台交易时，相应调整为市（州）“电子招标投标系统”的电子投标文件格式名称。</w:t>
      </w:r>
    </w:p>
  </w:footnote>
  <w:footnote w:id="44">
    <w:p w14:paraId="453D4606">
      <w:pPr>
        <w:pStyle w:val="37"/>
        <w:ind w:left="360" w:hanging="360" w:hanging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第二个信封（报价文件）开标时间由招标人通过系统发送短信方式，或人工电话通知方式或其他有效方式告知投标人。</w:t>
      </w:r>
    </w:p>
  </w:footnote>
  <w:footnote w:id="45">
    <w:p w14:paraId="7B479D98">
      <w:pPr>
        <w:pStyle w:val="37"/>
        <w:jc w:val="both"/>
        <w:rPr>
          <w:rFonts w:hint="eastAsia" w:ascii="宋体" w:hAnsi="宋体" w:cs="宋体"/>
          <w:color w:val="auto"/>
          <w:highlight w:val="none"/>
        </w:rPr>
      </w:pPr>
      <w:r>
        <w:rPr>
          <w:rFonts w:hint="eastAsia" w:ascii="宋体" w:hAnsi="宋体" w:cs="宋体"/>
          <w:color w:val="auto"/>
          <w:highlight w:val="no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解密时间建议在30分钟以内。</w:t>
      </w:r>
    </w:p>
  </w:footnote>
  <w:footnote w:id="46">
    <w:p w14:paraId="49363955">
      <w:pPr>
        <w:pStyle w:val="37"/>
        <w:ind w:left="360" w:hanging="360" w:hangingChars="200"/>
        <w:jc w:val="both"/>
        <w:rPr>
          <w:rFonts w:hint="eastAsia" w:ascii="宋体" w:hAnsi="宋体" w:cs="宋体"/>
          <w:color w:val="auto"/>
          <w:highlight w:val="none"/>
        </w:rPr>
      </w:pPr>
      <w:r>
        <w:rPr>
          <w:rStyle w:val="58"/>
          <w:rFonts w:hint="eastAsia" w:ascii="宋体" w:hAnsi="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投标人</w:t>
      </w:r>
      <w:r>
        <w:rPr>
          <w:rFonts w:hint="eastAsia" w:ascii="宋体" w:hAnsi="宋体" w:cs="宋体"/>
          <w:color w:val="auto"/>
          <w:highlight w:val="none"/>
          <w:lang w:val="en-US" w:eastAsia="zh-CN"/>
        </w:rPr>
        <w:t>应在规定的时间</w:t>
      </w:r>
      <w:r>
        <w:rPr>
          <w:rFonts w:hint="eastAsia" w:ascii="宋体" w:hAnsi="宋体" w:cs="宋体"/>
          <w:color w:val="auto"/>
          <w:highlight w:val="none"/>
        </w:rPr>
        <w:t>内在线提出异议，招标人在线即时答复处理。如投标人未提出异议的，视为其认可开标过程、开标内容和开标结果。</w:t>
      </w:r>
    </w:p>
  </w:footnote>
  <w:footnote w:id="47">
    <w:p w14:paraId="3C47B461">
      <w:pPr>
        <w:pStyle w:val="37"/>
        <w:ind w:left="360" w:hanging="360" w:hangingChars="200"/>
        <w:jc w:val="both"/>
        <w:rPr>
          <w:rFonts w:hint="eastAsia" w:ascii="宋体" w:hAnsi="宋体" w:cs="宋体"/>
          <w:color w:val="auto"/>
          <w:highlight w:val="none"/>
        </w:rPr>
      </w:pPr>
      <w:r>
        <w:rPr>
          <w:rStyle w:val="58"/>
          <w:rFonts w:hint="eastAsia" w:ascii="宋体" w:hAnsi="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投标人</w:t>
      </w:r>
      <w:r>
        <w:rPr>
          <w:rFonts w:hint="eastAsia" w:ascii="宋体" w:hAnsi="宋体" w:cs="宋体"/>
          <w:color w:val="auto"/>
          <w:highlight w:val="none"/>
          <w:lang w:val="en-US" w:eastAsia="zh-CN"/>
        </w:rPr>
        <w:t>应在规定的时间</w:t>
      </w:r>
      <w:r>
        <w:rPr>
          <w:rFonts w:hint="eastAsia" w:ascii="宋体" w:hAnsi="宋体" w:cs="宋体"/>
          <w:color w:val="auto"/>
          <w:highlight w:val="none"/>
        </w:rPr>
        <w:t>内在线提出异议，招标人在线即时答复处理。如投标人未提出异议的，视为其认可开标过程、开标内容和开标结果。</w:t>
      </w:r>
    </w:p>
  </w:footnote>
  <w:footnote w:id="48">
    <w:p w14:paraId="71CDE3D6">
      <w:pPr>
        <w:pStyle w:val="37"/>
        <w:ind w:left="360" w:hanging="360" w:hangingChars="20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highlight w:val="none"/>
        </w:rPr>
        <w:t>评标委员会由评标专家和招标人代表共同组成，人数为五人以上单数。其中，评标专家人数不得少于成员总数的三分之二。</w:t>
      </w:r>
    </w:p>
  </w:footnote>
  <w:footnote w:id="49">
    <w:p w14:paraId="3086CEBF">
      <w:pPr>
        <w:pStyle w:val="37"/>
        <w:ind w:left="360" w:hanging="360" w:hangingChars="200"/>
        <w:jc w:val="both"/>
        <w:rPr>
          <w:rFonts w:hint="eastAsia" w:ascii="宋体" w:hAnsi="宋体" w:cs="宋体"/>
          <w:color w:val="auto"/>
          <w:highlight w:val="none"/>
        </w:rPr>
      </w:pPr>
      <w:r>
        <w:rPr>
          <w:rFonts w:hint="eastAsia" w:ascii="宋体" w:hAnsi="宋体" w:cs="宋体"/>
          <w:color w:val="auto"/>
          <w:highlight w:val="no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根据《公路工程建设项目评标工作细则》（交公路规〔2022〕8号）第十条规定，对于技术复杂、专业性强或者国家有特殊要求，采取随机抽取方式确定的评标专家难以保证胜任评标工作的特殊招标项目，招标人可以直接确定相应专业领域的评标专家</w:t>
      </w:r>
      <w:r>
        <w:rPr>
          <w:rFonts w:hint="eastAsia" w:ascii="宋体" w:hAnsi="宋体" w:cs="宋体"/>
          <w:color w:val="auto"/>
          <w:highlight w:val="none"/>
        </w:rPr>
        <w:t>。</w:t>
      </w:r>
    </w:p>
  </w:footnote>
  <w:footnote w:id="50">
    <w:p w14:paraId="3D95D1D1">
      <w:pPr>
        <w:pStyle w:val="37"/>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招标人可选择电子形式、书面形式中的一种或两种发出中标通知书及中标结果通知。</w:t>
      </w:r>
    </w:p>
  </w:footnote>
  <w:footnote w:id="51">
    <w:p w14:paraId="30ACF130">
      <w:pPr>
        <w:pStyle w:val="37"/>
        <w:ind w:left="360" w:hanging="360" w:hangingChars="20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招标人不得强制限定履约保证金必须采用现金或支票方式缴纳，不得拒绝银行保函形式的履约保证金。投标人可选择其中之一的方式提交其履约保证金。</w:t>
      </w:r>
    </w:p>
  </w:footnote>
  <w:footnote w:id="52">
    <w:p w14:paraId="3FAFC1B8">
      <w:pPr>
        <w:pStyle w:val="37"/>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履约保证金一般为签约合同价的10%。</w:t>
      </w:r>
    </w:p>
  </w:footnote>
  <w:footnote w:id="53">
    <w:p w14:paraId="3F8A4179">
      <w:pPr>
        <w:pStyle w:val="37"/>
        <w:rPr>
          <w:rFonts w:hint="eastAsia" w:ascii="宋体" w:hAnsi="宋体" w:cs="宋体"/>
        </w:rPr>
      </w:pPr>
      <w:r>
        <w:rPr>
          <w:rStyle w:val="58"/>
          <w:rFonts w:hint="eastAsia" w:ascii="宋体" w:hAnsi="宋体" w:cs="宋体"/>
          <w:vertAlign w:val="baseline"/>
        </w:rPr>
        <w:footnoteRef/>
      </w:r>
      <w:r>
        <w:rPr>
          <w:rFonts w:hint="eastAsia" w:ascii="宋体" w:hAnsi="宋体" w:cs="宋体"/>
        </w:rPr>
        <w:t xml:space="preserve"> </w:t>
      </w:r>
      <w:r>
        <w:rPr>
          <w:rFonts w:hint="eastAsia" w:ascii="宋体" w:hAnsi="宋体" w:cs="宋体"/>
          <w:lang w:val="en-US" w:eastAsia="zh-CN"/>
        </w:rPr>
        <w:t xml:space="preserve"> </w:t>
      </w:r>
      <w:r>
        <w:rPr>
          <w:rFonts w:hint="eastAsia"/>
        </w:rPr>
        <w:t>当报价方式采用</w:t>
      </w:r>
      <w:r>
        <w:rPr>
          <w:rFonts w:hint="eastAsia"/>
          <w:lang w:val="en-US" w:eastAsia="zh-CN"/>
        </w:rPr>
        <w:t>单价或</w:t>
      </w:r>
      <w:r>
        <w:rPr>
          <w:rFonts w:hint="eastAsia"/>
        </w:rPr>
        <w:t>总价以外的其他情形时，在此约定具体</w:t>
      </w:r>
      <w:r>
        <w:rPr>
          <w:rFonts w:hint="eastAsia"/>
          <w:lang w:val="en-US" w:eastAsia="zh-CN"/>
        </w:rPr>
        <w:t>签约合同价</w:t>
      </w:r>
      <w:r>
        <w:rPr>
          <w:rFonts w:hint="eastAsia" w:ascii="宋体" w:hAnsi="宋体" w:cs="宋体"/>
        </w:rPr>
        <w:t>。</w:t>
      </w:r>
    </w:p>
  </w:footnote>
  <w:footnote w:id="54">
    <w:p w14:paraId="1D6571ED">
      <w:pPr>
        <w:pStyle w:val="37"/>
        <w:rPr>
          <w:rFonts w:hint="eastAsia" w:ascii="宋体" w:hAnsi="宋体" w:cs="宋体"/>
        </w:rPr>
      </w:pPr>
      <w:r>
        <w:rPr>
          <w:rStyle w:val="58"/>
          <w:rFonts w:hint="eastAsia" w:ascii="宋体" w:hAnsi="宋体" w:cs="宋体"/>
          <w:vertAlign w:val="baseline"/>
        </w:rPr>
        <w:footnoteRef/>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当报价方式采用</w:t>
      </w:r>
      <w:r>
        <w:rPr>
          <w:rFonts w:hint="eastAsia" w:ascii="宋体" w:hAnsi="宋体" w:cs="宋体"/>
          <w:lang w:val="en-US" w:eastAsia="zh-CN"/>
        </w:rPr>
        <w:t>单价或</w:t>
      </w:r>
      <w:r>
        <w:rPr>
          <w:rFonts w:hint="eastAsia" w:ascii="宋体" w:hAnsi="宋体" w:cs="宋体"/>
        </w:rPr>
        <w:t>总价以外的其他情形时，在此约定具体</w:t>
      </w:r>
      <w:r>
        <w:rPr>
          <w:rFonts w:hint="eastAsia" w:ascii="宋体" w:hAnsi="宋体" w:cs="宋体"/>
          <w:lang w:val="en-US" w:eastAsia="zh-CN"/>
        </w:rPr>
        <w:t>修正原则</w:t>
      </w:r>
      <w:r>
        <w:rPr>
          <w:rFonts w:hint="eastAsia" w:ascii="宋体" w:hAnsi="宋体" w:cs="宋体"/>
        </w:rPr>
        <w:t>内容。</w:t>
      </w:r>
    </w:p>
  </w:footnote>
  <w:footnote w:id="55">
    <w:p w14:paraId="6311B471">
      <w:pPr>
        <w:pStyle w:val="37"/>
        <w:rPr>
          <w:rFonts w:hint="eastAsia" w:ascii="宋体" w:hAnsi="宋体" w:eastAsia="宋体" w:cs="宋体"/>
          <w:color w:val="auto"/>
          <w:sz w:val="18"/>
          <w:szCs w:val="18"/>
          <w:highlight w:val="none"/>
        </w:rPr>
      </w:pPr>
      <w:r>
        <w:rPr>
          <w:rStyle w:val="58"/>
          <w:rFonts w:hint="eastAsia" w:ascii="宋体" w:hAnsi="宋体" w:eastAsia="宋体" w:cs="宋体"/>
          <w:color w:val="auto"/>
          <w:sz w:val="18"/>
          <w:szCs w:val="18"/>
          <w:highlight w:val="none"/>
          <w:vertAlign w:val="baseline"/>
        </w:rPr>
        <w:footnoteRef/>
      </w:r>
      <w:r>
        <w:rPr>
          <w:rFonts w:hint="eastAsia" w:ascii="宋体" w:hAnsi="宋体" w:cs="宋体"/>
          <w:lang w:val="en-US" w:eastAsia="zh-CN"/>
        </w:rPr>
        <w:t xml:space="preserve"> </w:t>
      </w:r>
      <w:r>
        <w:rPr>
          <w:rFonts w:hint="eastAsia" w:ascii="宋体" w:hAnsi="宋体" w:eastAsia="宋体" w:cs="宋体"/>
          <w:color w:val="auto"/>
          <w:sz w:val="18"/>
          <w:szCs w:val="18"/>
          <w:highlight w:val="none"/>
        </w:rPr>
        <w:t xml:space="preserve"> 招标人可根据项目具体情况，选择是否采用暗标方式进行技术建议书评审。</w:t>
      </w:r>
    </w:p>
  </w:footnote>
  <w:footnote w:id="56">
    <w:p w14:paraId="67350923">
      <w:pPr>
        <w:pStyle w:val="37"/>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具体资质要求由招标人在满足国家相关法律法规前提下，根据招标项目具体特点和实际情况确定。</w:t>
      </w:r>
    </w:p>
  </w:footnote>
  <w:footnote w:id="57">
    <w:p w14:paraId="437D3261">
      <w:pPr>
        <w:pStyle w:val="37"/>
        <w:ind w:left="360" w:hanging="360" w:hangingChars="200"/>
        <w:jc w:val="both"/>
        <w:rPr>
          <w:rStyle w:val="58"/>
          <w:rFonts w:hint="eastAsia" w:ascii="宋体" w:hAnsi="宋体" w:eastAsia="宋体" w:cs="宋体"/>
          <w:color w:val="auto"/>
          <w:highlight w:val="none"/>
          <w:vertAlign w:val="baseline"/>
        </w:rPr>
      </w:pPr>
      <w:r>
        <w:rPr>
          <w:rStyle w:val="58"/>
          <w:rFonts w:hint="eastAsia" w:ascii="宋体" w:hAnsi="宋体" w:eastAsia="宋体" w:cs="宋体"/>
          <w:color w:val="auto"/>
          <w:highlight w:val="none"/>
          <w:vertAlign w:val="baseline"/>
        </w:rPr>
        <w:footnoteRef/>
      </w:r>
      <w:r>
        <w:rPr>
          <w:rStyle w:val="58"/>
          <w:rFonts w:hint="eastAsia" w:ascii="宋体" w:hAnsi="宋体" w:eastAsia="宋体" w:cs="宋体"/>
          <w:color w:val="auto"/>
          <w:highlight w:val="none"/>
          <w:vertAlign w:val="baseline"/>
        </w:rPr>
        <w:t xml:space="preserve"> </w:t>
      </w:r>
      <w:r>
        <w:rPr>
          <w:rFonts w:hint="eastAsia" w:ascii="宋体" w:hAnsi="宋体" w:cs="宋体"/>
          <w:color w:val="auto"/>
          <w:highlight w:val="none"/>
          <w:vertAlign w:val="baseline"/>
          <w:lang w:val="en-US" w:eastAsia="zh-CN"/>
        </w:rPr>
        <w:t xml:space="preserve"> </w:t>
      </w:r>
      <w:r>
        <w:rPr>
          <w:rStyle w:val="58"/>
          <w:rFonts w:hint="eastAsia" w:ascii="宋体" w:hAnsi="宋体" w:eastAsia="宋体" w:cs="宋体"/>
          <w:color w:val="auto"/>
          <w:highlight w:val="none"/>
          <w:vertAlign w:val="baseline"/>
        </w:rPr>
        <w:t>如招标范围包括房建等工程时，可以考虑增加相应资质要求</w:t>
      </w:r>
      <w:r>
        <w:rPr>
          <w:rFonts w:hint="eastAsia" w:ascii="宋体" w:hAnsi="宋体" w:cs="宋体"/>
          <w:color w:val="auto"/>
          <w:highlight w:val="none"/>
          <w:vertAlign w:val="baseline"/>
          <w:lang w:eastAsia="zh-CN"/>
        </w:rPr>
        <w:t>，</w:t>
      </w:r>
      <w:r>
        <w:rPr>
          <w:rFonts w:hint="eastAsia" w:ascii="宋体" w:hAnsi="宋体" w:cs="宋体"/>
          <w:color w:val="auto"/>
          <w:highlight w:val="none"/>
          <w:vertAlign w:val="baseline"/>
          <w:lang w:val="en-US" w:eastAsia="zh-CN"/>
        </w:rPr>
        <w:t>但均须</w:t>
      </w:r>
      <w:r>
        <w:rPr>
          <w:rFonts w:hint="eastAsia" w:ascii="宋体" w:hAnsi="宋体" w:eastAsia="宋体" w:cs="宋体"/>
          <w:color w:val="auto"/>
          <w:highlight w:val="none"/>
        </w:rPr>
        <w:t>满足国家相关法律法规</w:t>
      </w:r>
      <w:r>
        <w:rPr>
          <w:rFonts w:hint="eastAsia" w:ascii="宋体" w:hAnsi="宋体" w:cs="宋体"/>
          <w:color w:val="auto"/>
          <w:highlight w:val="none"/>
          <w:lang w:val="en-US" w:eastAsia="zh-CN"/>
        </w:rPr>
        <w:t>并符合</w:t>
      </w:r>
      <w:r>
        <w:rPr>
          <w:rFonts w:hint="eastAsia" w:ascii="宋体" w:hAnsi="宋体" w:eastAsia="宋体" w:cs="宋体"/>
          <w:color w:val="auto"/>
          <w:highlight w:val="none"/>
        </w:rPr>
        <w:t>招标项目具体特点和实际情况</w:t>
      </w:r>
      <w:r>
        <w:rPr>
          <w:rStyle w:val="58"/>
          <w:rFonts w:hint="eastAsia" w:ascii="宋体" w:hAnsi="宋体" w:eastAsia="宋体" w:cs="宋体"/>
          <w:color w:val="auto"/>
          <w:highlight w:val="none"/>
          <w:vertAlign w:val="baseline"/>
        </w:rPr>
        <w:t>。</w:t>
      </w:r>
    </w:p>
  </w:footnote>
  <w:footnote w:id="58">
    <w:p w14:paraId="50244CD6">
      <w:pPr>
        <w:pStyle w:val="37"/>
        <w:ind w:left="360" w:hanging="360" w:hangingChars="20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cs="宋体"/>
          <w:color w:val="auto"/>
          <w:highlight w:val="none"/>
          <w:lang w:val="en-US" w:eastAsia="zh-CN"/>
        </w:rPr>
        <w:t xml:space="preserve"> </w:t>
      </w:r>
      <w:r>
        <w:rPr>
          <w:rFonts w:hint="eastAsia" w:ascii="宋体" w:hAnsi="宋体" w:eastAsia="宋体" w:cs="宋体"/>
          <w:color w:val="auto"/>
          <w:sz w:val="18"/>
          <w:szCs w:val="18"/>
          <w:highlight w:val="none"/>
        </w:rPr>
        <w:t xml:space="preserve"> 具体业绩要求由招标人在满足国家相关法律法规前提下，根据招标项目具体特点和实际情况确定，但不得设置过高的业绩条件。</w:t>
      </w:r>
      <w:r>
        <w:rPr>
          <w:rFonts w:hint="eastAsia" w:ascii="宋体" w:hAnsi="宋体" w:cs="宋体"/>
          <w:color w:val="auto"/>
          <w:sz w:val="18"/>
          <w:szCs w:val="18"/>
          <w:highlight w:val="none"/>
          <w:lang w:val="en-US" w:eastAsia="zh-CN"/>
        </w:rPr>
        <w:t>企业资质级别已是最低资质等级的，不宜设置业绩要求。</w:t>
      </w:r>
    </w:p>
  </w:footnote>
  <w:footnote w:id="59">
    <w:p w14:paraId="74E46D25">
      <w:pPr>
        <w:pStyle w:val="37"/>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 xml:space="preserve"> 招标人在编制招标文件时，根据项目实际情况设置并填入具体数值。</w:t>
      </w:r>
    </w:p>
  </w:footnote>
  <w:footnote w:id="60">
    <w:p w14:paraId="6894989A">
      <w:pPr>
        <w:pStyle w:val="37"/>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路基土建工程指须至少包含“路基</w:t>
      </w:r>
      <w:r>
        <w:rPr>
          <w:rFonts w:hint="eastAsia" w:ascii="宋体" w:hAnsi="宋体" w:cs="宋体"/>
          <w:color w:val="auto"/>
          <w:sz w:val="18"/>
          <w:szCs w:val="18"/>
          <w:highlight w:val="none"/>
          <w:lang w:val="en-US" w:eastAsia="zh-CN"/>
        </w:rPr>
        <w:t>工程</w:t>
      </w:r>
      <w:r>
        <w:rPr>
          <w:rFonts w:hint="eastAsia" w:ascii="宋体" w:hAnsi="宋体" w:cs="宋体"/>
          <w:color w:val="auto"/>
          <w:sz w:val="18"/>
          <w:szCs w:val="18"/>
          <w:highlight w:val="none"/>
          <w:lang w:eastAsia="zh-CN"/>
        </w:rPr>
        <w:t>”</w:t>
      </w:r>
      <w:r>
        <w:rPr>
          <w:rFonts w:hint="eastAsia" w:ascii="宋体" w:hAnsi="宋体" w:eastAsia="宋体" w:cs="宋体"/>
          <w:color w:val="auto"/>
          <w:sz w:val="18"/>
          <w:szCs w:val="18"/>
          <w:highlight w:val="none"/>
        </w:rPr>
        <w:t>的项目。</w:t>
      </w:r>
    </w:p>
  </w:footnote>
  <w:footnote w:id="61">
    <w:p w14:paraId="02027916">
      <w:pPr>
        <w:pStyle w:val="37"/>
        <w:ind w:left="360" w:hanging="360" w:hangingChars="200"/>
        <w:jc w:val="both"/>
        <w:rPr>
          <w:rFonts w:hint="eastAsia" w:ascii="宋体" w:hAnsi="宋体" w:cs="宋体"/>
          <w:color w:val="auto"/>
          <w:highlight w:val="none"/>
        </w:rPr>
      </w:pPr>
      <w:r>
        <w:rPr>
          <w:rStyle w:val="58"/>
          <w:rFonts w:hint="eastAsia" w:ascii="宋体" w:hAnsi="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根据招标项目具体特点和实际情况，招标人可以对路基土建、路面工程以外的其他类型监理试验室业绩提出要求，但不得设置过高的要求。</w:t>
      </w:r>
    </w:p>
  </w:footnote>
  <w:footnote w:id="62">
    <w:p w14:paraId="694CFA03">
      <w:pPr>
        <w:pStyle w:val="37"/>
        <w:ind w:left="360" w:hanging="360" w:hangingChars="200"/>
        <w:jc w:val="both"/>
        <w:rPr>
          <w:rFonts w:hint="eastAsia" w:ascii="宋体" w:hAnsi="宋体" w:cs="宋体"/>
          <w:color w:val="auto"/>
          <w:highlight w:val="none"/>
        </w:rPr>
      </w:pPr>
      <w:r>
        <w:rPr>
          <w:rStyle w:val="58"/>
          <w:rFonts w:hint="eastAsia" w:ascii="宋体" w:hAnsi="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本表所列信誉要求中</w:t>
      </w:r>
      <w:r>
        <w:rPr>
          <w:rFonts w:hint="eastAsia" w:ascii="宋体" w:hAnsi="宋体" w:cs="宋体"/>
          <w:color w:val="auto"/>
          <w:highlight w:val="none"/>
          <w:lang w:eastAsia="zh-CN"/>
        </w:rPr>
        <w:t>“</w:t>
      </w:r>
      <w:r>
        <w:rPr>
          <w:rFonts w:hint="eastAsia" w:ascii="宋体" w:hAnsi="宋体" w:cs="宋体"/>
          <w:color w:val="auto"/>
          <w:highlight w:val="none"/>
        </w:rPr>
        <w:t>其他</w:t>
      </w:r>
      <w:r>
        <w:rPr>
          <w:rFonts w:hint="eastAsia" w:ascii="宋体" w:hAnsi="宋体" w:cs="宋体"/>
          <w:color w:val="auto"/>
          <w:highlight w:val="none"/>
          <w:lang w:eastAsia="zh-CN"/>
        </w:rPr>
        <w:t>”</w:t>
      </w:r>
      <w:r>
        <w:rPr>
          <w:rFonts w:hint="eastAsia" w:ascii="宋体" w:hAnsi="宋体" w:cs="宋体"/>
          <w:color w:val="auto"/>
          <w:highlight w:val="none"/>
        </w:rPr>
        <w:t>栏由招标人根据项目情况自行选择并填写，在满足国家相关法律法规前提下，根据</w:t>
      </w:r>
      <w:bookmarkStart w:id="808" w:name="_Hlk98868220"/>
      <w:r>
        <w:rPr>
          <w:rFonts w:hint="eastAsia" w:ascii="宋体" w:hAnsi="宋体" w:cs="宋体"/>
          <w:color w:val="auto"/>
          <w:highlight w:val="none"/>
        </w:rPr>
        <w:t>招标项目具体特点和实际情况</w:t>
      </w:r>
      <w:bookmarkEnd w:id="808"/>
      <w:r>
        <w:rPr>
          <w:rFonts w:hint="eastAsia" w:ascii="宋体" w:hAnsi="宋体" w:cs="宋体"/>
          <w:color w:val="auto"/>
          <w:highlight w:val="none"/>
        </w:rPr>
        <w:t>确定，但不得设置过高的信誉条件。</w:t>
      </w:r>
    </w:p>
  </w:footnote>
  <w:footnote w:id="63">
    <w:p w14:paraId="5B351484">
      <w:pPr>
        <w:pStyle w:val="37"/>
        <w:snapToGrid w:val="0"/>
        <w:ind w:left="360" w:hanging="360" w:hangingChars="200"/>
        <w:rPr>
          <w:rFonts w:hint="eastAsia" w:ascii="宋体" w:hAnsi="宋体" w:eastAsia="宋体" w:cs="宋体"/>
          <w:color w:val="auto"/>
          <w:highlight w:val="none"/>
          <w:lang w:val="en-US" w:eastAsia="zh-CN"/>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vertAlign w:val="baseline"/>
        </w:rPr>
        <w:t xml:space="preserve"> </w:t>
      </w:r>
      <w:r>
        <w:rPr>
          <w:rFonts w:hint="eastAsia" w:ascii="宋体" w:hAnsi="宋体" w:cs="宋体"/>
          <w:color w:val="auto"/>
          <w:highlight w:val="none"/>
          <w:vertAlign w:val="baseline"/>
          <w:lang w:val="en-US" w:eastAsia="zh-CN"/>
        </w:rPr>
        <w:t xml:space="preserve"> </w:t>
      </w:r>
      <w:r>
        <w:rPr>
          <w:rFonts w:hint="eastAsia" w:ascii="宋体" w:hAnsi="宋体" w:eastAsia="宋体" w:cs="宋体"/>
          <w:color w:val="auto"/>
          <w:highlight w:val="none"/>
        </w:rPr>
        <w:t>该选择项为单选或多选，多选时由招标人根据</w:t>
      </w: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实际需要设定选择项之间</w:t>
      </w:r>
      <w:r>
        <w:rPr>
          <w:rFonts w:hint="eastAsia" w:ascii="宋体" w:hAnsi="宋体" w:eastAsia="宋体" w:cs="宋体"/>
          <w:color w:val="auto"/>
          <w:highlight w:val="none"/>
          <w:lang w:val="en-US" w:eastAsia="zh-CN"/>
        </w:rPr>
        <w:t>是否为</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”的关系。</w:t>
      </w:r>
    </w:p>
  </w:footnote>
  <w:footnote w:id="64">
    <w:p w14:paraId="03488470">
      <w:pPr>
        <w:pStyle w:val="37"/>
        <w:jc w:val="both"/>
        <w:rPr>
          <w:rFonts w:hint="eastAsia" w:ascii="宋体" w:hAnsi="宋体" w:cs="宋体"/>
          <w:color w:val="auto"/>
          <w:highlight w:val="none"/>
        </w:rPr>
      </w:pPr>
      <w:r>
        <w:rPr>
          <w:rStyle w:val="58"/>
          <w:rFonts w:hint="eastAsia" w:ascii="宋体" w:hAnsi="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主要人员被列入资格审查条件时，相应的人员也须对该项信誉条件进行资格审查。</w:t>
      </w:r>
    </w:p>
  </w:footnote>
  <w:footnote w:id="65">
    <w:p w14:paraId="2677BECD">
      <w:pPr>
        <w:pStyle w:val="37"/>
        <w:ind w:left="360" w:hanging="360" w:hangingChars="20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对主要人员</w:t>
      </w:r>
      <w:r>
        <w:rPr>
          <w:rFonts w:hint="eastAsia" w:ascii="宋体" w:hAnsi="宋体"/>
          <w:color w:val="auto"/>
          <w:sz w:val="18"/>
          <w:szCs w:val="18"/>
        </w:rPr>
        <w:t>[</w:t>
      </w:r>
      <w:r>
        <w:rPr>
          <w:rFonts w:hint="eastAsia" w:ascii="宋体" w:hAnsi="宋体" w:eastAsia="宋体" w:cs="宋体"/>
          <w:color w:val="auto"/>
          <w:sz w:val="18"/>
          <w:szCs w:val="18"/>
          <w:highlight w:val="none"/>
        </w:rPr>
        <w:t>指试验室主任、技术负责人（如有）</w:t>
      </w:r>
      <w:r>
        <w:rPr>
          <w:rFonts w:hint="eastAsia" w:ascii="宋体" w:hAnsi="宋体"/>
          <w:color w:val="auto"/>
          <w:sz w:val="18"/>
          <w:szCs w:val="18"/>
        </w:rPr>
        <w:t>]</w:t>
      </w:r>
      <w:r>
        <w:rPr>
          <w:rFonts w:hint="eastAsia" w:ascii="宋体" w:hAnsi="宋体" w:eastAsia="宋体" w:cs="宋体"/>
          <w:color w:val="auto"/>
          <w:sz w:val="18"/>
          <w:szCs w:val="18"/>
          <w:highlight w:val="none"/>
        </w:rPr>
        <w:t>的最低要求由招标人在满足国家相关法律、法规前提下，根据招标项目具体特点和实际情况确定。</w:t>
      </w:r>
    </w:p>
  </w:footnote>
  <w:footnote w:id="66">
    <w:p w14:paraId="0E9D0126">
      <w:pPr>
        <w:pStyle w:val="37"/>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如试验室主任仍在其他项目上任职，则投标人在投标函中应承诺上述人员能够从该项目撤离。</w:t>
      </w:r>
    </w:p>
  </w:footnote>
  <w:footnote w:id="67">
    <w:p w14:paraId="1A15121F">
      <w:pPr>
        <w:pStyle w:val="37"/>
        <w:rPr>
          <w:rFonts w:hint="eastAsia" w:ascii="宋体" w:hAnsi="宋体" w:cs="宋体"/>
          <w:color w:val="auto"/>
          <w:highlight w:val="none"/>
        </w:rPr>
      </w:pPr>
      <w:r>
        <w:rPr>
          <w:rStyle w:val="58"/>
          <w:rFonts w:hint="eastAsia" w:ascii="宋体" w:hAnsi="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本项为单选项。</w:t>
      </w:r>
    </w:p>
  </w:footnote>
  <w:footnote w:id="68">
    <w:p w14:paraId="7D9690ED">
      <w:pPr>
        <w:pStyle w:val="37"/>
        <w:ind w:left="360" w:hanging="360" w:hangingChars="20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指取得交通运输相关部门颁发的公路水运工程试验检测工程师证书的从业人员，资格证书可为公路工程试验检测工程师或（公路）检师或公路水运工程试验检测师或新的管理办法下颁发的同类型资格证书。</w:t>
      </w:r>
    </w:p>
  </w:footnote>
  <w:footnote w:id="69">
    <w:p w14:paraId="3A04E7DA">
      <w:pPr>
        <w:pStyle w:val="37"/>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招标人在编制招标文件时，根据项目实际情况设置并填写具体数值。</w:t>
      </w:r>
    </w:p>
  </w:footnote>
  <w:footnote w:id="70">
    <w:p w14:paraId="42D02DF0">
      <w:pPr>
        <w:pStyle w:val="37"/>
        <w:rPr>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color w:val="auto"/>
          <w:highlight w:val="none"/>
          <w:lang w:val="en-US" w:eastAsia="zh-CN"/>
        </w:rPr>
        <w:t xml:space="preserve"> </w:t>
      </w:r>
      <w:r>
        <w:rPr>
          <w:rFonts w:hint="eastAsia"/>
          <w:color w:val="auto"/>
          <w:highlight w:val="none"/>
        </w:rPr>
        <w:t>路基土建工程指须至少包含“路基</w:t>
      </w:r>
      <w:r>
        <w:rPr>
          <w:rFonts w:hint="eastAsia"/>
          <w:color w:val="auto"/>
          <w:highlight w:val="none"/>
          <w:lang w:val="en-US" w:eastAsia="zh-CN"/>
        </w:rPr>
        <w:t>工程</w:t>
      </w:r>
      <w:r>
        <w:rPr>
          <w:rFonts w:hint="eastAsia"/>
          <w:color w:val="auto"/>
          <w:highlight w:val="none"/>
        </w:rPr>
        <w:t>”的项目。</w:t>
      </w:r>
    </w:p>
  </w:footnote>
  <w:footnote w:id="71">
    <w:p w14:paraId="028835F0">
      <w:pPr>
        <w:pStyle w:val="37"/>
        <w:ind w:left="360" w:hanging="360" w:hangingChars="200"/>
        <w:jc w:val="both"/>
        <w:rPr>
          <w:rFonts w:hint="eastAsia" w:ascii="宋体" w:hAnsi="宋体" w:eastAsia="宋体" w:cs="宋体"/>
          <w:color w:val="auto"/>
          <w:highlight w:val="none"/>
          <w:lang w:val="en-US" w:eastAsia="zh-CN"/>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color w:val="auto"/>
          <w:highlight w:val="none"/>
        </w:rPr>
        <w:t>该</w:t>
      </w:r>
      <w:r>
        <w:rPr>
          <w:rFonts w:hint="eastAsia"/>
          <w:color w:val="auto"/>
          <w:highlight w:val="none"/>
          <w:lang w:val="en-US" w:eastAsia="zh-CN"/>
        </w:rPr>
        <w:t>监理试验室项目</w:t>
      </w:r>
      <w:r>
        <w:rPr>
          <w:rFonts w:hint="eastAsia"/>
          <w:color w:val="auto"/>
          <w:highlight w:val="none"/>
        </w:rPr>
        <w:t>可为</w:t>
      </w:r>
      <w:r>
        <w:rPr>
          <w:rFonts w:hint="eastAsia"/>
          <w:color w:val="auto"/>
          <w:highlight w:val="none"/>
          <w:lang w:val="en-US" w:eastAsia="zh-CN"/>
        </w:rPr>
        <w:t>施工监理</w:t>
      </w:r>
      <w:r>
        <w:rPr>
          <w:rFonts w:hint="eastAsia"/>
          <w:color w:val="auto"/>
          <w:highlight w:val="none"/>
        </w:rPr>
        <w:t>中包含的项目或者单独合同的项目</w:t>
      </w:r>
      <w:r>
        <w:rPr>
          <w:rFonts w:hint="eastAsia" w:ascii="宋体" w:hAnsi="宋体"/>
          <w:color w:val="auto"/>
          <w:highlight w:val="none"/>
        </w:rPr>
        <w:t>。</w:t>
      </w:r>
      <w:r>
        <w:rPr>
          <w:rFonts w:hint="eastAsia" w:ascii="宋体" w:hAnsi="宋体"/>
          <w:color w:val="auto"/>
          <w:highlight w:val="none"/>
          <w:lang w:val="en-US" w:eastAsia="zh-CN"/>
        </w:rPr>
        <w:t>下同。</w:t>
      </w:r>
    </w:p>
  </w:footnote>
  <w:footnote w:id="72">
    <w:p w14:paraId="046FC85F">
      <w:pPr>
        <w:pStyle w:val="37"/>
        <w:jc w:val="both"/>
        <w:rPr>
          <w:rFonts w:hint="eastAsia" w:ascii="宋体" w:hAnsi="宋体" w:cs="宋体"/>
          <w:color w:val="auto"/>
          <w:highlight w:val="none"/>
        </w:rPr>
      </w:pPr>
      <w:r>
        <w:rPr>
          <w:rStyle w:val="58"/>
          <w:rFonts w:hint="eastAsia" w:ascii="宋体" w:hAnsi="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本表该选择项由招标人对主要人员业绩经验担任的相应职务进行要求，可为单选或多选</w:t>
      </w:r>
      <w:r>
        <w:rPr>
          <w:rFonts w:hint="eastAsia" w:ascii="宋体" w:hAnsi="宋体" w:cs="宋体"/>
          <w:color w:val="auto"/>
          <w:highlight w:val="none"/>
          <w:lang w:eastAsia="zh-CN"/>
        </w:rPr>
        <w:t>。</w:t>
      </w:r>
      <w:r>
        <w:rPr>
          <w:rFonts w:hint="eastAsia" w:ascii="宋体" w:hAnsi="宋体" w:cs="宋体"/>
          <w:color w:val="auto"/>
          <w:highlight w:val="none"/>
        </w:rPr>
        <w:t>下同。</w:t>
      </w:r>
    </w:p>
  </w:footnote>
  <w:footnote w:id="73">
    <w:p w14:paraId="277278EF">
      <w:pPr>
        <w:pStyle w:val="37"/>
        <w:ind w:left="360" w:hanging="360" w:hangingChars="200"/>
        <w:jc w:val="both"/>
        <w:rPr>
          <w:rFonts w:ascii="宋体" w:hAnsi="宋体"/>
          <w:color w:val="auto"/>
          <w:highlight w:val="none"/>
        </w:rPr>
      </w:pPr>
      <w:r>
        <w:rPr>
          <w:rStyle w:val="58"/>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根据招标项目具体特点和实际情况，招标人</w:t>
      </w:r>
      <w:r>
        <w:rPr>
          <w:rFonts w:hint="eastAsia" w:ascii="宋体" w:hAnsi="宋体"/>
          <w:color w:val="auto"/>
        </w:rPr>
        <w:t>在满足国家相关法律法规前提下</w:t>
      </w:r>
      <w:r>
        <w:rPr>
          <w:rFonts w:hint="eastAsia" w:ascii="宋体" w:hAnsi="宋体"/>
          <w:color w:val="auto"/>
          <w:highlight w:val="none"/>
        </w:rPr>
        <w:t>可对主要人员提出其他业绩类型经验要求，但不得设置过高的要求。</w:t>
      </w:r>
    </w:p>
  </w:footnote>
  <w:footnote w:id="74">
    <w:p w14:paraId="7D48C031">
      <w:pPr>
        <w:pStyle w:val="37"/>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如技术负责人仍在其他项目上任职，则投标人在投标函中应承诺上述人员能够从该项目撤离。</w:t>
      </w:r>
    </w:p>
  </w:footnote>
  <w:footnote w:id="75">
    <w:p w14:paraId="40074CB8">
      <w:pPr>
        <w:pStyle w:val="37"/>
        <w:rPr>
          <w:rFonts w:hint="eastAsia" w:ascii="宋体" w:hAnsi="宋体" w:cs="宋体"/>
          <w:color w:val="auto"/>
          <w:highlight w:val="none"/>
        </w:rPr>
      </w:pPr>
      <w:r>
        <w:rPr>
          <w:rStyle w:val="58"/>
          <w:rFonts w:hint="eastAsia" w:ascii="宋体" w:hAnsi="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本项为单选项。</w:t>
      </w:r>
    </w:p>
  </w:footnote>
  <w:footnote w:id="76">
    <w:p w14:paraId="4540E9AB">
      <w:pPr>
        <w:pStyle w:val="37"/>
        <w:ind w:left="360" w:hanging="360" w:hanging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指取得交通运输相关部门颁发的公路水运工程试验检测工程师证书的从业人员，资格证书可为公路工程试验检测工程师或（公路）检师或公路水运工程试验检测师或新的管理办法下颁发的同类型资格证书。</w:t>
      </w:r>
    </w:p>
  </w:footnote>
  <w:footnote w:id="77">
    <w:p w14:paraId="3C1EF78D">
      <w:pPr>
        <w:pStyle w:val="37"/>
        <w:rPr>
          <w:color w:val="auto"/>
          <w:highlight w:val="none"/>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color w:val="auto"/>
          <w:highlight w:val="none"/>
          <w:lang w:val="en-US" w:eastAsia="zh-CN"/>
        </w:rPr>
        <w:t xml:space="preserve"> </w:t>
      </w:r>
      <w:r>
        <w:rPr>
          <w:rFonts w:hint="eastAsia"/>
          <w:color w:val="auto"/>
          <w:highlight w:val="none"/>
        </w:rPr>
        <w:t>路基土建工程指须至少包含“路基</w:t>
      </w:r>
      <w:r>
        <w:rPr>
          <w:rFonts w:hint="eastAsia"/>
          <w:color w:val="auto"/>
          <w:highlight w:val="none"/>
          <w:lang w:val="en-US" w:eastAsia="zh-CN"/>
        </w:rPr>
        <w:t>工程</w:t>
      </w:r>
      <w:r>
        <w:rPr>
          <w:rFonts w:hint="eastAsia"/>
          <w:color w:val="auto"/>
          <w:highlight w:val="none"/>
        </w:rPr>
        <w:t>”的项目。</w:t>
      </w:r>
    </w:p>
  </w:footnote>
  <w:footnote w:id="78">
    <w:p w14:paraId="3880BF73">
      <w:pPr>
        <w:pStyle w:val="37"/>
        <w:ind w:left="360" w:hanging="360" w:hangingChars="200"/>
        <w:jc w:val="both"/>
        <w:rPr>
          <w:rFonts w:hint="eastAsia" w:ascii="宋体" w:hAnsi="宋体" w:eastAsia="宋体" w:cs="宋体"/>
          <w:color w:val="auto"/>
          <w:highlight w:val="none"/>
          <w:lang w:val="en-US" w:eastAsia="zh-CN"/>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color w:val="auto"/>
          <w:highlight w:val="none"/>
        </w:rPr>
        <w:t>该</w:t>
      </w:r>
      <w:r>
        <w:rPr>
          <w:rFonts w:hint="eastAsia"/>
          <w:color w:val="auto"/>
          <w:highlight w:val="none"/>
          <w:lang w:val="en-US" w:eastAsia="zh-CN"/>
        </w:rPr>
        <w:t>监理试验室项目</w:t>
      </w:r>
      <w:r>
        <w:rPr>
          <w:rFonts w:hint="eastAsia"/>
          <w:color w:val="auto"/>
          <w:highlight w:val="none"/>
        </w:rPr>
        <w:t>可为</w:t>
      </w:r>
      <w:r>
        <w:rPr>
          <w:rFonts w:hint="eastAsia"/>
          <w:color w:val="auto"/>
          <w:highlight w:val="none"/>
          <w:lang w:val="en-US" w:eastAsia="zh-CN"/>
        </w:rPr>
        <w:t>施工监理</w:t>
      </w:r>
      <w:r>
        <w:rPr>
          <w:rFonts w:hint="eastAsia"/>
          <w:color w:val="auto"/>
          <w:highlight w:val="none"/>
        </w:rPr>
        <w:t>中包含的项目或者单独合同的项目</w:t>
      </w:r>
      <w:r>
        <w:rPr>
          <w:rFonts w:hint="eastAsia" w:ascii="宋体" w:hAnsi="宋体"/>
          <w:color w:val="auto"/>
          <w:highlight w:val="none"/>
        </w:rPr>
        <w:t>。</w:t>
      </w:r>
      <w:r>
        <w:rPr>
          <w:rFonts w:hint="eastAsia" w:ascii="宋体" w:hAnsi="宋体"/>
          <w:color w:val="auto"/>
          <w:highlight w:val="none"/>
          <w:lang w:val="en-US" w:eastAsia="zh-CN"/>
        </w:rPr>
        <w:t>下同。</w:t>
      </w:r>
    </w:p>
  </w:footnote>
  <w:footnote w:id="79">
    <w:p w14:paraId="1CCABFC7">
      <w:pPr>
        <w:pStyle w:val="37"/>
        <w:jc w:val="both"/>
        <w:rPr>
          <w:rFonts w:hint="eastAsia" w:ascii="宋体" w:hAnsi="宋体" w:cs="宋体"/>
          <w:color w:val="auto"/>
          <w:highlight w:val="none"/>
        </w:rPr>
      </w:pPr>
      <w:r>
        <w:rPr>
          <w:rStyle w:val="58"/>
          <w:rFonts w:hint="eastAsia" w:ascii="宋体" w:hAnsi="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本表该选择项由招标人对主要人员业绩经验担任的相应职务进行要求，可为单选或多选</w:t>
      </w:r>
      <w:r>
        <w:rPr>
          <w:rFonts w:hint="eastAsia" w:ascii="宋体" w:hAnsi="宋体" w:cs="宋体"/>
          <w:color w:val="auto"/>
          <w:highlight w:val="none"/>
          <w:lang w:eastAsia="zh-CN"/>
        </w:rPr>
        <w:t>。</w:t>
      </w:r>
      <w:r>
        <w:rPr>
          <w:rFonts w:hint="eastAsia" w:ascii="宋体" w:hAnsi="宋体" w:cs="宋体"/>
          <w:color w:val="auto"/>
          <w:highlight w:val="none"/>
        </w:rPr>
        <w:t>下同。</w:t>
      </w:r>
    </w:p>
  </w:footnote>
  <w:footnote w:id="80">
    <w:p w14:paraId="1F152B89">
      <w:pPr>
        <w:pStyle w:val="37"/>
        <w:ind w:left="360" w:hanging="360" w:hangingChars="200"/>
        <w:jc w:val="both"/>
        <w:rPr>
          <w:rFonts w:ascii="宋体" w:hAnsi="宋体"/>
          <w:color w:val="auto"/>
          <w:highlight w:val="none"/>
        </w:rPr>
      </w:pPr>
      <w:r>
        <w:rPr>
          <w:rStyle w:val="58"/>
          <w:rFonts w:ascii="宋体" w:hAnsi="宋体"/>
          <w:color w:val="auto"/>
          <w:highlight w:val="none"/>
          <w:vertAlign w:val="baseline"/>
        </w:rPr>
        <w:footnoteRef/>
      </w:r>
      <w:r>
        <w:rPr>
          <w:rFonts w:ascii="宋体" w:hAnsi="宋体"/>
          <w:color w:val="auto"/>
          <w:highlight w:val="none"/>
        </w:rPr>
        <w:t xml:space="preserve"> </w:t>
      </w:r>
      <w:r>
        <w:rPr>
          <w:rFonts w:hint="eastAsia" w:ascii="宋体" w:hAnsi="宋体"/>
          <w:color w:val="auto"/>
          <w:highlight w:val="none"/>
          <w:lang w:val="en-US" w:eastAsia="zh-CN"/>
        </w:rPr>
        <w:t xml:space="preserve"> </w:t>
      </w:r>
      <w:r>
        <w:rPr>
          <w:rFonts w:hint="eastAsia" w:ascii="宋体" w:hAnsi="宋体"/>
          <w:color w:val="auto"/>
          <w:highlight w:val="none"/>
        </w:rPr>
        <w:t>根据招标项目具体特点和实际情况，招标人</w:t>
      </w:r>
      <w:r>
        <w:rPr>
          <w:rFonts w:hint="eastAsia" w:ascii="宋体" w:hAnsi="宋体"/>
          <w:color w:val="auto"/>
        </w:rPr>
        <w:t>在满足国家相关法律法规前提下</w:t>
      </w:r>
      <w:r>
        <w:rPr>
          <w:rFonts w:hint="eastAsia" w:ascii="宋体" w:hAnsi="宋体"/>
          <w:color w:val="auto"/>
          <w:highlight w:val="none"/>
        </w:rPr>
        <w:t>可对主要人员提出其他业绩类型经验要求，但不得设置过高的要求。</w:t>
      </w:r>
    </w:p>
  </w:footnote>
  <w:footnote w:id="81">
    <w:p w14:paraId="7EEB6832">
      <w:pPr>
        <w:pStyle w:val="37"/>
        <w:ind w:left="360" w:hanging="360" w:hangingChars="20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对于其他有特殊要求的工程，招标人对拟投入的其他主要人员的岗位、数量及资格条件，或对拟投入本标段试验检测设备提出最低要求。招标人在满足国家相关法律、法规前提下，根据招标项目具体特点和实际情况确定。</w:t>
      </w:r>
    </w:p>
  </w:footnote>
  <w:footnote w:id="82">
    <w:p w14:paraId="0BC567A9">
      <w:pPr>
        <w:pStyle w:val="37"/>
        <w:snapToGrid w:val="0"/>
        <w:rPr>
          <w:rFonts w:hint="eastAsia" w:ascii="宋体" w:hAnsi="宋体" w:eastAsia="宋体" w:cs="宋体"/>
          <w:lang w:val="en-US" w:eastAsia="zh-CN"/>
        </w:rPr>
      </w:pPr>
      <w:r>
        <w:rPr>
          <w:rStyle w:val="58"/>
          <w:rFonts w:hint="eastAsia" w:ascii="宋体" w:hAnsi="宋体" w:eastAsia="宋体" w:cs="宋体"/>
          <w:vertAlign w:val="baseline"/>
        </w:rPr>
        <w:footnoteRef/>
      </w:r>
      <w:r>
        <w:rPr>
          <w:rFonts w:hint="eastAsia" w:ascii="宋体" w:hAnsi="宋体" w:eastAsia="宋体" w:cs="宋体"/>
          <w:vertAlign w:val="baseline"/>
        </w:rPr>
        <w:t xml:space="preserve"> </w:t>
      </w:r>
      <w:r>
        <w:rPr>
          <w:rFonts w:hint="eastAsia" w:ascii="宋体" w:hAnsi="宋体" w:cs="宋体"/>
          <w:vertAlign w:val="baseline"/>
          <w:lang w:val="en-US" w:eastAsia="zh-CN"/>
        </w:rPr>
        <w:t xml:space="preserve"> </w:t>
      </w:r>
      <w:r>
        <w:rPr>
          <w:rFonts w:hint="eastAsia" w:ascii="宋体" w:hAnsi="宋体" w:eastAsia="宋体" w:cs="宋体"/>
          <w:vertAlign w:val="baseline"/>
          <w:lang w:val="en-US" w:eastAsia="zh-CN"/>
        </w:rPr>
        <w:t>一般情况下</w:t>
      </w:r>
      <w:r>
        <w:rPr>
          <w:rFonts w:hint="eastAsia" w:ascii="宋体" w:hAnsi="宋体" w:cs="宋体"/>
          <w:lang w:val="en-US" w:eastAsia="zh-CN"/>
        </w:rPr>
        <w:t>投标报价单位指人民币“元”，有特殊情形的可进行调整。</w:t>
      </w:r>
    </w:p>
  </w:footnote>
  <w:footnote w:id="83">
    <w:p w14:paraId="58918BD0">
      <w:pPr>
        <w:pStyle w:val="37"/>
        <w:snapToGrid w:val="0"/>
        <w:rPr>
          <w:rFonts w:hint="eastAsia" w:ascii="宋体" w:hAnsi="宋体" w:eastAsia="宋体" w:cs="宋体"/>
          <w:lang w:val="en-US" w:eastAsia="zh-CN"/>
        </w:rPr>
      </w:pPr>
      <w:r>
        <w:rPr>
          <w:rStyle w:val="58"/>
          <w:rFonts w:hint="eastAsia" w:ascii="宋体" w:hAnsi="宋体" w:eastAsia="宋体" w:cs="宋体"/>
          <w:vertAlign w:val="baseline"/>
        </w:rPr>
        <w:footnoteRef/>
      </w:r>
      <w:r>
        <w:rPr>
          <w:rFonts w:hint="eastAsia" w:ascii="宋体" w:hAnsi="宋体" w:eastAsia="宋体" w:cs="宋体"/>
          <w:vertAlign w:val="baseline"/>
        </w:rPr>
        <w:t xml:space="preserve"> </w:t>
      </w:r>
      <w:r>
        <w:rPr>
          <w:rFonts w:hint="eastAsia" w:ascii="宋体" w:hAnsi="宋体" w:cs="宋体"/>
          <w:vertAlign w:val="baseline"/>
          <w:lang w:val="en-US" w:eastAsia="zh-CN"/>
        </w:rPr>
        <w:t xml:space="preserve"> </w:t>
      </w:r>
      <w:r>
        <w:rPr>
          <w:rFonts w:hint="eastAsia" w:ascii="宋体" w:hAnsi="宋体" w:eastAsia="宋体" w:cs="宋体"/>
          <w:vertAlign w:val="baseline"/>
          <w:lang w:val="en-US" w:eastAsia="zh-CN"/>
        </w:rPr>
        <w:t>一般情况下</w:t>
      </w:r>
      <w:r>
        <w:rPr>
          <w:rFonts w:hint="eastAsia" w:ascii="宋体" w:hAnsi="宋体" w:cs="宋体"/>
          <w:lang w:val="en-US" w:eastAsia="zh-CN"/>
        </w:rPr>
        <w:t>中标价单位指人民币“元”，有特殊情形的可进行调整。</w:t>
      </w:r>
    </w:p>
  </w:footnote>
  <w:footnote w:id="84">
    <w:p w14:paraId="20654C2E">
      <w:pPr>
        <w:pStyle w:val="37"/>
        <w:rPr>
          <w:rFonts w:hint="eastAsia" w:ascii="宋体" w:hAnsi="宋体" w:eastAsia="宋体" w:cs="宋体"/>
          <w:color w:val="auto"/>
          <w:sz w:val="18"/>
          <w:szCs w:val="18"/>
          <w:highlight w:val="none"/>
        </w:rPr>
      </w:pPr>
      <w:r>
        <w:rPr>
          <w:rStyle w:val="58"/>
          <w:rFonts w:hint="eastAsia" w:ascii="宋体" w:hAnsi="宋体" w:eastAsia="宋体" w:cs="宋体"/>
          <w:color w:val="auto"/>
          <w:sz w:val="18"/>
          <w:szCs w:val="18"/>
          <w:highlight w:val="none"/>
          <w:vertAlign w:val="baseli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此处指只有招标人设置了投标人须知附录5资格审查条件（其他最低要求）时对应的资格评审标准。</w:t>
      </w:r>
    </w:p>
  </w:footnote>
  <w:footnote w:id="85">
    <w:p w14:paraId="4D1D2E17">
      <w:pPr>
        <w:pStyle w:val="37"/>
        <w:rPr>
          <w:rFonts w:hint="eastAsia" w:asciiTheme="minorEastAsia" w:hAnsiTheme="minorEastAsia" w:eastAsiaTheme="minorEastAsia" w:cstheme="minorEastAsia"/>
        </w:rPr>
      </w:pPr>
      <w:r>
        <w:rPr>
          <w:rStyle w:val="58"/>
          <w:rFonts w:hint="eastAsia" w:asciiTheme="minorEastAsia" w:hAnsiTheme="minorEastAsia" w:eastAsiaTheme="minorEastAsia" w:cstheme="minorEastAsia"/>
          <w:vertAlign w:val="baseline"/>
        </w:rPr>
        <w:footnoteRef/>
      </w:r>
      <w:r>
        <w:rPr>
          <w:rFonts w:hint="eastAsia" w:asciiTheme="minorEastAsia" w:hAnsiTheme="minorEastAsia" w:eastAsiaTheme="minorEastAsia" w:cstheme="minorEastAsia"/>
        </w:rPr>
        <w:t xml:space="preserve">  当报价方式采用</w:t>
      </w:r>
      <w:r>
        <w:rPr>
          <w:rFonts w:hint="eastAsia" w:asciiTheme="minorEastAsia" w:hAnsiTheme="minorEastAsia" w:eastAsiaTheme="minorEastAsia" w:cstheme="minorEastAsia"/>
          <w:lang w:val="en-US" w:eastAsia="zh-CN"/>
        </w:rPr>
        <w:t>单价或</w:t>
      </w:r>
      <w:r>
        <w:rPr>
          <w:rFonts w:hint="eastAsia" w:asciiTheme="minorEastAsia" w:hAnsiTheme="minorEastAsia" w:eastAsiaTheme="minorEastAsia" w:cstheme="minorEastAsia"/>
        </w:rPr>
        <w:t>总价以外的其他情形时，投标报价能</w:t>
      </w:r>
      <w:r>
        <w:rPr>
          <w:rFonts w:hint="eastAsia" w:asciiTheme="minorEastAsia" w:hAnsiTheme="minorEastAsia" w:eastAsiaTheme="minorEastAsia" w:cstheme="minorEastAsia"/>
          <w:lang w:val="en-US" w:eastAsia="zh-CN"/>
        </w:rPr>
        <w:t>够</w:t>
      </w:r>
      <w:r>
        <w:rPr>
          <w:rFonts w:hint="eastAsia" w:asciiTheme="minorEastAsia" w:hAnsiTheme="minorEastAsia" w:eastAsiaTheme="minorEastAsia" w:cstheme="minorEastAsia"/>
        </w:rPr>
        <w:t>确定具体数值。</w:t>
      </w:r>
    </w:p>
  </w:footnote>
  <w:footnote w:id="86">
    <w:p w14:paraId="5160DA73">
      <w:pPr>
        <w:pStyle w:val="37"/>
        <w:ind w:left="360" w:hanging="360" w:hangingChars="20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各评分因素权重范围如下：技术建议书25～35分；主要人员25～40分。其他因素包括：技术能力0～5分；业绩10～25分；履约信誉0～5分。</w:t>
      </w:r>
      <w:r>
        <w:rPr>
          <w:rFonts w:hint="eastAsia" w:ascii="宋体" w:hAnsi="宋体" w:eastAsia="宋体" w:cs="宋体"/>
          <w:snapToGrid w:val="0"/>
          <w:color w:val="auto"/>
          <w:kern w:val="0"/>
          <w:highlight w:val="none"/>
          <w:lang w:val="en-US" w:eastAsia="zh-CN"/>
        </w:rPr>
        <w:t>各评分因素权重分值（含评标价）合计应为100分。</w:t>
      </w:r>
    </w:p>
  </w:footnote>
  <w:footnote w:id="87">
    <w:p w14:paraId="7E4E4153">
      <w:pPr>
        <w:pStyle w:val="37"/>
        <w:ind w:left="360" w:hanging="360" w:hangingChars="200"/>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技术能力指投标人的科研开发和技术创新能力，招标人可结合招标项目的具体情况提出相关要求，包括投标人获得的与工程咨询管理（包括勘察设计、监理等工程咨询工作）有关的专利（发明专利或实用新型专利）、国家或省级科学技术进步奖，主编或参编过的国家、行业或地方标准等。根据项目具体情况，若存在有特别复杂的情形或特殊结构，需要增加特殊要求时，可对技术能力设置评分要求，但不得设置过高的条件。</w:t>
      </w:r>
    </w:p>
  </w:footnote>
  <w:footnote w:id="88">
    <w:p w14:paraId="1FA12A9C">
      <w:pPr>
        <w:pStyle w:val="37"/>
        <w:tabs>
          <w:tab w:val="left" w:pos="795"/>
        </w:tabs>
        <w:jc w:val="both"/>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 xml:space="preserve"> 评标价权重分值不宜超过10分。</w:t>
      </w:r>
    </w:p>
  </w:footnote>
  <w:footnote w:id="89">
    <w:p w14:paraId="33D7E882">
      <w:pPr>
        <w:pStyle w:val="37"/>
        <w:snapToGrid w:val="0"/>
        <w:ind w:left="360" w:hanging="360" w:hangingChars="200"/>
        <w:rPr>
          <w:rFonts w:hint="default" w:eastAsia="宋体"/>
          <w:lang w:val="en-US" w:eastAsia="zh-CN"/>
        </w:rPr>
      </w:pPr>
      <w:r>
        <w:rPr>
          <w:rStyle w:val="58"/>
          <w:rFonts w:hint="eastAsia" w:ascii="宋体" w:hAnsi="宋体" w:cs="宋体"/>
          <w:color w:val="auto"/>
          <w:highlight w:val="none"/>
          <w:vertAlign w:val="baseline"/>
        </w:rPr>
        <w:footnoteRef/>
      </w:r>
      <w:r>
        <w:t xml:space="preserve"> </w:t>
      </w:r>
      <w:r>
        <w:rPr>
          <w:rFonts w:hint="eastAsia"/>
          <w:lang w:val="en-US" w:eastAsia="zh-CN"/>
        </w:rPr>
        <w:t xml:space="preserve"> 投标报价单位采用人民币“元”时，评标基准价计算结果应“四舍五入”取整到元。投标报价单位采用比例时，评标基准价计算结果应明确保留小数点位数。</w:t>
      </w:r>
    </w:p>
  </w:footnote>
  <w:footnote w:id="90">
    <w:p w14:paraId="351659F1">
      <w:pPr>
        <w:pStyle w:val="37"/>
        <w:ind w:left="360" w:hanging="360" w:hangingChars="200"/>
        <w:rPr>
          <w:rFonts w:hint="eastAsia" w:ascii="宋体" w:hAnsi="宋体" w:eastAsia="宋体" w:cs="宋体"/>
          <w:lang w:val="en-US" w:eastAsia="zh-CN"/>
        </w:rPr>
      </w:pPr>
      <w:r>
        <w:rPr>
          <w:rStyle w:val="58"/>
          <w:rFonts w:hint="eastAsia" w:ascii="宋体" w:hAnsi="宋体" w:cs="宋体"/>
          <w:vertAlign w:val="baseline"/>
        </w:rPr>
        <w:footnoteRef/>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根据</w:t>
      </w:r>
      <w:r>
        <w:rPr>
          <w:rFonts w:hint="eastAsia" w:ascii="宋体" w:hAnsi="宋体" w:cs="宋体"/>
          <w:lang w:val="en-US" w:eastAsia="zh-CN"/>
        </w:rPr>
        <w:t>招标项目具体特点和实际情况，招标人</w:t>
      </w:r>
      <w:r>
        <w:rPr>
          <w:rFonts w:hint="eastAsia" w:ascii="宋体" w:hAnsi="宋体" w:cs="宋体"/>
        </w:rPr>
        <w:t>可调整评标价的定义。</w:t>
      </w:r>
      <w:r>
        <w:rPr>
          <w:rFonts w:hint="eastAsia" w:ascii="宋体" w:hAnsi="宋体" w:cs="宋体"/>
          <w:lang w:val="en-US" w:eastAsia="zh-CN"/>
        </w:rPr>
        <w:t>例如：评标价</w:t>
      </w:r>
      <w:r>
        <w:rPr>
          <w:rFonts w:hint="eastAsia" w:ascii="宋体" w:hAnsi="宋体" w:eastAsia="宋体" w:cs="宋体"/>
          <w:lang w:val="en-US" w:eastAsia="zh-CN"/>
        </w:rPr>
        <w:t>＝</w:t>
      </w:r>
      <w:r>
        <w:rPr>
          <w:rFonts w:hint="eastAsia" w:ascii="宋体" w:hAnsi="宋体" w:cs="宋体"/>
          <w:lang w:val="en-US" w:eastAsia="zh-CN"/>
        </w:rPr>
        <w:t>投标人投标报价</w:t>
      </w:r>
      <w:r>
        <w:rPr>
          <w:rFonts w:hint="eastAsia" w:ascii="宋体" w:hAnsi="宋体" w:eastAsia="宋体" w:cs="宋体"/>
          <w:lang w:val="en-US" w:eastAsia="zh-CN"/>
        </w:rPr>
        <w:t>－</w:t>
      </w:r>
      <w:r>
        <w:rPr>
          <w:rFonts w:hint="eastAsia" w:ascii="宋体" w:hAnsi="宋体" w:cs="宋体"/>
          <w:lang w:val="en-US" w:eastAsia="zh-CN"/>
        </w:rPr>
        <w:t>非竞争性部分报价。</w:t>
      </w:r>
    </w:p>
  </w:footnote>
  <w:footnote w:id="91">
    <w:p w14:paraId="12D59EA4">
      <w:pPr>
        <w:pStyle w:val="37"/>
      </w:pPr>
      <w:r>
        <w:rPr>
          <w:rStyle w:val="58"/>
          <w:rFonts w:hint="eastAsia" w:ascii="宋体" w:hAnsi="宋体" w:cs="宋体"/>
          <w:vertAlign w:val="baseline"/>
        </w:rPr>
        <w:footnoteRef/>
      </w:r>
      <w:r>
        <w:rPr>
          <w:rFonts w:hint="eastAsia" w:ascii="宋体" w:hAnsi="宋体" w:cs="宋体"/>
        </w:rPr>
        <w:t xml:space="preserve">  当报价方式采用</w:t>
      </w:r>
      <w:r>
        <w:rPr>
          <w:rFonts w:hint="eastAsia" w:ascii="宋体" w:hAnsi="宋体" w:cs="宋体"/>
          <w:lang w:val="en-US" w:eastAsia="zh-CN"/>
        </w:rPr>
        <w:t>单价或</w:t>
      </w:r>
      <w:r>
        <w:rPr>
          <w:rFonts w:hint="eastAsia" w:ascii="宋体" w:hAnsi="宋体" w:cs="宋体"/>
        </w:rPr>
        <w:t>总价以外的其他情形时，</w:t>
      </w:r>
      <w:r>
        <w:rPr>
          <w:rFonts w:hint="eastAsia"/>
        </w:rPr>
        <w:t>投标报价无法确定具体数值。</w:t>
      </w:r>
    </w:p>
  </w:footnote>
  <w:footnote w:id="92">
    <w:p w14:paraId="1AFAD5C0">
      <w:pPr>
        <w:pStyle w:val="37"/>
        <w:ind w:left="360" w:hanging="360" w:hangingChars="200"/>
        <w:rPr>
          <w:rFonts w:hint="eastAsia" w:ascii="宋体" w:hAnsi="宋体" w:cs="宋体"/>
          <w:color w:val="auto"/>
          <w:highlight w:val="none"/>
        </w:rPr>
      </w:pPr>
      <w:r>
        <w:rPr>
          <w:rFonts w:hint="eastAsia" w:ascii="宋体" w:hAnsi="宋体" w:cs="宋体"/>
          <w:color w:val="auto"/>
          <w:highlight w:val="no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招标人可在招标文件中约定低于投标最高限价一定范围值的投标报价（该范围值一般不应小于15%）不参与评标基准价的计算。</w:t>
      </w:r>
    </w:p>
  </w:footnote>
  <w:footnote w:id="93">
    <w:p w14:paraId="20370142">
      <w:pPr>
        <w:pStyle w:val="37"/>
        <w:ind w:left="360" w:hanging="360" w:hangingChars="200"/>
        <w:rPr>
          <w:rFonts w:hint="eastAsia" w:ascii="宋体" w:hAnsi="宋体" w:cs="宋体"/>
          <w:color w:val="auto"/>
          <w:highlight w:val="none"/>
        </w:rPr>
      </w:pPr>
      <w:r>
        <w:rPr>
          <w:rFonts w:hint="eastAsia" w:ascii="宋体" w:hAnsi="宋体" w:cs="宋体"/>
          <w:color w:val="auto"/>
          <w:highlight w:val="no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上述评标基准价的计算方法供招标人参考，招标人应依据招标项目特点和实际需要，选择或制定适合项目的评标基准价的计算方法。</w:t>
      </w:r>
    </w:p>
  </w:footnote>
  <w:footnote w:id="94">
    <w:p w14:paraId="51F0C502">
      <w:pPr>
        <w:pStyle w:val="37"/>
        <w:jc w:val="both"/>
        <w:rPr>
          <w:rStyle w:val="58"/>
          <w:rFonts w:hint="eastAsia" w:ascii="宋体" w:hAnsi="宋体" w:cs="宋体"/>
          <w:color w:val="auto"/>
          <w:sz w:val="18"/>
          <w:szCs w:val="18"/>
          <w:highlight w:val="none"/>
        </w:rPr>
      </w:pPr>
      <w:r>
        <w:rPr>
          <w:rFonts w:hint="eastAsia" w:ascii="宋体" w:hAnsi="宋体" w:cs="宋体"/>
          <w:color w:val="auto"/>
          <w:highlight w:val="no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招标人根据项目情况在取值范围中设定。</w:t>
      </w:r>
    </w:p>
  </w:footnote>
  <w:footnote w:id="95">
    <w:p w14:paraId="5F40882B">
      <w:pPr>
        <w:pStyle w:val="37"/>
        <w:ind w:left="360" w:hanging="360" w:hangingChars="200"/>
        <w:rPr>
          <w:rFonts w:hint="eastAsia" w:ascii="宋体" w:hAnsi="宋体" w:cs="宋体"/>
          <w:color w:val="auto"/>
          <w:highlight w:val="none"/>
        </w:rPr>
      </w:pPr>
      <w:r>
        <w:rPr>
          <w:rStyle w:val="58"/>
          <w:rFonts w:hint="eastAsia" w:ascii="宋体" w:hAnsi="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Style w:val="58"/>
          <w:rFonts w:hint="eastAsia" w:ascii="宋体" w:hAnsi="宋体" w:cs="宋体"/>
          <w:color w:val="auto"/>
          <w:highlight w:val="none"/>
          <w:vertAlign w:val="baseline"/>
        </w:rPr>
        <w:t>招标人根据项目情况在取值范围中设定随机下浮系数，该系数的取值范围为85%～95%，在第二</w:t>
      </w:r>
      <w:r>
        <w:rPr>
          <w:rFonts w:hint="eastAsia" w:ascii="宋体" w:hAnsi="宋体" w:cs="宋体"/>
          <w:color w:val="auto"/>
          <w:highlight w:val="none"/>
          <w:vertAlign w:val="baseline"/>
          <w:lang w:val="en-US" w:eastAsia="zh-CN"/>
        </w:rPr>
        <w:t>个</w:t>
      </w:r>
      <w:r>
        <w:rPr>
          <w:rStyle w:val="58"/>
          <w:rFonts w:hint="eastAsia" w:ascii="宋体" w:hAnsi="宋体" w:cs="宋体"/>
          <w:color w:val="auto"/>
          <w:highlight w:val="none"/>
          <w:vertAlign w:val="baseline"/>
        </w:rPr>
        <w:t>信封</w:t>
      </w:r>
      <w:r>
        <w:rPr>
          <w:rFonts w:hint="eastAsia" w:ascii="宋体" w:hAnsi="宋体" w:cs="宋体"/>
          <w:color w:val="auto"/>
          <w:highlight w:val="none"/>
          <w:vertAlign w:val="baseline"/>
          <w:lang w:eastAsia="zh-CN"/>
        </w:rPr>
        <w:t>（</w:t>
      </w:r>
      <w:r>
        <w:rPr>
          <w:rFonts w:hint="eastAsia" w:ascii="宋体" w:hAnsi="宋体" w:cs="宋体"/>
          <w:color w:val="auto"/>
          <w:highlight w:val="none"/>
          <w:vertAlign w:val="baseline"/>
          <w:lang w:val="en-US" w:eastAsia="zh-CN"/>
        </w:rPr>
        <w:t>报价文件</w:t>
      </w:r>
      <w:r>
        <w:rPr>
          <w:rFonts w:hint="eastAsia" w:ascii="宋体" w:hAnsi="宋体" w:cs="宋体"/>
          <w:color w:val="auto"/>
          <w:highlight w:val="none"/>
          <w:vertAlign w:val="baseline"/>
          <w:lang w:eastAsia="zh-CN"/>
        </w:rPr>
        <w:t>）</w:t>
      </w:r>
      <w:r>
        <w:rPr>
          <w:rStyle w:val="58"/>
          <w:rFonts w:hint="eastAsia" w:ascii="宋体" w:hAnsi="宋体" w:cs="宋体"/>
          <w:color w:val="auto"/>
          <w:highlight w:val="none"/>
          <w:vertAlign w:val="baseline"/>
        </w:rPr>
        <w:t>开标现场随机抽取确定三个数，三个数的算术平均值即为随机下浮系数，其取值的步长不大于0.5%。</w:t>
      </w:r>
    </w:p>
  </w:footnote>
  <w:footnote w:id="96">
    <w:p w14:paraId="1A56BD64">
      <w:pPr>
        <w:pStyle w:val="37"/>
        <w:rPr>
          <w:rFonts w:hint="eastAsia" w:ascii="宋体" w:hAnsi="宋体" w:cs="宋体"/>
        </w:rPr>
      </w:pPr>
      <w:r>
        <w:rPr>
          <w:rStyle w:val="58"/>
          <w:rFonts w:hint="eastAsia" w:ascii="宋体" w:hAnsi="宋体" w:cs="宋体"/>
          <w:vertAlign w:val="baseline"/>
        </w:rPr>
        <w:footnoteRef/>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当报价方式采用</w:t>
      </w:r>
      <w:r>
        <w:rPr>
          <w:rFonts w:hint="eastAsia" w:ascii="宋体" w:hAnsi="宋体" w:cs="宋体"/>
          <w:lang w:val="en-US" w:eastAsia="zh-CN"/>
        </w:rPr>
        <w:t>单价或</w:t>
      </w:r>
      <w:r>
        <w:rPr>
          <w:rFonts w:hint="eastAsia" w:ascii="宋体" w:hAnsi="宋体" w:cs="宋体"/>
        </w:rPr>
        <w:t>总价以外的其他情形时，在此约定其他投标报价修正方式。</w:t>
      </w:r>
    </w:p>
  </w:footnote>
  <w:footnote w:id="97">
    <w:p w14:paraId="3724C01A">
      <w:pPr>
        <w:pStyle w:val="37"/>
        <w:rPr>
          <w:rFonts w:hint="eastAsia" w:ascii="宋体" w:hAnsi="宋体" w:eastAsia="宋体" w:cs="宋体"/>
          <w:color w:val="auto"/>
          <w:sz w:val="18"/>
          <w:szCs w:val="18"/>
          <w:highlight w:val="none"/>
        </w:rPr>
      </w:pPr>
      <w:r>
        <w:rPr>
          <w:rStyle w:val="58"/>
          <w:rFonts w:hint="eastAsia" w:ascii="宋体" w:hAnsi="宋体" w:eastAsia="宋体" w:cs="宋体"/>
          <w:color w:val="auto"/>
          <w:sz w:val="18"/>
          <w:szCs w:val="18"/>
          <w:highlight w:val="none"/>
          <w:vertAlign w:val="baseli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招标人应明确各评分因素或各评分因素细分项（如有）的评分标准并作为评标委员会进行评分的依据。</w:t>
      </w:r>
    </w:p>
  </w:footnote>
  <w:footnote w:id="98">
    <w:p w14:paraId="3CD99F7C">
      <w:pPr>
        <w:pStyle w:val="37"/>
        <w:ind w:left="360" w:hanging="360" w:hangingChars="200"/>
        <w:jc w:val="both"/>
        <w:rPr>
          <w:rFonts w:hint="eastAsia" w:ascii="宋体" w:hAnsi="宋体" w:cs="宋体"/>
        </w:rPr>
      </w:pPr>
      <w:r>
        <w:rPr>
          <w:rStyle w:val="58"/>
          <w:rFonts w:hint="eastAsia" w:ascii="宋体" w:hAnsi="宋体" w:cs="宋体"/>
          <w:vertAlign w:val="baseline"/>
        </w:rPr>
        <w:footnoteRef/>
      </w:r>
      <w:r>
        <w:rPr>
          <w:rFonts w:hint="eastAsia" w:ascii="宋体" w:hAnsi="宋体" w:cs="宋体"/>
          <w:color w:val="auto"/>
          <w:sz w:val="18"/>
          <w:szCs w:val="18"/>
          <w:highlight w:val="none"/>
          <w:lang w:val="en-US" w:eastAsia="zh-CN"/>
        </w:rPr>
        <w:t xml:space="preserve"> </w:t>
      </w:r>
      <w:r>
        <w:rPr>
          <w:rFonts w:hint="eastAsia" w:ascii="宋体" w:hAnsi="宋体" w:cs="宋体"/>
        </w:rPr>
        <w:t xml:space="preserve"> 招标人应根据项目具体情况确定各评分因素及评分因素权重分值，并对各评分因素进行细分（如有）、确定各评分因素细分项的分值，各评分因素</w:t>
      </w:r>
      <w:r>
        <w:rPr>
          <w:rFonts w:hint="eastAsia" w:ascii="宋体" w:hAnsi="宋体" w:cs="宋体"/>
          <w:lang w:val="en-US" w:eastAsia="zh-CN"/>
        </w:rPr>
        <w:t>细分项</w:t>
      </w:r>
      <w:r>
        <w:rPr>
          <w:rFonts w:hint="eastAsia" w:ascii="宋体" w:hAnsi="宋体" w:cs="宋体"/>
        </w:rPr>
        <w:t>权重分值合计应为</w:t>
      </w:r>
      <w:r>
        <w:rPr>
          <w:rFonts w:hint="eastAsia" w:ascii="宋体" w:hAnsi="宋体" w:cs="宋体"/>
          <w:lang w:val="en-US" w:eastAsia="zh-CN"/>
        </w:rPr>
        <w:t>各项评分因素权重分值满分</w:t>
      </w:r>
      <w:r>
        <w:rPr>
          <w:rFonts w:hint="eastAsia" w:ascii="宋体" w:hAnsi="宋体" w:cs="宋体"/>
        </w:rPr>
        <w:t>。各评分因素（评标价和履约信誉评分项除外）得分一般不得低于其权重分值的60%。评标委员会成员对某一项评分因素的评分低于权重分值60%的，应在评标报告中作出说明。</w:t>
      </w:r>
    </w:p>
  </w:footnote>
  <w:footnote w:id="99">
    <w:p w14:paraId="67AB2D94">
      <w:pPr>
        <w:pStyle w:val="37"/>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主要人员得分为各人员得分合计，即：B=B</w:t>
      </w:r>
      <w:r>
        <w:rPr>
          <w:rFonts w:hint="eastAsia" w:ascii="宋体" w:hAnsi="宋体" w:eastAsia="宋体" w:cs="宋体"/>
          <w:color w:val="auto"/>
          <w:sz w:val="18"/>
          <w:szCs w:val="18"/>
          <w:highlight w:val="none"/>
          <w:vertAlign w:val="subscript"/>
        </w:rPr>
        <w:t>1</w:t>
      </w:r>
      <w:r>
        <w:rPr>
          <w:rFonts w:hint="eastAsia" w:ascii="宋体" w:hAnsi="宋体" w:eastAsia="宋体" w:cs="宋体"/>
          <w:color w:val="auto"/>
          <w:sz w:val="18"/>
          <w:szCs w:val="18"/>
          <w:highlight w:val="none"/>
        </w:rPr>
        <w:t>+B</w:t>
      </w:r>
      <w:r>
        <w:rPr>
          <w:rFonts w:hint="eastAsia" w:ascii="宋体" w:hAnsi="宋体" w:eastAsia="宋体" w:cs="宋体"/>
          <w:color w:val="auto"/>
          <w:sz w:val="18"/>
          <w:szCs w:val="18"/>
          <w:highlight w:val="none"/>
          <w:vertAlign w:val="subscript"/>
        </w:rPr>
        <w:t>2</w:t>
      </w:r>
      <w:r>
        <w:rPr>
          <w:rFonts w:hint="eastAsia" w:ascii="宋体" w:hAnsi="宋体" w:eastAsia="宋体" w:cs="宋体"/>
          <w:color w:val="auto"/>
          <w:sz w:val="18"/>
          <w:szCs w:val="18"/>
          <w:highlight w:val="none"/>
        </w:rPr>
        <w:t>+…。</w:t>
      </w:r>
    </w:p>
  </w:footnote>
  <w:footnote w:id="100">
    <w:p w14:paraId="7440D375">
      <w:pPr>
        <w:pStyle w:val="37"/>
        <w:ind w:left="360" w:hanging="360" w:hanging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每个字母代号代表着对应的具体要求的数值，招标人在编制招标文件时，根据项目实际情况设置，且全文统一表述。</w:t>
      </w:r>
    </w:p>
  </w:footnote>
  <w:footnote w:id="101">
    <w:p w14:paraId="5D0CC52C">
      <w:pPr>
        <w:pStyle w:val="37"/>
        <w:ind w:left="360" w:hanging="360" w:hangingChars="200"/>
        <w:jc w:val="both"/>
        <w:rPr>
          <w:rFonts w:hint="eastAsia" w:ascii="宋体" w:hAnsi="宋体" w:cs="宋体"/>
          <w:color w:val="auto"/>
          <w:highlight w:val="none"/>
        </w:rPr>
      </w:pPr>
      <w:r>
        <w:rPr>
          <w:rStyle w:val="58"/>
          <w:rFonts w:hint="eastAsia" w:ascii="宋体" w:hAnsi="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资格条件最低要求为工程师时，最多按升高2级考虑，即最多加分至正（教授级或研究员级）高级工程师。</w:t>
      </w:r>
      <w:r>
        <w:rPr>
          <w:rFonts w:hint="eastAsia" w:ascii="宋体" w:hAnsi="宋体" w:cs="宋体"/>
          <w:color w:val="auto"/>
          <w:highlight w:val="none"/>
          <w:lang w:val="en-US" w:eastAsia="zh-CN"/>
        </w:rPr>
        <w:t>下同。</w:t>
      </w:r>
      <w:r>
        <w:rPr>
          <w:rFonts w:hint="eastAsia" w:ascii="宋体" w:hAnsi="宋体" w:cs="宋体"/>
          <w:color w:val="auto"/>
          <w:highlight w:val="none"/>
        </w:rPr>
        <w:t xml:space="preserve"> </w:t>
      </w:r>
    </w:p>
  </w:footnote>
  <w:footnote w:id="102">
    <w:p w14:paraId="48380731">
      <w:pPr>
        <w:pStyle w:val="37"/>
        <w:rPr>
          <w:rFonts w:hint="eastAsia" w:eastAsia="宋体"/>
          <w:color w:val="auto"/>
          <w:highlight w:val="none"/>
          <w:lang w:val="en-US" w:eastAsia="zh-CN"/>
        </w:rPr>
      </w:pPr>
      <w:r>
        <w:rPr>
          <w:rFonts w:hint="eastAsia" w:ascii="宋体" w:hAnsi="宋体" w:eastAsia="宋体" w:cs="宋体"/>
          <w:color w:val="auto"/>
          <w:highlight w:val="none"/>
        </w:rPr>
        <w:footnoteRef/>
      </w: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color w:val="auto"/>
          <w:highlight w:val="none"/>
        </w:rPr>
        <w:t>路基土建工程指须至少包含“路基</w:t>
      </w:r>
      <w:r>
        <w:rPr>
          <w:rFonts w:hint="eastAsia"/>
          <w:color w:val="auto"/>
          <w:highlight w:val="none"/>
          <w:lang w:val="en-US" w:eastAsia="zh-CN"/>
        </w:rPr>
        <w:t>工程</w:t>
      </w:r>
      <w:r>
        <w:rPr>
          <w:rFonts w:hint="eastAsia"/>
          <w:color w:val="auto"/>
          <w:highlight w:val="none"/>
        </w:rPr>
        <w:t>”的项目</w:t>
      </w:r>
      <w:r>
        <w:rPr>
          <w:rFonts w:hint="eastAsia"/>
          <w:color w:val="auto"/>
          <w:highlight w:val="none"/>
          <w:lang w:eastAsia="zh-CN"/>
        </w:rPr>
        <w:t>，</w:t>
      </w:r>
      <w:r>
        <w:rPr>
          <w:rFonts w:hint="eastAsia"/>
          <w:color w:val="auto"/>
          <w:highlight w:val="none"/>
          <w:lang w:val="en-US" w:eastAsia="zh-CN"/>
        </w:rPr>
        <w:t>下同。</w:t>
      </w:r>
    </w:p>
  </w:footnote>
  <w:footnote w:id="103">
    <w:p w14:paraId="4999DF52">
      <w:pPr>
        <w:pStyle w:val="37"/>
        <w:ind w:left="360" w:hanging="360" w:hangingChars="200"/>
        <w:jc w:val="both"/>
        <w:rPr>
          <w:rFonts w:hint="eastAsia" w:ascii="宋体" w:hAnsi="宋体" w:eastAsia="宋体" w:cs="宋体"/>
          <w:color w:val="auto"/>
          <w:highlight w:val="none"/>
          <w:lang w:val="en-US" w:eastAsia="zh-CN"/>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color w:val="auto"/>
          <w:highlight w:val="none"/>
        </w:rPr>
        <w:t>该</w:t>
      </w:r>
      <w:r>
        <w:rPr>
          <w:rFonts w:hint="eastAsia"/>
          <w:color w:val="auto"/>
          <w:highlight w:val="none"/>
          <w:lang w:val="en-US" w:eastAsia="zh-CN"/>
        </w:rPr>
        <w:t>监理试验室项目</w:t>
      </w:r>
      <w:r>
        <w:rPr>
          <w:rFonts w:hint="eastAsia"/>
          <w:color w:val="auto"/>
          <w:highlight w:val="none"/>
        </w:rPr>
        <w:t>可为</w:t>
      </w:r>
      <w:r>
        <w:rPr>
          <w:rFonts w:hint="eastAsia"/>
          <w:color w:val="auto"/>
          <w:highlight w:val="none"/>
          <w:lang w:val="en-US" w:eastAsia="zh-CN"/>
        </w:rPr>
        <w:t>施工监理</w:t>
      </w:r>
      <w:r>
        <w:rPr>
          <w:rFonts w:hint="eastAsia"/>
          <w:color w:val="auto"/>
          <w:highlight w:val="none"/>
        </w:rPr>
        <w:t>中包含的项目或者单独合同的项目</w:t>
      </w:r>
      <w:r>
        <w:rPr>
          <w:rFonts w:hint="eastAsia" w:ascii="宋体" w:hAnsi="宋体"/>
          <w:color w:val="auto"/>
          <w:highlight w:val="none"/>
          <w:lang w:eastAsia="zh-CN"/>
        </w:rPr>
        <w:t>，</w:t>
      </w:r>
      <w:r>
        <w:rPr>
          <w:rFonts w:hint="eastAsia" w:ascii="宋体" w:hAnsi="宋体"/>
          <w:color w:val="auto"/>
          <w:highlight w:val="none"/>
          <w:lang w:val="en-US" w:eastAsia="zh-CN"/>
        </w:rPr>
        <w:t>下同。</w:t>
      </w:r>
    </w:p>
  </w:footnote>
  <w:footnote w:id="104">
    <w:p w14:paraId="27963F64">
      <w:pPr>
        <w:pStyle w:val="37"/>
        <w:ind w:left="360" w:hanging="360" w:hangingChars="200"/>
        <w:rPr>
          <w:rFonts w:hint="eastAsia" w:ascii="宋体" w:hAnsi="宋体" w:eastAsia="宋体" w:cs="宋体"/>
          <w:color w:val="auto"/>
          <w:sz w:val="18"/>
          <w:szCs w:val="18"/>
          <w:highlight w:val="none"/>
        </w:rPr>
      </w:pPr>
      <w:r>
        <w:rPr>
          <w:rStyle w:val="58"/>
          <w:rFonts w:hint="eastAsia" w:ascii="宋体" w:hAnsi="宋体" w:eastAsia="宋体" w:cs="宋体"/>
          <w:color w:val="auto"/>
          <w:sz w:val="18"/>
          <w:szCs w:val="18"/>
          <w:highlight w:val="none"/>
          <w:vertAlign w:val="baseli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招标人可以结合招标项目具体特点和实际需要设置E</w:t>
      </w:r>
      <w:r>
        <w:rPr>
          <w:rFonts w:hint="eastAsia" w:ascii="宋体" w:hAnsi="宋体" w:eastAsia="宋体" w:cs="宋体"/>
          <w:color w:val="auto"/>
          <w:sz w:val="18"/>
          <w:szCs w:val="18"/>
          <w:highlight w:val="none"/>
          <w:vertAlign w:val="subscript"/>
        </w:rPr>
        <w:t>1</w:t>
      </w:r>
      <w:r>
        <w:rPr>
          <w:rFonts w:hint="eastAsia" w:ascii="宋体" w:hAnsi="宋体" w:eastAsia="宋体" w:cs="宋体"/>
          <w:color w:val="auto"/>
          <w:sz w:val="18"/>
          <w:szCs w:val="18"/>
          <w:highlight w:val="none"/>
        </w:rPr>
        <w:t>、E</w:t>
      </w:r>
      <w:r>
        <w:rPr>
          <w:rFonts w:hint="eastAsia" w:ascii="宋体" w:hAnsi="宋体" w:eastAsia="宋体" w:cs="宋体"/>
          <w:color w:val="auto"/>
          <w:sz w:val="18"/>
          <w:szCs w:val="18"/>
          <w:highlight w:val="none"/>
          <w:vertAlign w:val="subscript"/>
        </w:rPr>
        <w:t>2</w:t>
      </w:r>
      <w:r>
        <w:rPr>
          <w:rFonts w:hint="eastAsia" w:ascii="宋体" w:hAnsi="宋体" w:eastAsia="宋体" w:cs="宋体"/>
          <w:color w:val="auto"/>
          <w:sz w:val="18"/>
          <w:szCs w:val="18"/>
          <w:highlight w:val="none"/>
        </w:rPr>
        <w:t>， E</w:t>
      </w:r>
      <w:r>
        <w:rPr>
          <w:rFonts w:hint="eastAsia" w:ascii="宋体" w:hAnsi="宋体" w:eastAsia="宋体" w:cs="宋体"/>
          <w:color w:val="auto"/>
          <w:sz w:val="18"/>
          <w:szCs w:val="18"/>
          <w:highlight w:val="none"/>
          <w:vertAlign w:val="subscript"/>
        </w:rPr>
        <w:t>2</w:t>
      </w:r>
      <w:r>
        <w:rPr>
          <w:rFonts w:hint="eastAsia" w:ascii="宋体" w:hAnsi="宋体" w:eastAsia="宋体" w:cs="宋体"/>
          <w:color w:val="auto"/>
          <w:sz w:val="18"/>
          <w:szCs w:val="18"/>
          <w:highlight w:val="none"/>
        </w:rPr>
        <w:t>值取值不宜低于1，E</w:t>
      </w:r>
      <w:r>
        <w:rPr>
          <w:rFonts w:hint="eastAsia" w:ascii="宋体" w:hAnsi="宋体" w:eastAsia="宋体" w:cs="宋体"/>
          <w:color w:val="auto"/>
          <w:sz w:val="18"/>
          <w:szCs w:val="18"/>
          <w:highlight w:val="none"/>
          <w:vertAlign w:val="subscript"/>
        </w:rPr>
        <w:t>1</w:t>
      </w:r>
      <w:r>
        <w:rPr>
          <w:rFonts w:hint="eastAsia" w:ascii="宋体" w:hAnsi="宋体" w:eastAsia="宋体" w:cs="宋体"/>
          <w:color w:val="auto"/>
          <w:sz w:val="18"/>
          <w:szCs w:val="18"/>
          <w:highlight w:val="none"/>
        </w:rPr>
        <w:t>值应大于E</w:t>
      </w:r>
      <w:r>
        <w:rPr>
          <w:rFonts w:hint="eastAsia" w:ascii="宋体" w:hAnsi="宋体" w:eastAsia="宋体" w:cs="宋体"/>
          <w:color w:val="auto"/>
          <w:sz w:val="18"/>
          <w:szCs w:val="18"/>
          <w:highlight w:val="none"/>
          <w:vertAlign w:val="subscript"/>
        </w:rPr>
        <w:t>2</w:t>
      </w:r>
      <w:r>
        <w:rPr>
          <w:rFonts w:hint="eastAsia" w:ascii="宋体" w:hAnsi="宋体" w:eastAsia="宋体" w:cs="宋体"/>
          <w:color w:val="auto"/>
          <w:sz w:val="18"/>
          <w:szCs w:val="18"/>
          <w:highlight w:val="none"/>
        </w:rPr>
        <w:t>值。</w:t>
      </w:r>
    </w:p>
  </w:footnote>
  <w:footnote w:id="105">
    <w:p w14:paraId="15EBB926">
      <w:pPr>
        <w:pStyle w:val="37"/>
        <w:rPr>
          <w:rFonts w:hint="eastAsia" w:ascii="宋体" w:hAnsi="宋体" w:eastAsia="宋体" w:cs="宋体"/>
          <w:color w:val="auto"/>
          <w:sz w:val="18"/>
          <w:szCs w:val="18"/>
          <w:highlight w:val="none"/>
        </w:rPr>
      </w:pPr>
      <w:r>
        <w:rPr>
          <w:rStyle w:val="58"/>
          <w:rFonts w:hint="eastAsia" w:ascii="宋体" w:hAnsi="宋体" w:eastAsia="宋体" w:cs="宋体"/>
          <w:color w:val="auto"/>
          <w:sz w:val="18"/>
          <w:szCs w:val="18"/>
          <w:highlight w:val="none"/>
          <w:vertAlign w:val="baseli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方式二仅适</w:t>
      </w:r>
      <w:r>
        <w:rPr>
          <w:rFonts w:hint="eastAsia" w:ascii="宋体" w:hAnsi="宋体" w:cs="宋体"/>
          <w:color w:val="auto"/>
          <w:sz w:val="18"/>
          <w:szCs w:val="18"/>
          <w:highlight w:val="none"/>
          <w:lang w:val="en-US" w:eastAsia="zh-CN"/>
        </w:rPr>
        <w:t>用</w:t>
      </w:r>
      <w:r>
        <w:rPr>
          <w:rFonts w:hint="eastAsia" w:ascii="宋体" w:hAnsi="宋体" w:eastAsia="宋体" w:cs="宋体"/>
          <w:color w:val="auto"/>
          <w:sz w:val="18"/>
          <w:szCs w:val="18"/>
          <w:highlight w:val="none"/>
        </w:rPr>
        <w:t>于以有效投标文件的最低投标报价为评标基准价的情形。</w:t>
      </w:r>
    </w:p>
  </w:footnote>
  <w:footnote w:id="106">
    <w:p w14:paraId="6C837B24">
      <w:pPr>
        <w:pStyle w:val="37"/>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其他因素D得分为技术能力G、业绩C、履约信誉H等得分合计，即：D=G+C+H+…。</w:t>
      </w:r>
    </w:p>
  </w:footnote>
  <w:footnote w:id="107">
    <w:p w14:paraId="148538A6">
      <w:pPr>
        <w:pStyle w:val="37"/>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业绩得分为各分项业绩得分合计，即：C=C</w:t>
      </w:r>
      <w:r>
        <w:rPr>
          <w:rFonts w:hint="eastAsia" w:ascii="宋体" w:hAnsi="宋体" w:eastAsia="宋体" w:cs="宋体"/>
          <w:color w:val="auto"/>
          <w:sz w:val="18"/>
          <w:szCs w:val="18"/>
          <w:highlight w:val="none"/>
          <w:vertAlign w:val="subscript"/>
        </w:rPr>
        <w:t>0</w:t>
      </w:r>
      <w:r>
        <w:rPr>
          <w:rFonts w:hint="eastAsia" w:ascii="宋体" w:hAnsi="宋体" w:eastAsia="宋体" w:cs="宋体"/>
          <w:color w:val="auto"/>
          <w:sz w:val="18"/>
          <w:szCs w:val="18"/>
          <w:highlight w:val="none"/>
        </w:rPr>
        <w:t>+C</w:t>
      </w:r>
      <w:r>
        <w:rPr>
          <w:rFonts w:hint="eastAsia" w:ascii="宋体" w:hAnsi="宋体" w:eastAsia="宋体" w:cs="宋体"/>
          <w:color w:val="auto"/>
          <w:sz w:val="18"/>
          <w:szCs w:val="18"/>
          <w:highlight w:val="none"/>
          <w:vertAlign w:val="subscript"/>
        </w:rPr>
        <w:t>1</w:t>
      </w:r>
      <w:r>
        <w:rPr>
          <w:rFonts w:hint="eastAsia" w:ascii="宋体" w:hAnsi="宋体" w:eastAsia="宋体" w:cs="宋体"/>
          <w:color w:val="auto"/>
          <w:sz w:val="18"/>
          <w:szCs w:val="18"/>
          <w:highlight w:val="none"/>
        </w:rPr>
        <w:t>+C</w:t>
      </w:r>
      <w:r>
        <w:rPr>
          <w:rFonts w:hint="eastAsia" w:ascii="宋体" w:hAnsi="宋体" w:eastAsia="宋体" w:cs="宋体"/>
          <w:color w:val="auto"/>
          <w:sz w:val="18"/>
          <w:szCs w:val="18"/>
          <w:highlight w:val="none"/>
          <w:vertAlign w:val="subscript"/>
        </w:rPr>
        <w:t>2</w:t>
      </w:r>
      <w:r>
        <w:rPr>
          <w:rFonts w:hint="eastAsia" w:ascii="宋体" w:hAnsi="宋体" w:eastAsia="宋体" w:cs="宋体"/>
          <w:color w:val="auto"/>
          <w:sz w:val="18"/>
          <w:szCs w:val="18"/>
          <w:highlight w:val="none"/>
        </w:rPr>
        <w:t>+…。</w:t>
      </w:r>
    </w:p>
  </w:footnote>
  <w:footnote w:id="108">
    <w:p w14:paraId="7B0FA7E7">
      <w:pPr>
        <w:pStyle w:val="37"/>
        <w:ind w:left="360" w:hanging="360" w:hangingChars="200"/>
        <w:jc w:val="both"/>
        <w:rPr>
          <w:rFonts w:hint="eastAsia" w:ascii="宋体" w:hAnsi="宋体" w:cs="宋体"/>
          <w:color w:val="auto"/>
          <w:highlight w:val="none"/>
        </w:rPr>
      </w:pPr>
      <w:r>
        <w:rPr>
          <w:rStyle w:val="58"/>
          <w:rFonts w:hint="eastAsia" w:ascii="宋体" w:hAnsi="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招标人根据投标人在四川省交通运输厅网站公布的四川省重点公路</w:t>
      </w:r>
      <w:r>
        <w:rPr>
          <w:rFonts w:hint="eastAsia" w:ascii="宋体" w:hAnsi="宋体" w:cs="宋体"/>
          <w:bCs/>
          <w:color w:val="auto"/>
          <w:kern w:val="0"/>
          <w:szCs w:val="18"/>
          <w:highlight w:val="none"/>
        </w:rPr>
        <w:t>建设从业单位信用评价等级</w:t>
      </w:r>
      <w:r>
        <w:rPr>
          <w:rFonts w:hint="eastAsia" w:ascii="宋体" w:hAnsi="宋体" w:cs="宋体"/>
          <w:bCs/>
          <w:color w:val="auto"/>
          <w:kern w:val="0"/>
          <w:szCs w:val="18"/>
          <w:highlight w:val="none"/>
          <w:lang w:val="en-US" w:eastAsia="zh-CN"/>
        </w:rPr>
        <w:t>或</w:t>
      </w:r>
      <w:r>
        <w:rPr>
          <w:rFonts w:hint="eastAsia" w:ascii="宋体" w:hAnsi="宋体" w:cs="宋体"/>
          <w:bCs/>
          <w:color w:val="auto"/>
          <w:kern w:val="0"/>
          <w:sz w:val="18"/>
          <w:szCs w:val="18"/>
          <w:highlight w:val="none"/>
          <w:u w:val="none"/>
        </w:rPr>
        <w:t>四川省</w:t>
      </w:r>
      <w:r>
        <w:rPr>
          <w:rFonts w:hint="eastAsia" w:ascii="宋体" w:hAnsi="宋体" w:cs="宋体"/>
          <w:bCs/>
          <w:color w:val="auto"/>
          <w:kern w:val="0"/>
          <w:sz w:val="18"/>
          <w:szCs w:val="18"/>
          <w:highlight w:val="none"/>
          <w:u w:val="none"/>
          <w:lang w:val="en-US" w:eastAsia="zh-CN"/>
        </w:rPr>
        <w:t>农村公路建设从业单位信用评价等级</w:t>
      </w:r>
      <w:r>
        <w:rPr>
          <w:rFonts w:hint="eastAsia" w:ascii="宋体" w:hAnsi="宋体" w:cs="宋体"/>
          <w:bCs/>
          <w:color w:val="auto"/>
          <w:kern w:val="0"/>
          <w:szCs w:val="18"/>
          <w:highlight w:val="none"/>
        </w:rPr>
        <w:t>对其履约信用进行评分。</w:t>
      </w:r>
    </w:p>
  </w:footnote>
  <w:footnote w:id="109">
    <w:p w14:paraId="63C7D7F5">
      <w:pPr>
        <w:pStyle w:val="37"/>
        <w:rPr>
          <w:rFonts w:hint="eastAsia" w:ascii="宋体" w:hAnsi="宋体" w:eastAsia="宋体" w:cs="宋体"/>
          <w:bCs/>
          <w:color w:val="auto"/>
          <w:sz w:val="18"/>
          <w:szCs w:val="18"/>
          <w:highlight w:val="none"/>
        </w:rPr>
      </w:pPr>
      <w:r>
        <w:rPr>
          <w:rFonts w:hint="eastAsia" w:ascii="宋体" w:hAnsi="宋体" w:eastAsia="宋体" w:cs="宋体"/>
          <w:bCs/>
          <w:color w:val="auto"/>
          <w:sz w:val="18"/>
          <w:szCs w:val="18"/>
          <w:highlight w:val="none"/>
        </w:rPr>
        <w:footnoteRef/>
      </w:r>
      <w:r>
        <w:rPr>
          <w:rFonts w:hint="eastAsia" w:ascii="宋体" w:hAnsi="宋体" w:eastAsia="宋体" w:cs="宋体"/>
          <w:bCs/>
          <w:color w:val="auto"/>
          <w:sz w:val="18"/>
          <w:szCs w:val="18"/>
          <w:highlight w:val="none"/>
        </w:rPr>
        <w:t xml:space="preserve"> </w:t>
      </w:r>
      <w:r>
        <w:rPr>
          <w:rFonts w:hint="eastAsia" w:ascii="宋体" w:hAnsi="宋体" w:cs="宋体"/>
          <w:bCs/>
          <w:color w:val="auto"/>
          <w:sz w:val="18"/>
          <w:szCs w:val="18"/>
          <w:highlight w:val="none"/>
          <w:lang w:val="en-US" w:eastAsia="zh-CN"/>
        </w:rPr>
        <w:t xml:space="preserve"> </w:t>
      </w:r>
      <w:r>
        <w:rPr>
          <w:rFonts w:hint="eastAsia" w:ascii="宋体" w:hAnsi="宋体" w:eastAsia="宋体" w:cs="宋体"/>
          <w:bCs/>
          <w:color w:val="auto"/>
          <w:sz w:val="18"/>
          <w:szCs w:val="18"/>
          <w:highlight w:val="none"/>
        </w:rPr>
        <w:t>本</w:t>
      </w:r>
      <w:r>
        <w:rPr>
          <w:rFonts w:hint="eastAsia" w:ascii="宋体" w:hAnsi="宋体" w:cs="宋体"/>
          <w:bCs/>
          <w:color w:val="auto"/>
          <w:sz w:val="18"/>
          <w:szCs w:val="18"/>
          <w:highlight w:val="none"/>
          <w:lang w:val="en-US" w:eastAsia="zh-CN"/>
        </w:rPr>
        <w:t>部分</w:t>
      </w:r>
      <w:r>
        <w:rPr>
          <w:rFonts w:hint="eastAsia" w:ascii="宋体" w:hAnsi="宋体" w:eastAsia="宋体" w:cs="宋体"/>
          <w:bCs/>
          <w:color w:val="auto"/>
          <w:sz w:val="18"/>
          <w:szCs w:val="18"/>
          <w:highlight w:val="none"/>
        </w:rPr>
        <w:t>不加修改地引用了《中华人民共和国标准监理招标文件》（2017年版</w:t>
      </w:r>
      <w:r>
        <w:rPr>
          <w:rFonts w:hint="eastAsia" w:ascii="宋体" w:hAnsi="宋体" w:cs="宋体"/>
          <w:bCs/>
          <w:color w:val="auto"/>
          <w:sz w:val="18"/>
          <w:szCs w:val="18"/>
          <w:highlight w:val="none"/>
          <w:lang w:eastAsia="zh-CN"/>
        </w:rPr>
        <w:t>）</w:t>
      </w:r>
      <w:r>
        <w:rPr>
          <w:rFonts w:hint="eastAsia" w:ascii="宋体" w:hAnsi="宋体" w:cs="宋体"/>
          <w:bCs/>
          <w:color w:val="auto"/>
          <w:sz w:val="18"/>
          <w:szCs w:val="18"/>
          <w:highlight w:val="none"/>
          <w:lang w:val="en-US" w:eastAsia="zh-CN"/>
        </w:rPr>
        <w:t>相关内容</w:t>
      </w:r>
      <w:r>
        <w:rPr>
          <w:rFonts w:hint="eastAsia" w:ascii="宋体" w:hAnsi="宋体" w:eastAsia="宋体" w:cs="宋体"/>
          <w:bCs/>
          <w:color w:val="auto"/>
          <w:sz w:val="18"/>
          <w:szCs w:val="18"/>
          <w:highlight w:val="none"/>
        </w:rPr>
        <w:t>。</w:t>
      </w:r>
    </w:p>
  </w:footnote>
  <w:footnote w:id="110">
    <w:p w14:paraId="37FBEF20">
      <w:pPr>
        <w:pStyle w:val="37"/>
        <w:rPr>
          <w:rFonts w:hint="eastAsia" w:ascii="宋体" w:hAnsi="宋体" w:eastAsia="宋体" w:cs="宋体"/>
          <w:color w:val="auto"/>
          <w:sz w:val="18"/>
          <w:szCs w:val="18"/>
          <w:highlight w:val="none"/>
        </w:rPr>
      </w:pPr>
      <w:r>
        <w:rPr>
          <w:rFonts w:hint="eastAsia" w:ascii="宋体" w:hAnsi="宋体" w:eastAsia="宋体" w:cs="宋体"/>
          <w:bCs/>
          <w:color w:val="auto"/>
          <w:sz w:val="18"/>
          <w:szCs w:val="18"/>
          <w:highlight w:val="none"/>
        </w:rPr>
        <w:footnoteRef/>
      </w:r>
      <w:r>
        <w:rPr>
          <w:rFonts w:hint="eastAsia" w:ascii="宋体" w:hAnsi="宋体" w:eastAsia="宋体" w:cs="宋体"/>
          <w:bCs/>
          <w:color w:val="auto"/>
          <w:sz w:val="18"/>
          <w:szCs w:val="18"/>
          <w:highlight w:val="none"/>
        </w:rPr>
        <w:t xml:space="preserve"> </w:t>
      </w:r>
      <w:r>
        <w:rPr>
          <w:rFonts w:hint="eastAsia" w:ascii="宋体" w:hAnsi="宋体" w:cs="宋体"/>
          <w:bCs/>
          <w:color w:val="auto"/>
          <w:sz w:val="18"/>
          <w:szCs w:val="18"/>
          <w:highlight w:val="none"/>
          <w:lang w:val="en-US" w:eastAsia="zh-CN"/>
        </w:rPr>
        <w:t xml:space="preserve"> </w:t>
      </w:r>
      <w:r>
        <w:rPr>
          <w:rFonts w:hint="eastAsia" w:ascii="宋体" w:hAnsi="宋体" w:eastAsia="宋体" w:cs="宋体"/>
          <w:bCs/>
          <w:color w:val="auto"/>
          <w:sz w:val="18"/>
          <w:szCs w:val="18"/>
          <w:highlight w:val="none"/>
        </w:rPr>
        <w:t>本</w:t>
      </w:r>
      <w:r>
        <w:rPr>
          <w:rFonts w:hint="eastAsia" w:ascii="宋体" w:hAnsi="宋体" w:cs="宋体"/>
          <w:bCs/>
          <w:color w:val="auto"/>
          <w:sz w:val="18"/>
          <w:szCs w:val="18"/>
          <w:highlight w:val="none"/>
          <w:lang w:val="en-US" w:eastAsia="zh-CN"/>
        </w:rPr>
        <w:t>部分</w:t>
      </w:r>
      <w:r>
        <w:rPr>
          <w:rFonts w:hint="eastAsia" w:ascii="宋体" w:hAnsi="宋体" w:eastAsia="宋体" w:cs="宋体"/>
          <w:bCs/>
          <w:color w:val="auto"/>
          <w:sz w:val="18"/>
          <w:szCs w:val="18"/>
          <w:highlight w:val="none"/>
        </w:rPr>
        <w:t>不加修改的引用交通运输部《公路工程标准施工监理招标文件》（2018年版）公路工程专用合同条款。</w:t>
      </w:r>
    </w:p>
  </w:footnote>
  <w:footnote w:id="111">
    <w:p w14:paraId="7D2148F1">
      <w:pPr>
        <w:pStyle w:val="37"/>
        <w:rPr>
          <w:rFonts w:hint="eastAsia" w:ascii="宋体" w:hAnsi="宋体" w:cs="宋体"/>
          <w:color w:val="auto"/>
          <w:highlight w:val="none"/>
        </w:rPr>
      </w:pPr>
      <w:r>
        <w:rPr>
          <w:rStyle w:val="58"/>
          <w:rFonts w:hint="eastAsia" w:ascii="宋体" w:hAnsi="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本章节内容仅供招标人参考，招标人根据项目特点和实际需要自行编制。</w:t>
      </w:r>
    </w:p>
  </w:footnote>
  <w:footnote w:id="112">
    <w:p w14:paraId="7DABFA4E">
      <w:pPr>
        <w:pStyle w:val="37"/>
        <w:ind w:left="360" w:hanging="360" w:hangingChars="200"/>
        <w:jc w:val="both"/>
        <w:rPr>
          <w:rFonts w:hint="eastAsia" w:ascii="宋体" w:hAnsi="宋体" w:cs="宋体"/>
          <w:color w:val="auto"/>
          <w:highlight w:val="none"/>
        </w:rPr>
      </w:pPr>
      <w:r>
        <w:rPr>
          <w:rStyle w:val="58"/>
          <w:rFonts w:hint="eastAsia" w:ascii="宋体" w:hAnsi="宋体" w:cs="宋体"/>
          <w:color w:val="auto"/>
          <w:highlight w:val="none"/>
          <w:vertAlign w:val="baseline"/>
        </w:rPr>
        <w:footnoteRef/>
      </w:r>
      <w:r>
        <w:rPr>
          <w:rFonts w:hint="eastAsia" w:ascii="宋体" w:hAnsi="宋体" w:cs="宋体"/>
          <w:color w:val="auto"/>
          <w:highlight w:val="none"/>
        </w:rPr>
        <w:t xml:space="preserve">  委托人对试验检测机构的书面请示给予书面答复的期限：自收到书面请示之日起最长不超过7天，重大问题不得超过28天，逾期没有作出答复的，视为已获得委托人的批准。</w:t>
      </w:r>
    </w:p>
  </w:footnote>
  <w:footnote w:id="113">
    <w:p w14:paraId="521F40B6">
      <w:pPr>
        <w:pStyle w:val="37"/>
        <w:rPr>
          <w:rFonts w:hint="eastAsia" w:ascii="宋体" w:hAnsi="宋体" w:cs="宋体"/>
          <w:color w:val="auto"/>
          <w:highlight w:val="none"/>
        </w:rPr>
      </w:pPr>
      <w:r>
        <w:rPr>
          <w:rFonts w:hint="eastAsia" w:ascii="宋体" w:hAnsi="宋体" w:cs="宋体"/>
          <w:color w:val="auto"/>
          <w:highlight w:val="no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缺陷责任期保函金额不超过监理试验室服务总费用的3%。</w:t>
      </w:r>
    </w:p>
  </w:footnote>
  <w:footnote w:id="114">
    <w:p w14:paraId="73986281">
      <w:pPr>
        <w:pStyle w:val="37"/>
        <w:ind w:left="360" w:hanging="360" w:hangingChars="200"/>
        <w:jc w:val="both"/>
        <w:rPr>
          <w:rFonts w:hint="eastAsia" w:ascii="宋体" w:hAnsi="宋体" w:cs="宋体"/>
          <w:color w:val="auto"/>
          <w:highlight w:val="none"/>
        </w:rPr>
      </w:pPr>
      <w:r>
        <w:rPr>
          <w:rStyle w:val="58"/>
          <w:rFonts w:hint="eastAsia" w:ascii="宋体" w:hAnsi="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委托人如有单独列项报价的子项诸如：信息管理费、竣工文件费……，可在此款内容中细化计量支付要求。否则视为包含在报价清单相关子目中，不单独报价。</w:t>
      </w:r>
    </w:p>
  </w:footnote>
  <w:footnote w:id="115">
    <w:p w14:paraId="679B9F79">
      <w:pPr>
        <w:pStyle w:val="37"/>
        <w:jc w:val="both"/>
        <w:rPr>
          <w:rFonts w:hint="eastAsia" w:ascii="宋体" w:hAnsi="宋体" w:cs="宋体"/>
          <w:color w:val="auto"/>
          <w:highlight w:val="none"/>
        </w:rPr>
      </w:pPr>
      <w:r>
        <w:rPr>
          <w:rStyle w:val="58"/>
          <w:rFonts w:hint="eastAsia" w:ascii="宋体" w:hAnsi="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暂列金额最高不宜超过监理</w:t>
      </w:r>
      <w:r>
        <w:rPr>
          <w:rFonts w:hint="eastAsia" w:ascii="宋体" w:hAnsi="宋体" w:cs="宋体"/>
          <w:color w:val="auto"/>
          <w:highlight w:val="none"/>
          <w:lang w:val="en-US" w:eastAsia="zh-CN"/>
        </w:rPr>
        <w:t>试验室</w:t>
      </w:r>
      <w:r>
        <w:rPr>
          <w:rFonts w:hint="eastAsia" w:ascii="宋体" w:hAnsi="宋体" w:cs="宋体"/>
          <w:color w:val="auto"/>
          <w:highlight w:val="none"/>
        </w:rPr>
        <w:t>服务费用总额的5%。</w:t>
      </w:r>
    </w:p>
  </w:footnote>
  <w:footnote w:id="116">
    <w:p w14:paraId="4CF06EA8">
      <w:pPr>
        <w:pStyle w:val="37"/>
        <w:ind w:left="360" w:hanging="360" w:hangingChars="200"/>
        <w:jc w:val="both"/>
        <w:rPr>
          <w:rFonts w:hint="eastAsia" w:ascii="宋体" w:hAnsi="宋体" w:cs="宋体"/>
          <w:color w:val="auto"/>
          <w:highlight w:val="none"/>
        </w:rPr>
      </w:pPr>
      <w:r>
        <w:rPr>
          <w:rFonts w:hint="eastAsia" w:ascii="宋体" w:hAnsi="宋体" w:cs="宋体"/>
          <w:color w:val="auto"/>
          <w:highlight w:val="no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在签订合同前，若为联合体形式投标的。如果需要，招标人可以要求投标人提供联合体协议书原件，并加盖联合体所有成员的单位印章。</w:t>
      </w:r>
    </w:p>
  </w:footnote>
  <w:footnote w:id="117">
    <w:p w14:paraId="7050FA32">
      <w:pPr>
        <w:pStyle w:val="37"/>
        <w:jc w:val="both"/>
        <w:rPr>
          <w:rFonts w:hint="eastAsia" w:ascii="宋体" w:hAnsi="宋体" w:cs="宋体"/>
          <w:color w:val="auto"/>
          <w:highlight w:val="none"/>
        </w:rPr>
      </w:pPr>
      <w:r>
        <w:rPr>
          <w:rStyle w:val="58"/>
          <w:rFonts w:hint="eastAsia" w:ascii="宋体" w:hAnsi="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该内容可根据招标项目的具体情况进行调整，以适用招标内容。</w:t>
      </w:r>
    </w:p>
  </w:footnote>
  <w:footnote w:id="118">
    <w:p w14:paraId="7C9D49DA">
      <w:pPr>
        <w:pStyle w:val="37"/>
        <w:rPr>
          <w:rFonts w:hint="eastAsia" w:ascii="宋体" w:hAnsi="宋体" w:cs="宋体"/>
        </w:rPr>
      </w:pPr>
      <w:r>
        <w:rPr>
          <w:rStyle w:val="58"/>
          <w:rFonts w:hint="eastAsia" w:ascii="宋体" w:hAnsi="宋体" w:cs="宋体"/>
          <w:vertAlign w:val="baseline"/>
        </w:rPr>
        <w:footnoteRef/>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签约合同价为其他情形方式的，可做相应调整。</w:t>
      </w:r>
    </w:p>
  </w:footnote>
  <w:footnote w:id="119">
    <w:p w14:paraId="2CEA51E9">
      <w:pPr>
        <w:pStyle w:val="276"/>
        <w:ind w:left="360" w:hanging="360" w:hanging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其他主要</w:t>
      </w:r>
      <w:r>
        <w:rPr>
          <w:rFonts w:hint="eastAsia" w:ascii="宋体" w:hAnsi="宋体" w:cs="宋体"/>
          <w:color w:val="auto"/>
          <w:sz w:val="18"/>
          <w:szCs w:val="18"/>
          <w:highlight w:val="none"/>
          <w:lang w:val="en-US" w:eastAsia="zh-CN"/>
        </w:rPr>
        <w:t>人员</w:t>
      </w:r>
      <w:r>
        <w:rPr>
          <w:rFonts w:hint="eastAsia" w:ascii="宋体" w:hAnsi="宋体" w:eastAsia="宋体" w:cs="宋体"/>
          <w:color w:val="auto"/>
          <w:sz w:val="18"/>
          <w:szCs w:val="18"/>
          <w:highlight w:val="none"/>
        </w:rPr>
        <w:t>最低要求的一般规定：</w:t>
      </w:r>
    </w:p>
    <w:p w14:paraId="60F59E65">
      <w:pPr>
        <w:pStyle w:val="276"/>
        <w:numPr>
          <w:ilvl w:val="-1"/>
          <w:numId w:val="0"/>
        </w:numPr>
        <w:ind w:left="357" w:leftChars="170" w:firstLine="0" w:firstLineChars="0"/>
        <w:rPr>
          <w:rFonts w:hint="eastAsia" w:ascii="宋体" w:hAnsi="宋体" w:eastAsia="宋体" w:cs="宋体"/>
          <w:color w:val="auto"/>
          <w:sz w:val="18"/>
          <w:szCs w:val="18"/>
          <w:highlight w:val="none"/>
        </w:rPr>
      </w:pPr>
      <w:r>
        <w:rPr>
          <w:rFonts w:hint="eastAsia" w:ascii="宋体" w:hAnsi="宋体" w:cs="宋体"/>
          <w:color w:val="auto"/>
          <w:sz w:val="18"/>
          <w:szCs w:val="18"/>
          <w:highlight w:val="none"/>
          <w:lang w:val="en-US" w:eastAsia="zh-CN"/>
        </w:rPr>
        <w:t>a.</w:t>
      </w:r>
      <w:r>
        <w:rPr>
          <w:rFonts w:hint="eastAsia" w:ascii="宋体" w:hAnsi="宋体" w:eastAsia="宋体" w:cs="宋体"/>
          <w:color w:val="auto"/>
          <w:sz w:val="18"/>
          <w:szCs w:val="18"/>
          <w:highlight w:val="none"/>
        </w:rPr>
        <w:t>招标人应在招标文件中规定，投标人在所投标段中标需派驻的其他主要人员的岗位、数量及资格条件要求。上述人员的具体人选由招标人和中标人在合同谈判阶段确定，且经招标人审批后作为派驻本标段的主要人员，不允许更换。如中标人拟派驻的人员数量和资格条件不满足本表要求，招标人应取消其中标资格。</w:t>
      </w:r>
    </w:p>
    <w:p w14:paraId="7BE7DF9A">
      <w:pPr>
        <w:pStyle w:val="276"/>
        <w:numPr>
          <w:ilvl w:val="0"/>
          <w:numId w:val="0"/>
        </w:numPr>
        <w:ind w:leftChars="170" w:firstLine="0" w:firstLineChars="0"/>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b.</w:t>
      </w:r>
      <w:r>
        <w:rPr>
          <w:rFonts w:hint="eastAsia" w:ascii="宋体" w:hAnsi="宋体" w:eastAsia="宋体" w:cs="宋体"/>
          <w:color w:val="auto"/>
          <w:sz w:val="18"/>
          <w:szCs w:val="18"/>
          <w:highlight w:val="none"/>
        </w:rPr>
        <w:t>本表不适用于已按招标文件要求提供了其他主要人员的有特殊要求的工程</w:t>
      </w:r>
      <w:r>
        <w:rPr>
          <w:rFonts w:hint="eastAsia" w:ascii="宋体" w:hAnsi="宋体" w:cs="宋体"/>
          <w:color w:val="auto"/>
          <w:sz w:val="18"/>
          <w:szCs w:val="18"/>
          <w:highlight w:val="none"/>
          <w:lang w:val="en-US" w:eastAsia="zh-CN"/>
        </w:rPr>
        <w:t>。</w:t>
      </w:r>
    </w:p>
    <w:p w14:paraId="2E1CFA98">
      <w:pPr>
        <w:pStyle w:val="276"/>
        <w:numPr>
          <w:ilvl w:val="0"/>
          <w:numId w:val="0"/>
        </w:numPr>
        <w:ind w:left="357" w:leftChars="170" w:firstLine="0" w:firstLineChars="0"/>
        <w:rPr>
          <w:rFonts w:hint="eastAsia" w:ascii="宋体" w:hAnsi="宋体" w:cs="宋体"/>
          <w:color w:val="auto"/>
          <w:sz w:val="18"/>
          <w:szCs w:val="18"/>
          <w:highlight w:val="none"/>
        </w:rPr>
      </w:pPr>
      <w:r>
        <w:rPr>
          <w:rFonts w:hint="eastAsia" w:ascii="宋体" w:hAnsi="宋体" w:cs="宋体"/>
          <w:color w:val="auto"/>
          <w:sz w:val="18"/>
          <w:szCs w:val="18"/>
          <w:highlight w:val="none"/>
        </w:rPr>
        <w:t>c．在</w:t>
      </w:r>
      <w:r>
        <w:rPr>
          <w:rFonts w:hint="eastAsia" w:ascii="宋体" w:hAnsi="宋体" w:cs="宋体"/>
          <w:color w:val="auto"/>
          <w:sz w:val="18"/>
          <w:szCs w:val="18"/>
          <w:highlight w:val="none"/>
          <w:lang w:val="en-US" w:eastAsia="zh-CN"/>
        </w:rPr>
        <w:t>第二章“投标人须知”前附表</w:t>
      </w:r>
      <w:r>
        <w:rPr>
          <w:rFonts w:hint="eastAsia" w:ascii="宋体" w:hAnsi="宋体" w:cs="宋体"/>
          <w:color w:val="auto"/>
          <w:sz w:val="18"/>
          <w:szCs w:val="18"/>
          <w:highlight w:val="none"/>
        </w:rPr>
        <w:t>“附录5</w:t>
      </w:r>
      <w:r>
        <w:rPr>
          <w:rFonts w:hint="eastAsia" w:ascii="宋体" w:hAnsi="宋体" w:cs="宋体"/>
          <w:color w:val="auto"/>
          <w:sz w:val="18"/>
          <w:szCs w:val="18"/>
          <w:highlight w:val="none"/>
          <w:lang w:val="en-US" w:eastAsia="zh-CN"/>
        </w:rPr>
        <w:t xml:space="preserve"> </w:t>
      </w:r>
      <w:r>
        <w:rPr>
          <w:rFonts w:hint="eastAsia" w:ascii="宋体" w:hAnsi="宋体" w:cs="宋体"/>
          <w:color w:val="auto"/>
          <w:sz w:val="18"/>
          <w:szCs w:val="18"/>
          <w:highlight w:val="none"/>
        </w:rPr>
        <w:t>资格审查条件（其他最低要求）”中已作要求的</w:t>
      </w:r>
      <w:r>
        <w:rPr>
          <w:rFonts w:hint="eastAsia" w:ascii="宋体" w:hAnsi="宋体" w:cs="宋体"/>
          <w:color w:val="auto"/>
          <w:sz w:val="18"/>
          <w:szCs w:val="18"/>
          <w:highlight w:val="none"/>
          <w:lang w:val="en-US" w:eastAsia="zh-CN"/>
        </w:rPr>
        <w:t>主要人员</w:t>
      </w:r>
      <w:r>
        <w:rPr>
          <w:rFonts w:hint="eastAsia" w:ascii="宋体" w:hAnsi="宋体" w:cs="宋体"/>
          <w:color w:val="auto"/>
          <w:sz w:val="18"/>
          <w:szCs w:val="18"/>
          <w:highlight w:val="none"/>
        </w:rPr>
        <w:t>，在“合同附件三其他主要人员最低要求”中不得重复设置。</w:t>
      </w:r>
    </w:p>
    <w:p w14:paraId="45DC3BD3">
      <w:pPr>
        <w:pStyle w:val="276"/>
        <w:numPr>
          <w:ilvl w:val="-1"/>
          <w:numId w:val="0"/>
        </w:numPr>
        <w:ind w:left="357" w:leftChars="170" w:firstLine="0" w:firstLineChars="0"/>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rPr>
        <w:t>d．招标人若在招标文件中设置本表所列人员要求，中标人仅在签订合同时提供。</w:t>
      </w:r>
    </w:p>
    <w:p w14:paraId="41109919">
      <w:pPr>
        <w:pStyle w:val="37"/>
        <w:rPr>
          <w:rFonts w:hint="eastAsia" w:ascii="宋体" w:hAnsi="宋体" w:eastAsia="宋体" w:cs="宋体"/>
          <w:color w:val="auto"/>
          <w:sz w:val="18"/>
          <w:szCs w:val="18"/>
          <w:highlight w:val="none"/>
        </w:rPr>
      </w:pPr>
    </w:p>
  </w:footnote>
  <w:footnote w:id="120">
    <w:p w14:paraId="6832B344">
      <w:pPr>
        <w:pStyle w:val="37"/>
        <w:ind w:left="360" w:hanging="360" w:hanging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kern w:val="0"/>
          <w:sz w:val="18"/>
          <w:szCs w:val="18"/>
          <w:highlight w:val="none"/>
        </w:rPr>
        <w:t xml:space="preserve"> </w:t>
      </w:r>
      <w:r>
        <w:rPr>
          <w:rFonts w:hint="eastAsia" w:ascii="宋体" w:hAnsi="宋体" w:cs="宋体"/>
          <w:color w:val="auto"/>
          <w:kern w:val="0"/>
          <w:sz w:val="18"/>
          <w:szCs w:val="18"/>
          <w:highlight w:val="none"/>
          <w:lang w:val="en-US" w:eastAsia="zh-CN"/>
        </w:rPr>
        <w:t xml:space="preserve"> </w:t>
      </w:r>
      <w:r>
        <w:rPr>
          <w:rFonts w:hint="eastAsia" w:ascii="宋体" w:hAnsi="宋体" w:cs="宋体"/>
          <w:color w:val="auto"/>
          <w:sz w:val="18"/>
          <w:szCs w:val="18"/>
          <w:highlight w:val="none"/>
          <w:lang w:val="en-US" w:eastAsia="zh-CN"/>
        </w:rPr>
        <w:t>主要试验检测设备</w:t>
      </w:r>
      <w:r>
        <w:rPr>
          <w:rFonts w:hint="eastAsia" w:ascii="宋体" w:hAnsi="宋体" w:eastAsia="宋体" w:cs="宋体"/>
          <w:color w:val="auto"/>
          <w:sz w:val="18"/>
          <w:szCs w:val="18"/>
          <w:highlight w:val="none"/>
        </w:rPr>
        <w:t>最低要求的一般规定：</w:t>
      </w:r>
    </w:p>
    <w:p w14:paraId="283B9B39">
      <w:pPr>
        <w:pStyle w:val="37"/>
        <w:ind w:left="357" w:leftChars="170" w:firstLine="0" w:firstLineChars="0"/>
        <w:rPr>
          <w:rFonts w:hint="eastAsia" w:ascii="宋体" w:hAnsi="宋体" w:eastAsia="宋体" w:cs="宋体"/>
          <w:color w:val="auto"/>
          <w:kern w:val="0"/>
          <w:sz w:val="18"/>
          <w:szCs w:val="18"/>
          <w:highlight w:val="none"/>
        </w:rPr>
      </w:pPr>
      <w:r>
        <w:rPr>
          <w:rFonts w:hint="eastAsia" w:ascii="宋体" w:hAnsi="宋体" w:cs="宋体"/>
          <w:color w:val="auto"/>
          <w:kern w:val="0"/>
          <w:sz w:val="18"/>
          <w:szCs w:val="18"/>
          <w:highlight w:val="none"/>
          <w:lang w:val="en-US" w:eastAsia="zh-CN"/>
        </w:rPr>
        <w:t>a.</w:t>
      </w:r>
      <w:r>
        <w:rPr>
          <w:rFonts w:hint="eastAsia" w:ascii="宋体" w:hAnsi="宋体" w:eastAsia="宋体" w:cs="宋体"/>
          <w:color w:val="auto"/>
          <w:kern w:val="0"/>
          <w:sz w:val="18"/>
          <w:szCs w:val="18"/>
          <w:highlight w:val="none"/>
        </w:rPr>
        <w:t>招标人应在招标文件中规定投标人在所投标段中标</w:t>
      </w:r>
      <w:r>
        <w:rPr>
          <w:rFonts w:hint="eastAsia" w:ascii="宋体" w:hAnsi="宋体" w:cs="宋体"/>
          <w:color w:val="auto"/>
          <w:kern w:val="0"/>
          <w:sz w:val="18"/>
          <w:szCs w:val="18"/>
          <w:highlight w:val="none"/>
          <w:lang w:val="en-US" w:eastAsia="zh-CN"/>
        </w:rPr>
        <w:t>须</w:t>
      </w:r>
      <w:r>
        <w:rPr>
          <w:rFonts w:hint="eastAsia" w:ascii="宋体" w:hAnsi="宋体" w:eastAsia="宋体" w:cs="宋体"/>
          <w:color w:val="auto"/>
          <w:kern w:val="0"/>
          <w:sz w:val="18"/>
          <w:szCs w:val="18"/>
          <w:highlight w:val="none"/>
        </w:rPr>
        <w:t>提供的主要试验检测设备。招标人将在合同谈判阶段要求中标人按照本表的最低要求填报为本标段配备的主要设备，在经招标人审批后作为投入本标段的主要设备且不允许更换。如中标人拟提供的设备数量和规格指标等不满足本表要求，招标人应取消其中标资格。</w:t>
      </w:r>
    </w:p>
    <w:p w14:paraId="378AD913">
      <w:pPr>
        <w:pStyle w:val="37"/>
        <w:ind w:left="360" w:hanging="360" w:hangingChars="200"/>
        <w:rPr>
          <w:rFonts w:hint="eastAsia" w:ascii="宋体" w:hAnsi="宋体" w:eastAsia="宋体" w:cs="宋体"/>
          <w:color w:val="auto"/>
          <w:highlight w:val="none"/>
        </w:rPr>
      </w:pPr>
      <w:r>
        <w:rPr>
          <w:rFonts w:hint="eastAsia" w:ascii="宋体" w:hAnsi="宋体" w:cs="宋体"/>
          <w:color w:val="auto"/>
          <w:kern w:val="0"/>
          <w:sz w:val="18"/>
          <w:szCs w:val="18"/>
          <w:highlight w:val="none"/>
          <w:lang w:val="en-US" w:eastAsia="zh-CN"/>
        </w:rPr>
        <w:t xml:space="preserve">    b.</w:t>
      </w:r>
      <w:r>
        <w:rPr>
          <w:rFonts w:hint="eastAsia" w:ascii="宋体" w:hAnsi="宋体" w:eastAsia="宋体" w:cs="宋体"/>
          <w:color w:val="auto"/>
          <w:sz w:val="18"/>
          <w:szCs w:val="18"/>
          <w:highlight w:val="none"/>
        </w:rPr>
        <w:t>本表不适用于已按招标文件要求提供了主要</w:t>
      </w:r>
      <w:r>
        <w:rPr>
          <w:rFonts w:hint="eastAsia" w:ascii="宋体" w:hAnsi="宋体" w:cs="宋体"/>
          <w:color w:val="auto"/>
          <w:sz w:val="18"/>
          <w:szCs w:val="18"/>
          <w:highlight w:val="none"/>
          <w:lang w:val="en-US" w:eastAsia="zh-CN"/>
        </w:rPr>
        <w:t>试验检测设备</w:t>
      </w:r>
      <w:r>
        <w:rPr>
          <w:rFonts w:hint="eastAsia" w:ascii="宋体" w:hAnsi="宋体" w:eastAsia="宋体" w:cs="宋体"/>
          <w:color w:val="auto"/>
          <w:sz w:val="18"/>
          <w:szCs w:val="18"/>
          <w:highlight w:val="none"/>
        </w:rPr>
        <w:t>有特殊要求的工程</w:t>
      </w:r>
      <w:r>
        <w:rPr>
          <w:rFonts w:hint="eastAsia" w:ascii="宋体" w:hAnsi="宋体" w:cs="宋体"/>
          <w:color w:val="auto"/>
          <w:sz w:val="18"/>
          <w:szCs w:val="18"/>
          <w:highlight w:val="none"/>
          <w:lang w:eastAsia="zh-CN"/>
        </w:rPr>
        <w:t>。</w:t>
      </w:r>
    </w:p>
    <w:p w14:paraId="4DB41F9C">
      <w:pPr>
        <w:pStyle w:val="37"/>
        <w:ind w:left="360" w:hanging="360" w:hangingChars="200"/>
        <w:rPr>
          <w:rFonts w:hint="eastAsia" w:ascii="宋体" w:hAnsi="宋体" w:cs="宋体"/>
          <w:color w:val="auto"/>
          <w:sz w:val="18"/>
          <w:szCs w:val="18"/>
          <w:highlight w:val="none"/>
          <w:lang w:val="en-US" w:eastAsia="zh-CN"/>
        </w:rPr>
      </w:pPr>
    </w:p>
  </w:footnote>
  <w:footnote w:id="121">
    <w:p w14:paraId="5AC3C55D">
      <w:pPr>
        <w:pStyle w:val="37"/>
        <w:ind w:left="360" w:hanging="360" w:hanging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本条内容可修改为：“本担保自</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（生效日期）之日起生效，至</w:t>
      </w:r>
      <w:r>
        <w:rPr>
          <w:rFonts w:hint="eastAsia" w:ascii="宋体" w:hAnsi="宋体" w:eastAsia="宋体" w:cs="宋体"/>
          <w:color w:val="auto"/>
          <w:sz w:val="18"/>
          <w:szCs w:val="18"/>
          <w:highlight w:val="none"/>
          <w:u w:val="single"/>
        </w:rPr>
        <w:t xml:space="preserve">       </w:t>
      </w:r>
      <w:r>
        <w:rPr>
          <w:rFonts w:hint="eastAsia" w:ascii="宋体" w:hAnsi="宋体" w:eastAsia="宋体" w:cs="宋体"/>
          <w:color w:val="auto"/>
          <w:sz w:val="18"/>
          <w:szCs w:val="18"/>
          <w:highlight w:val="none"/>
        </w:rPr>
        <w:t>（失效日期）之日失效。”如委托人接受履约保函采用固定有效期，在项目专用合同条款中应增加保证</w:t>
      </w:r>
      <w:r>
        <w:rPr>
          <w:rFonts w:hint="eastAsia" w:ascii="宋体" w:hAnsi="宋体" w:cs="宋体"/>
          <w:color w:val="auto"/>
          <w:sz w:val="18"/>
          <w:szCs w:val="18"/>
          <w:highlight w:val="none"/>
          <w:lang w:val="en-US" w:eastAsia="zh-CN"/>
        </w:rPr>
        <w:t>试验检测机构</w:t>
      </w:r>
      <w:r>
        <w:rPr>
          <w:rFonts w:hint="eastAsia" w:ascii="宋体" w:hAnsi="宋体" w:eastAsia="宋体" w:cs="宋体"/>
          <w:color w:val="auto"/>
          <w:sz w:val="18"/>
          <w:szCs w:val="18"/>
          <w:highlight w:val="none"/>
        </w:rPr>
        <w:t>在履约保函失效日前向委托人出具后续阶段履约保函的约束性条款，直至委托人签发交工验收证书且</w:t>
      </w:r>
      <w:r>
        <w:rPr>
          <w:rFonts w:hint="eastAsia" w:ascii="宋体" w:hAnsi="宋体" w:cs="宋体"/>
          <w:color w:val="auto"/>
          <w:sz w:val="18"/>
          <w:szCs w:val="18"/>
          <w:highlight w:val="none"/>
          <w:lang w:val="en-US" w:eastAsia="zh-CN"/>
        </w:rPr>
        <w:t>试验检测机构</w:t>
      </w:r>
      <w:r>
        <w:rPr>
          <w:rFonts w:hint="eastAsia" w:ascii="宋体" w:hAnsi="宋体" w:eastAsia="宋体" w:cs="宋体"/>
          <w:color w:val="auto"/>
          <w:sz w:val="18"/>
          <w:szCs w:val="18"/>
          <w:highlight w:val="none"/>
        </w:rPr>
        <w:t>按照合同约定提交缺陷责任保函之日为止。</w:t>
      </w:r>
    </w:p>
  </w:footnote>
  <w:footnote w:id="122">
    <w:p w14:paraId="1128A64F">
      <w:pPr>
        <w:pStyle w:val="37"/>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招标人可结合招标项目具体特点和实际需要，对本章内容进行补充、细化。</w:t>
      </w:r>
    </w:p>
  </w:footnote>
  <w:footnote w:id="123">
    <w:p w14:paraId="79F4B4FF">
      <w:pPr>
        <w:pStyle w:val="37"/>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招标人可结合招标项目具体特点和实际需要，对本章内容进行补充、细化。</w:t>
      </w:r>
    </w:p>
  </w:footnote>
  <w:footnote w:id="124">
    <w:p w14:paraId="322FEA25">
      <w:pPr>
        <w:pStyle w:val="37"/>
        <w:rPr>
          <w:rFonts w:hint="eastAsia" w:ascii="宋体" w:hAnsi="宋体" w:eastAsia="宋体" w:cs="宋体"/>
          <w:color w:val="auto"/>
          <w:sz w:val="18"/>
          <w:szCs w:val="18"/>
          <w:highlight w:val="none"/>
        </w:rPr>
      </w:pPr>
      <w:r>
        <w:rPr>
          <w:rStyle w:val="58"/>
          <w:rFonts w:hint="eastAsia" w:ascii="宋体" w:hAnsi="宋体" w:eastAsia="宋体" w:cs="宋体"/>
          <w:color w:val="auto"/>
          <w:sz w:val="18"/>
          <w:szCs w:val="18"/>
          <w:highlight w:val="none"/>
          <w:vertAlign w:val="baseli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以联合体</w:t>
      </w:r>
      <w:r>
        <w:rPr>
          <w:rFonts w:hint="eastAsia" w:ascii="宋体" w:hAnsi="宋体" w:cs="宋体"/>
          <w:color w:val="auto"/>
          <w:sz w:val="18"/>
          <w:szCs w:val="18"/>
          <w:highlight w:val="none"/>
          <w:lang w:val="en-US" w:eastAsia="zh-CN"/>
        </w:rPr>
        <w:t>形式</w:t>
      </w:r>
      <w:r>
        <w:rPr>
          <w:rFonts w:hint="eastAsia" w:ascii="宋体" w:hAnsi="宋体" w:eastAsia="宋体" w:cs="宋体"/>
          <w:color w:val="auto"/>
          <w:sz w:val="18"/>
          <w:szCs w:val="18"/>
          <w:highlight w:val="none"/>
        </w:rPr>
        <w:t>投标的，为联合体牵头人单位全称。</w:t>
      </w:r>
    </w:p>
  </w:footnote>
  <w:footnote w:id="125">
    <w:p w14:paraId="12C66D6C">
      <w:pPr>
        <w:pStyle w:val="37"/>
        <w:ind w:left="360" w:hanging="360" w:hanging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cs="宋体"/>
          <w:color w:val="auto"/>
          <w:highlight w:val="none"/>
        </w:rPr>
        <w:t>招标人不接受联合体投标的，或投标人没有组成联合体的，删除“联合体协议书”，投标文件的组成序号顺次修改</w:t>
      </w:r>
      <w:r>
        <w:rPr>
          <w:rFonts w:hint="eastAsia" w:ascii="宋体" w:hAnsi="宋体" w:eastAsia="宋体" w:cs="宋体"/>
          <w:color w:val="auto"/>
          <w:sz w:val="18"/>
          <w:szCs w:val="18"/>
          <w:highlight w:val="none"/>
        </w:rPr>
        <w:t>。</w:t>
      </w:r>
    </w:p>
  </w:footnote>
  <w:footnote w:id="126">
    <w:p w14:paraId="5172DEB0">
      <w:pPr>
        <w:pStyle w:val="37"/>
        <w:ind w:left="360" w:hanging="360" w:hanging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本条款不包括</w:t>
      </w:r>
      <w:r>
        <w:rPr>
          <w:rFonts w:hint="eastAsia" w:ascii="宋体" w:hAnsi="宋体" w:eastAsia="宋体" w:cs="宋体"/>
          <w:color w:val="auto"/>
          <w:sz w:val="18"/>
          <w:szCs w:val="18"/>
          <w:highlight w:val="none"/>
        </w:rPr>
        <w:t>已按招标文件</w:t>
      </w:r>
      <w:r>
        <w:rPr>
          <w:rFonts w:hint="eastAsia" w:ascii="宋体" w:hAnsi="宋体" w:cs="宋体"/>
          <w:color w:val="auto"/>
          <w:sz w:val="18"/>
          <w:szCs w:val="18"/>
          <w:highlight w:val="none"/>
          <w:lang w:val="en-US" w:eastAsia="zh-CN"/>
        </w:rPr>
        <w:t>资格审查条件</w:t>
      </w:r>
      <w:r>
        <w:rPr>
          <w:rFonts w:hint="eastAsia" w:ascii="宋体" w:hAnsi="宋体" w:eastAsia="宋体" w:cs="宋体"/>
          <w:color w:val="auto"/>
          <w:sz w:val="18"/>
          <w:szCs w:val="18"/>
          <w:highlight w:val="none"/>
        </w:rPr>
        <w:t>要求提供了</w:t>
      </w:r>
      <w:r>
        <w:rPr>
          <w:rFonts w:hint="eastAsia" w:ascii="宋体" w:hAnsi="宋体" w:cs="宋体"/>
          <w:color w:val="auto"/>
          <w:sz w:val="18"/>
          <w:szCs w:val="18"/>
          <w:highlight w:val="none"/>
          <w:lang w:val="en-US" w:eastAsia="zh-CN"/>
        </w:rPr>
        <w:t>的其他主要</w:t>
      </w:r>
      <w:r>
        <w:rPr>
          <w:rFonts w:hint="eastAsia" w:ascii="宋体" w:hAnsi="宋体" w:eastAsia="宋体" w:cs="宋体"/>
          <w:color w:val="auto"/>
          <w:sz w:val="18"/>
          <w:szCs w:val="18"/>
          <w:highlight w:val="none"/>
        </w:rPr>
        <w:t>人员</w:t>
      </w:r>
      <w:r>
        <w:rPr>
          <w:rFonts w:hint="eastAsia" w:ascii="宋体" w:hAnsi="宋体" w:cs="宋体"/>
          <w:color w:val="auto"/>
          <w:sz w:val="18"/>
          <w:szCs w:val="18"/>
          <w:highlight w:val="none"/>
          <w:lang w:val="en-US" w:eastAsia="zh-CN"/>
        </w:rPr>
        <w:t>及主要</w:t>
      </w:r>
      <w:r>
        <w:rPr>
          <w:rFonts w:hint="eastAsia" w:ascii="宋体" w:hAnsi="宋体" w:eastAsia="宋体" w:cs="宋体"/>
          <w:color w:val="auto"/>
          <w:sz w:val="18"/>
          <w:szCs w:val="18"/>
          <w:highlight w:val="none"/>
        </w:rPr>
        <w:t>试验检测设备。</w:t>
      </w:r>
    </w:p>
  </w:footnote>
  <w:footnote w:id="127">
    <w:p w14:paraId="7DC267E4">
      <w:pPr>
        <w:pStyle w:val="37"/>
        <w:rPr>
          <w:rFonts w:hint="eastAsia" w:ascii="宋体" w:hAnsi="宋体" w:eastAsia="宋体" w:cs="宋体"/>
          <w:color w:val="auto"/>
          <w:sz w:val="18"/>
          <w:szCs w:val="18"/>
          <w:highlight w:val="none"/>
        </w:rPr>
      </w:pPr>
      <w:r>
        <w:rPr>
          <w:rStyle w:val="58"/>
          <w:rFonts w:hint="eastAsia" w:ascii="宋体" w:hAnsi="宋体" w:eastAsia="宋体" w:cs="宋体"/>
          <w:color w:val="auto"/>
          <w:sz w:val="18"/>
          <w:szCs w:val="18"/>
          <w:highlight w:val="none"/>
          <w:vertAlign w:val="baseline"/>
        </w:rPr>
        <w:footnoteRef/>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以联合体形式投标的，为联合体牵头人单位全称。</w:t>
      </w:r>
    </w:p>
  </w:footnote>
  <w:footnote w:id="128">
    <w:p w14:paraId="65926989">
      <w:pPr>
        <w:pStyle w:val="37"/>
        <w:rPr>
          <w:rFonts w:hint="eastAsia" w:ascii="宋体" w:hAnsi="宋体" w:eastAsia="宋体" w:cs="宋体"/>
          <w:color w:val="auto"/>
          <w:sz w:val="18"/>
          <w:szCs w:val="18"/>
          <w:highlight w:val="none"/>
        </w:rPr>
      </w:pPr>
      <w:r>
        <w:rPr>
          <w:rStyle w:val="58"/>
          <w:rFonts w:hint="eastAsia" w:ascii="宋体" w:hAnsi="宋体" w:eastAsia="宋体" w:cs="宋体"/>
          <w:color w:val="auto"/>
          <w:sz w:val="18"/>
          <w:szCs w:val="18"/>
          <w:highlight w:val="none"/>
          <w:vertAlign w:val="baseli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以联合体形式投标的，只需联合体牵头人盖单位电子印章。</w:t>
      </w:r>
    </w:p>
  </w:footnote>
  <w:footnote w:id="129">
    <w:p w14:paraId="28664CFA">
      <w:pPr>
        <w:pStyle w:val="37"/>
        <w:rPr>
          <w:rFonts w:hint="eastAsia" w:ascii="宋体" w:hAnsi="宋体" w:eastAsia="宋体" w:cs="宋体"/>
          <w:color w:val="auto"/>
          <w:sz w:val="18"/>
          <w:szCs w:val="18"/>
          <w:highlight w:val="none"/>
        </w:rPr>
      </w:pPr>
      <w:r>
        <w:rPr>
          <w:rStyle w:val="58"/>
          <w:rFonts w:hint="eastAsia" w:ascii="宋体" w:hAnsi="宋体" w:eastAsia="宋体" w:cs="宋体"/>
          <w:color w:val="auto"/>
          <w:sz w:val="18"/>
          <w:szCs w:val="18"/>
          <w:highlight w:val="none"/>
          <w:vertAlign w:val="baseli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以联合体形式投标的，为联合体牵头人的法定代表人或其委托代理人。</w:t>
      </w:r>
    </w:p>
  </w:footnote>
  <w:footnote w:id="130">
    <w:p w14:paraId="13766617">
      <w:pPr>
        <w:pStyle w:val="37"/>
        <w:ind w:left="360" w:hanging="360" w:hangingChars="200"/>
        <w:rPr>
          <w:rFonts w:hint="eastAsia" w:ascii="宋体" w:hAnsi="宋体" w:eastAsia="宋体" w:cs="宋体"/>
          <w:color w:val="auto"/>
          <w:sz w:val="18"/>
          <w:szCs w:val="18"/>
          <w:highlight w:val="none"/>
        </w:rPr>
      </w:pPr>
      <w:r>
        <w:rPr>
          <w:rStyle w:val="58"/>
          <w:rFonts w:hint="eastAsia" w:ascii="宋体" w:hAnsi="宋体" w:eastAsia="宋体" w:cs="宋体"/>
          <w:color w:val="auto"/>
          <w:sz w:val="18"/>
          <w:szCs w:val="18"/>
          <w:highlight w:val="none"/>
          <w:vertAlign w:val="baseli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联合体协议书采用线上电子签署方式时指加盖联合体牵头人单位电子印章，采用线下签署方式时指加盖联合体牵头人单位章。</w:t>
      </w:r>
    </w:p>
  </w:footnote>
  <w:footnote w:id="131">
    <w:p w14:paraId="49FA173B">
      <w:pPr>
        <w:pStyle w:val="37"/>
        <w:ind w:left="360" w:hanging="360" w:hangingChars="200"/>
        <w:rPr>
          <w:rFonts w:hint="eastAsia" w:ascii="宋体" w:hAnsi="宋体" w:eastAsia="宋体" w:cs="宋体"/>
          <w:color w:val="auto"/>
          <w:sz w:val="18"/>
          <w:szCs w:val="18"/>
          <w:highlight w:val="none"/>
        </w:rPr>
      </w:pPr>
      <w:r>
        <w:rPr>
          <w:rStyle w:val="58"/>
          <w:rFonts w:hint="eastAsia" w:ascii="宋体" w:hAnsi="宋体" w:eastAsia="宋体" w:cs="宋体"/>
          <w:color w:val="auto"/>
          <w:sz w:val="18"/>
          <w:szCs w:val="18"/>
          <w:highlight w:val="none"/>
          <w:vertAlign w:val="baseli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联合体协议书采用线上电子签署方式时指联合体牵头人法定代表人个人电子签名章或个人电子印章。采用线下签署方式时指联合体牵头人法定代表人签字。</w:t>
      </w:r>
    </w:p>
  </w:footnote>
  <w:footnote w:id="132">
    <w:p w14:paraId="1AEE02EE">
      <w:pPr>
        <w:pStyle w:val="37"/>
        <w:ind w:left="360" w:hanging="360" w:hangingChars="200"/>
        <w:rPr>
          <w:rFonts w:hint="eastAsia" w:ascii="宋体" w:hAnsi="宋体" w:eastAsia="宋体" w:cs="宋体"/>
          <w:color w:val="auto"/>
          <w:sz w:val="18"/>
          <w:szCs w:val="18"/>
          <w:highlight w:val="none"/>
        </w:rPr>
      </w:pPr>
      <w:r>
        <w:rPr>
          <w:rStyle w:val="58"/>
          <w:rFonts w:hint="eastAsia" w:ascii="宋体" w:hAnsi="宋体" w:eastAsia="宋体" w:cs="宋体"/>
          <w:color w:val="auto"/>
          <w:sz w:val="18"/>
          <w:szCs w:val="18"/>
          <w:highlight w:val="none"/>
          <w:vertAlign w:val="baseli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联合体协议书采用线上电子签署方式时指加盖联合体成员单位电子印章，采用线下签署方式时指加盖联合体成员单位章。</w:t>
      </w:r>
    </w:p>
  </w:footnote>
  <w:footnote w:id="133">
    <w:p w14:paraId="0C2957B2">
      <w:pPr>
        <w:pStyle w:val="37"/>
        <w:ind w:left="360" w:hanging="360" w:hangingChars="200"/>
        <w:rPr>
          <w:rFonts w:hint="eastAsia" w:ascii="宋体" w:hAnsi="宋体" w:eastAsia="宋体" w:cs="宋体"/>
          <w:color w:val="auto"/>
          <w:sz w:val="18"/>
          <w:szCs w:val="18"/>
          <w:highlight w:val="none"/>
        </w:rPr>
      </w:pPr>
      <w:r>
        <w:rPr>
          <w:rStyle w:val="58"/>
          <w:rFonts w:hint="eastAsia" w:ascii="宋体" w:hAnsi="宋体" w:eastAsia="宋体" w:cs="宋体"/>
          <w:color w:val="auto"/>
          <w:sz w:val="18"/>
          <w:szCs w:val="18"/>
          <w:highlight w:val="none"/>
          <w:vertAlign w:val="baseli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联合体协议书采用线上电子签署方式时指联合体成员法定代表人个人电子签名章或个人电子印章。采用线下签署方式时指联合体成员法定代表人签字。</w:t>
      </w:r>
    </w:p>
  </w:footnote>
  <w:footnote w:id="134">
    <w:p w14:paraId="12F1988F">
      <w:pPr>
        <w:pStyle w:val="37"/>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投标保证金若采用银行保函形式，指提交银行保函的担保机构加盖其单位章或业务专用章。</w:t>
      </w:r>
    </w:p>
  </w:footnote>
  <w:footnote w:id="135">
    <w:p w14:paraId="01068A45">
      <w:pPr>
        <w:pStyle w:val="37"/>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提交银行保函的担保机构的法定代表人或负责人（或其委托代理人）签字或签名章。</w:t>
      </w:r>
    </w:p>
  </w:footnote>
  <w:footnote w:id="136">
    <w:p w14:paraId="7ABAC2AA">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 xml:space="preserve"> 招标人要求的监理</w:t>
      </w:r>
      <w:r>
        <w:rPr>
          <w:rFonts w:hint="eastAsia" w:ascii="宋体" w:hAnsi="宋体" w:cs="宋体"/>
          <w:color w:val="auto"/>
          <w:highlight w:val="none"/>
          <w:lang w:val="en-US" w:eastAsia="zh-CN"/>
        </w:rPr>
        <w:t>试验室</w:t>
      </w:r>
      <w:r>
        <w:rPr>
          <w:rFonts w:hint="eastAsia" w:ascii="宋体" w:hAnsi="宋体" w:eastAsia="宋体" w:cs="宋体"/>
          <w:color w:val="auto"/>
          <w:highlight w:val="none"/>
        </w:rPr>
        <w:t>资质有多个时应附全部要求的资质证书。</w:t>
      </w:r>
    </w:p>
  </w:footnote>
  <w:footnote w:id="137">
    <w:p w14:paraId="512D768B">
      <w:pPr>
        <w:pStyle w:val="37"/>
        <w:snapToGrid w:val="0"/>
        <w:rPr>
          <w:rFonts w:hint="eastAsia" w:ascii="宋体" w:hAnsi="宋体" w:eastAsia="宋体" w:cs="宋体"/>
          <w:lang w:val="en-US" w:eastAsia="zh-CN"/>
        </w:rPr>
      </w:pPr>
      <w:r>
        <w:rPr>
          <w:rStyle w:val="58"/>
          <w:rFonts w:hint="eastAsia" w:ascii="宋体" w:hAnsi="宋体" w:cs="宋体"/>
          <w:vertAlign w:val="baseline"/>
        </w:rPr>
        <w:footnoteRef/>
      </w:r>
      <w:r>
        <w:rPr>
          <w:rFonts w:hint="eastAsia" w:ascii="宋体" w:hAnsi="宋体" w:cs="宋体"/>
          <w:vertAlign w:val="baseline"/>
        </w:rPr>
        <w:t xml:space="preserve"> </w:t>
      </w:r>
      <w:r>
        <w:rPr>
          <w:rFonts w:hint="eastAsia" w:ascii="宋体" w:hAnsi="宋体" w:cs="宋体"/>
          <w:lang w:val="en-US" w:eastAsia="zh-CN"/>
        </w:rPr>
        <w:t xml:space="preserve"> </w:t>
      </w:r>
      <w:r>
        <w:rPr>
          <w:rFonts w:hint="eastAsia" w:ascii="宋体" w:hAnsi="宋体" w:cs="宋体"/>
          <w:color w:val="auto"/>
          <w:highlight w:val="none"/>
        </w:rPr>
        <w:t>第二章“投标人须知”前附表附录</w:t>
      </w:r>
      <w:r>
        <w:rPr>
          <w:rFonts w:hint="eastAsia" w:ascii="宋体" w:hAnsi="宋体" w:eastAsia="宋体" w:cs="宋体"/>
          <w:color w:val="auto"/>
          <w:highlight w:val="none"/>
          <w:lang w:eastAsia="zh-CN"/>
        </w:rPr>
        <w:t>2</w:t>
      </w:r>
      <w:r>
        <w:rPr>
          <w:rFonts w:hint="eastAsia" w:ascii="宋体" w:hAnsi="宋体" w:cs="宋体"/>
          <w:color w:val="auto"/>
          <w:highlight w:val="none"/>
        </w:rPr>
        <w:t>资格审查条件</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业绩最低要求</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第三章“评标办法”详细评审打分未作</w:t>
      </w:r>
      <w:r>
        <w:rPr>
          <w:rFonts w:hint="eastAsia" w:ascii="宋体" w:hAnsi="宋体" w:cs="宋体"/>
          <w:color w:val="auto"/>
          <w:highlight w:val="none"/>
        </w:rPr>
        <w:t>要求</w:t>
      </w:r>
      <w:r>
        <w:rPr>
          <w:rFonts w:hint="eastAsia" w:ascii="宋体" w:hAnsi="宋体" w:cs="宋体"/>
          <w:color w:val="auto"/>
          <w:highlight w:val="none"/>
          <w:lang w:val="en-US" w:eastAsia="zh-CN"/>
        </w:rPr>
        <w:t>的分项业绩表可删去，对应表格组成序号顺次修改。</w:t>
      </w:r>
    </w:p>
  </w:footnote>
  <w:footnote w:id="138">
    <w:p w14:paraId="3C48FF02">
      <w:pPr>
        <w:pStyle w:val="37"/>
        <w:spacing w:line="240" w:lineRule="auto"/>
        <w:ind w:left="360" w:hanging="360" w:hangingChars="200"/>
        <w:jc w:val="both"/>
        <w:rPr>
          <w:rFonts w:hint="eastAsia" w:ascii="宋体" w:hAnsi="宋体" w:cs="宋体"/>
          <w:color w:val="auto"/>
          <w:highlight w:val="none"/>
        </w:rPr>
      </w:pPr>
      <w:r>
        <w:rPr>
          <w:rStyle w:val="58"/>
          <w:rFonts w:hint="eastAsia" w:ascii="宋体" w:hAnsi="宋体" w:cs="宋体"/>
          <w:color w:val="auto"/>
          <w:highlight w:val="none"/>
          <w:vertAlign w:val="baseline"/>
        </w:rPr>
        <w:footnoteRef/>
      </w:r>
      <w:r>
        <w:rPr>
          <w:rFonts w:hint="eastAsia" w:ascii="宋体" w:hAnsi="宋体" w:cs="宋体"/>
          <w:color w:val="auto"/>
          <w:szCs w:val="18"/>
          <w:highlight w:val="none"/>
        </w:rPr>
        <w:t xml:space="preserve"> </w:t>
      </w:r>
      <w:r>
        <w:rPr>
          <w:rFonts w:hint="eastAsia" w:ascii="宋体" w:hAnsi="宋体" w:cs="宋体"/>
          <w:color w:val="auto"/>
          <w:szCs w:val="18"/>
          <w:highlight w:val="none"/>
          <w:lang w:val="en-US" w:eastAsia="zh-CN"/>
        </w:rPr>
        <w:t xml:space="preserve"> </w:t>
      </w:r>
      <w:r>
        <w:rPr>
          <w:rFonts w:hint="eastAsia" w:ascii="宋体" w:hAnsi="宋体" w:cs="宋体"/>
          <w:color w:val="auto"/>
          <w:szCs w:val="18"/>
          <w:highlight w:val="none"/>
        </w:rPr>
        <w:t>本项规定仅适用于根据《关于发布公路工程从业企业资质名录的通知》（厅公路字〔2011〕114号）要求，招标人应通过名录对投标人资质条件进行审核的公路施工监理企业。</w:t>
      </w:r>
      <w:r>
        <w:rPr>
          <w:rFonts w:hint="eastAsia" w:ascii="宋体" w:hAnsi="宋体"/>
          <w:color w:val="auto"/>
          <w:szCs w:val="21"/>
          <w:highlight w:val="none"/>
          <w:lang w:val="en-US" w:eastAsia="zh-CN"/>
        </w:rPr>
        <w:t>否则，招标人可对相关业绩提出其他证明材料要求。</w:t>
      </w:r>
    </w:p>
  </w:footnote>
  <w:footnote w:id="139">
    <w:p w14:paraId="2823A9B1">
      <w:pPr>
        <w:pStyle w:val="37"/>
        <w:spacing w:line="240" w:lineRule="auto"/>
        <w:ind w:left="360" w:hanging="360" w:hangingChars="200"/>
        <w:jc w:val="both"/>
        <w:rPr>
          <w:rFonts w:hint="eastAsia" w:ascii="宋体" w:hAnsi="宋体" w:cs="宋体"/>
          <w:color w:val="auto"/>
          <w:highlight w:val="none"/>
        </w:rPr>
      </w:pPr>
      <w:r>
        <w:rPr>
          <w:rStyle w:val="58"/>
          <w:rFonts w:hint="eastAsia" w:ascii="宋体" w:hAnsi="宋体" w:cs="宋体"/>
          <w:color w:val="auto"/>
          <w:highlight w:val="none"/>
          <w:vertAlign w:val="baseline"/>
        </w:rPr>
        <w:footnoteRef/>
      </w:r>
      <w:r>
        <w:rPr>
          <w:rFonts w:hint="eastAsia" w:ascii="宋体" w:hAnsi="宋体" w:cs="宋体"/>
          <w:color w:val="auto"/>
          <w:szCs w:val="18"/>
          <w:highlight w:val="none"/>
        </w:rPr>
        <w:t xml:space="preserve"> </w:t>
      </w:r>
      <w:r>
        <w:rPr>
          <w:rFonts w:hint="eastAsia" w:ascii="宋体" w:hAnsi="宋体" w:cs="宋体"/>
          <w:color w:val="auto"/>
          <w:szCs w:val="18"/>
          <w:highlight w:val="none"/>
          <w:lang w:val="en-US" w:eastAsia="zh-CN"/>
        </w:rPr>
        <w:t xml:space="preserve"> </w:t>
      </w:r>
      <w:r>
        <w:rPr>
          <w:rFonts w:hint="eastAsia" w:ascii="宋体" w:hAnsi="宋体" w:cs="宋体"/>
          <w:color w:val="auto"/>
          <w:szCs w:val="18"/>
          <w:highlight w:val="none"/>
        </w:rPr>
        <w:t>本项规定仅适用于根据《关于发布公路工程从业企业资质名录的通知》（厅公路字〔2011〕114号）要求，招标人应通过名录对投标人资质条件进行审核的公路施工监理企业。</w:t>
      </w:r>
      <w:r>
        <w:rPr>
          <w:rFonts w:hint="eastAsia" w:ascii="宋体" w:hAnsi="宋体"/>
          <w:color w:val="auto"/>
          <w:szCs w:val="21"/>
          <w:highlight w:val="none"/>
          <w:lang w:val="en-US" w:eastAsia="zh-CN"/>
        </w:rPr>
        <w:t>否则，招标人可对相关业绩提出其他证明材料要求。</w:t>
      </w:r>
    </w:p>
  </w:footnote>
  <w:footnote w:id="140">
    <w:p w14:paraId="06B1CBFD">
      <w:pPr>
        <w:pStyle w:val="37"/>
        <w:spacing w:line="240" w:lineRule="auto"/>
        <w:ind w:left="360" w:hanging="360" w:hangingChars="200"/>
        <w:jc w:val="both"/>
        <w:rPr>
          <w:rFonts w:hint="eastAsia" w:ascii="宋体" w:hAnsi="宋体" w:cs="宋体"/>
          <w:color w:val="auto"/>
          <w:highlight w:val="none"/>
        </w:rPr>
      </w:pPr>
      <w:r>
        <w:rPr>
          <w:rStyle w:val="58"/>
          <w:rFonts w:hint="eastAsia" w:ascii="宋体" w:hAnsi="宋体" w:cs="宋体"/>
          <w:color w:val="auto"/>
          <w:highlight w:val="none"/>
          <w:vertAlign w:val="baseline"/>
        </w:rPr>
        <w:footnoteRef/>
      </w:r>
      <w:r>
        <w:rPr>
          <w:rFonts w:hint="eastAsia" w:ascii="宋体" w:hAnsi="宋体" w:cs="宋体"/>
          <w:color w:val="auto"/>
          <w:szCs w:val="18"/>
          <w:highlight w:val="none"/>
        </w:rPr>
        <w:t xml:space="preserve"> </w:t>
      </w:r>
      <w:r>
        <w:rPr>
          <w:rFonts w:hint="eastAsia" w:ascii="宋体" w:hAnsi="宋体" w:cs="宋体"/>
          <w:color w:val="auto"/>
          <w:szCs w:val="18"/>
          <w:highlight w:val="none"/>
          <w:lang w:val="en-US" w:eastAsia="zh-CN"/>
        </w:rPr>
        <w:t xml:space="preserve"> </w:t>
      </w:r>
      <w:r>
        <w:rPr>
          <w:rFonts w:hint="eastAsia" w:ascii="宋体" w:hAnsi="宋体" w:cs="宋体"/>
          <w:color w:val="auto"/>
          <w:szCs w:val="18"/>
          <w:highlight w:val="none"/>
        </w:rPr>
        <w:t>本项规定仅适用于根据《关于发布公路工程从业企业资质名录的通知》（厅公路字〔2011〕114号）要求，招标人应通过名录对投标人资质条件进行审核的公路施工监理企业。</w:t>
      </w:r>
      <w:r>
        <w:rPr>
          <w:rFonts w:hint="eastAsia" w:ascii="宋体" w:hAnsi="宋体"/>
          <w:color w:val="auto"/>
          <w:szCs w:val="21"/>
          <w:highlight w:val="none"/>
          <w:lang w:val="en-US" w:eastAsia="zh-CN"/>
        </w:rPr>
        <w:t>否则，招标人可对相关业绩提出其他证明材料要求。</w:t>
      </w:r>
    </w:p>
  </w:footnote>
  <w:footnote w:id="141">
    <w:p w14:paraId="6B8DE914">
      <w:pPr>
        <w:pStyle w:val="37"/>
        <w:jc w:val="both"/>
        <w:rPr>
          <w:rFonts w:hint="eastAsia" w:ascii="宋体" w:hAnsi="宋体" w:cs="宋体"/>
          <w:color w:val="auto"/>
          <w:highlight w:val="none"/>
        </w:rPr>
      </w:pPr>
      <w:r>
        <w:rPr>
          <w:rFonts w:hint="eastAsia" w:ascii="宋体" w:hAnsi="宋体" w:cs="宋体"/>
          <w:color w:val="auto"/>
          <w:highlight w:val="no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以联合体形式投标的，此处指联合体牵头人及所有成员方，并对应提供联合体各方的上述信誉情况资料。</w:t>
      </w:r>
    </w:p>
  </w:footnote>
  <w:footnote w:id="142">
    <w:p w14:paraId="4B46F532">
      <w:pPr>
        <w:pStyle w:val="37"/>
        <w:ind w:left="360" w:hanging="360" w:hangingChars="200"/>
        <w:jc w:val="both"/>
        <w:rPr>
          <w:rFonts w:hint="eastAsia" w:ascii="宋体" w:hAnsi="宋体" w:cs="宋体"/>
          <w:color w:val="auto"/>
          <w:highlight w:val="none"/>
        </w:rPr>
      </w:pPr>
      <w:r>
        <w:rPr>
          <w:rStyle w:val="58"/>
          <w:rFonts w:hint="eastAsia" w:ascii="宋体" w:hAnsi="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szCs w:val="18"/>
          <w:highlight w:val="none"/>
        </w:rPr>
        <w:t>其</w:t>
      </w:r>
      <w:r>
        <w:rPr>
          <w:rFonts w:hint="eastAsia" w:ascii="宋体" w:hAnsi="宋体" w:cs="宋体"/>
          <w:color w:val="auto"/>
          <w:szCs w:val="18"/>
          <w:highlight w:val="none"/>
          <w:lang w:val="en-US" w:eastAsia="zh-CN"/>
        </w:rPr>
        <w:t>他</w:t>
      </w:r>
      <w:r>
        <w:rPr>
          <w:rFonts w:hint="eastAsia" w:ascii="宋体" w:hAnsi="宋体" w:cs="宋体"/>
          <w:color w:val="auto"/>
          <w:szCs w:val="18"/>
          <w:highlight w:val="none"/>
        </w:rPr>
        <w:t>信誉条件，根据招标文件第二章“投标人须知”前附表附录3资格审查条件（信誉最低要求）的其他要求内容，</w:t>
      </w:r>
      <w:r>
        <w:rPr>
          <w:rFonts w:hint="eastAsia" w:ascii="宋体" w:hAnsi="宋体" w:cs="宋体"/>
          <w:color w:val="auto"/>
          <w:highlight w:val="none"/>
        </w:rPr>
        <w:t>明确所需信誉情况资料</w:t>
      </w:r>
      <w:r>
        <w:rPr>
          <w:rFonts w:hint="eastAsia" w:ascii="宋体" w:hAnsi="宋体" w:cs="宋体"/>
          <w:color w:val="auto"/>
          <w:szCs w:val="18"/>
          <w:highlight w:val="none"/>
        </w:rPr>
        <w:t>。</w:t>
      </w:r>
    </w:p>
  </w:footnote>
  <w:footnote w:id="143">
    <w:p w14:paraId="7130C88C">
      <w:pPr>
        <w:pStyle w:val="37"/>
        <w:ind w:left="360" w:hanging="360" w:hangingChars="200"/>
        <w:jc w:val="both"/>
        <w:rPr>
          <w:rFonts w:hint="eastAsia" w:ascii="宋体" w:hAnsi="宋体" w:cs="宋体"/>
          <w:color w:val="auto"/>
          <w:highlight w:val="none"/>
        </w:rPr>
      </w:pPr>
      <w:r>
        <w:rPr>
          <w:rFonts w:hint="eastAsia" w:ascii="宋体" w:hAnsi="宋体" w:cs="宋体"/>
          <w:color w:val="auto"/>
          <w:highlight w:val="no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以联合体形式投标的，“投标人名称及单位统一社会信用代码、法定代表人的姓名及身份证号”应逐一写明联合体所有成员的内容。</w:t>
      </w:r>
    </w:p>
  </w:footnote>
  <w:footnote w:id="144">
    <w:p w14:paraId="6FF7724C">
      <w:pPr>
        <w:pStyle w:val="37"/>
        <w:jc w:val="both"/>
        <w:rPr>
          <w:rFonts w:hint="eastAsia" w:ascii="宋体" w:hAnsi="宋体" w:cs="宋体"/>
          <w:color w:val="auto"/>
          <w:highlight w:val="none"/>
        </w:rPr>
      </w:pPr>
      <w:r>
        <w:rPr>
          <w:rFonts w:hint="eastAsia" w:ascii="宋体" w:hAnsi="宋体" w:cs="宋体"/>
          <w:color w:val="auto"/>
          <w:highlight w:val="no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主要人员被列入资格审查条件时，相应的人员也须对该项信誉条件进行资格审查。</w:t>
      </w:r>
    </w:p>
  </w:footnote>
  <w:footnote w:id="145">
    <w:p w14:paraId="7EF5477E">
      <w:pPr>
        <w:pStyle w:val="37"/>
        <w:jc w:val="both"/>
        <w:rPr>
          <w:rFonts w:hint="eastAsia" w:ascii="宋体" w:hAnsi="宋体" w:cs="宋体"/>
          <w:color w:val="auto"/>
          <w:highlight w:val="none"/>
        </w:rPr>
      </w:pPr>
      <w:r>
        <w:rPr>
          <w:rStyle w:val="58"/>
          <w:rFonts w:hint="eastAsia" w:ascii="宋体" w:hAnsi="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highlight w:val="none"/>
        </w:rPr>
        <w:t>由招标人根据项目情况设定违约金占合同款的比例。</w:t>
      </w:r>
    </w:p>
  </w:footnote>
  <w:footnote w:id="146">
    <w:p w14:paraId="4DF4048C">
      <w:pPr>
        <w:pStyle w:val="37"/>
        <w:rPr>
          <w:rFonts w:hint="eastAsia" w:ascii="宋体" w:hAnsi="宋体" w:eastAsia="宋体" w:cs="宋体"/>
          <w:color w:val="auto"/>
          <w:sz w:val="18"/>
          <w:szCs w:val="18"/>
          <w:highlight w:val="none"/>
        </w:rPr>
      </w:pPr>
      <w:r>
        <w:rPr>
          <w:rStyle w:val="58"/>
          <w:rFonts w:hint="eastAsia" w:ascii="宋体" w:hAnsi="宋体" w:eastAsia="宋体" w:cs="宋体"/>
          <w:color w:val="auto"/>
          <w:sz w:val="18"/>
          <w:szCs w:val="18"/>
          <w:highlight w:val="none"/>
          <w:vertAlign w:val="baseli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以联合体形式投标的，由联合体牵头人盖单位电子印章。</w:t>
      </w:r>
    </w:p>
  </w:footnote>
  <w:footnote w:id="147">
    <w:p w14:paraId="30B61970">
      <w:pPr>
        <w:pStyle w:val="37"/>
        <w:rPr>
          <w:rFonts w:hint="eastAsia" w:ascii="宋体" w:hAnsi="宋体" w:eastAsia="宋体" w:cs="宋体"/>
          <w:color w:val="auto"/>
          <w:sz w:val="18"/>
          <w:szCs w:val="18"/>
          <w:highlight w:val="none"/>
        </w:rPr>
      </w:pPr>
      <w:r>
        <w:rPr>
          <w:rStyle w:val="58"/>
          <w:rFonts w:hint="eastAsia" w:ascii="宋体" w:hAnsi="宋体" w:eastAsia="宋体" w:cs="宋体"/>
          <w:color w:val="auto"/>
          <w:sz w:val="18"/>
          <w:szCs w:val="18"/>
          <w:highlight w:val="none"/>
          <w:vertAlign w:val="baseli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以联合体形式投标的，由联合体牵头人的法定代表人或其委托代理人加盖个人电子签名章</w:t>
      </w:r>
      <w:bookmarkStart w:id="809" w:name="_Hlk52813824"/>
      <w:r>
        <w:rPr>
          <w:rFonts w:hint="eastAsia" w:ascii="宋体" w:hAnsi="宋体" w:eastAsia="宋体" w:cs="宋体"/>
          <w:color w:val="auto"/>
          <w:sz w:val="18"/>
          <w:szCs w:val="18"/>
          <w:highlight w:val="none"/>
        </w:rPr>
        <w:t>或个人电子印章</w:t>
      </w:r>
      <w:bookmarkEnd w:id="809"/>
      <w:r>
        <w:rPr>
          <w:rFonts w:hint="eastAsia" w:ascii="宋体" w:hAnsi="宋体" w:eastAsia="宋体" w:cs="宋体"/>
          <w:color w:val="auto"/>
          <w:sz w:val="18"/>
          <w:szCs w:val="18"/>
          <w:highlight w:val="none"/>
        </w:rPr>
        <w:t>。</w:t>
      </w:r>
    </w:p>
  </w:footnote>
  <w:footnote w:id="148">
    <w:p w14:paraId="4EE5D7DA">
      <w:pPr>
        <w:pStyle w:val="37"/>
        <w:snapToGrid w:val="0"/>
        <w:rPr>
          <w:rFonts w:hint="eastAsia" w:ascii="宋体" w:hAnsi="宋体" w:eastAsia="宋体" w:cs="宋体"/>
          <w:lang w:val="en-US" w:eastAsia="zh-CN"/>
        </w:rPr>
      </w:pPr>
      <w:r>
        <w:rPr>
          <w:rStyle w:val="58"/>
          <w:rFonts w:hint="eastAsia" w:ascii="宋体" w:hAnsi="宋体" w:cs="宋体"/>
          <w:vertAlign w:val="baseline"/>
        </w:rPr>
        <w:footnoteRef/>
      </w:r>
      <w:r>
        <w:rPr>
          <w:rFonts w:hint="eastAsia" w:ascii="宋体" w:hAnsi="宋体" w:cs="宋体"/>
          <w:vertAlign w:val="baseline"/>
        </w:rPr>
        <w:t xml:space="preserve"> </w:t>
      </w:r>
      <w:r>
        <w:rPr>
          <w:rFonts w:hint="eastAsia" w:ascii="宋体" w:hAnsi="宋体" w:cs="宋体"/>
          <w:lang w:val="en-US" w:eastAsia="zh-CN"/>
        </w:rPr>
        <w:t xml:space="preserve"> </w:t>
      </w:r>
      <w:r>
        <w:rPr>
          <w:rFonts w:hint="eastAsia" w:ascii="宋体" w:hAnsi="宋体" w:cs="宋体"/>
          <w:color w:val="auto"/>
          <w:highlight w:val="none"/>
        </w:rPr>
        <w:t>第二章“投标人须知”前附表附录</w:t>
      </w:r>
      <w:r>
        <w:rPr>
          <w:rFonts w:hint="eastAsia" w:ascii="宋体" w:hAnsi="宋体" w:cs="宋体"/>
          <w:color w:val="auto"/>
          <w:highlight w:val="none"/>
          <w:lang w:val="en-US" w:eastAsia="zh-CN"/>
        </w:rPr>
        <w:t>4</w:t>
      </w:r>
      <w:r>
        <w:rPr>
          <w:rFonts w:hint="eastAsia" w:ascii="宋体" w:hAnsi="宋体" w:cs="宋体"/>
          <w:color w:val="auto"/>
          <w:highlight w:val="none"/>
        </w:rPr>
        <w:t>资格审查条件</w:t>
      </w:r>
      <w:r>
        <w:rPr>
          <w:rFonts w:hint="eastAsia" w:ascii="宋体" w:hAnsi="宋体" w:cs="宋体"/>
          <w:color w:val="auto"/>
          <w:highlight w:val="none"/>
          <w:lang w:eastAsia="zh-CN"/>
        </w:rPr>
        <w:t>（</w:t>
      </w:r>
      <w:r>
        <w:rPr>
          <w:rFonts w:hint="eastAsia" w:ascii="宋体" w:hAnsi="宋体" w:cs="宋体"/>
          <w:color w:val="auto"/>
          <w:highlight w:val="none"/>
          <w:lang w:val="en-US" w:eastAsia="zh-CN"/>
        </w:rPr>
        <w:t>主要人员最低要求</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第三章“评标办法”详细评审打分未作</w:t>
      </w:r>
      <w:r>
        <w:rPr>
          <w:rFonts w:hint="eastAsia" w:ascii="宋体" w:hAnsi="宋体" w:cs="宋体"/>
          <w:color w:val="auto"/>
          <w:highlight w:val="none"/>
        </w:rPr>
        <w:t>要求</w:t>
      </w:r>
      <w:r>
        <w:rPr>
          <w:rFonts w:hint="eastAsia" w:ascii="宋体" w:hAnsi="宋体" w:cs="宋体"/>
          <w:color w:val="auto"/>
          <w:highlight w:val="none"/>
          <w:lang w:val="en-US" w:eastAsia="zh-CN"/>
        </w:rPr>
        <w:t>的人员资历表可删去，对应表格组成序号顺次修改。</w:t>
      </w:r>
    </w:p>
  </w:footnote>
  <w:footnote w:id="149">
    <w:p w14:paraId="47B8FCF4">
      <w:pPr>
        <w:pStyle w:val="37"/>
        <w:ind w:left="360" w:hanging="360" w:hanging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指取得交通运输相关部门颁发的公路水运工程试验检测工程师证书的从业人员，资格证书可为公路工程试验检测工程师或（公路）检师或公路水运工程试验检测师或新的管理办法下颁发的同类型资格证书。</w:t>
      </w:r>
    </w:p>
  </w:footnote>
  <w:footnote w:id="150">
    <w:p w14:paraId="37C66ADC">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证明材料构成应与招标人对拟委任主要人员的要求一一对应，未</w:t>
      </w:r>
      <w:r>
        <w:rPr>
          <w:rFonts w:hint="eastAsia" w:ascii="宋体" w:hAnsi="宋体" w:cs="宋体"/>
          <w:color w:val="auto"/>
          <w:highlight w:val="none"/>
          <w:lang w:val="en-US" w:eastAsia="zh-CN"/>
        </w:rPr>
        <w:t>作</w:t>
      </w:r>
      <w:r>
        <w:rPr>
          <w:rFonts w:hint="eastAsia" w:ascii="宋体" w:hAnsi="宋体" w:eastAsia="宋体" w:cs="宋体"/>
          <w:color w:val="auto"/>
          <w:highlight w:val="none"/>
        </w:rPr>
        <w:t>要求的内容不得要求投标人提供相应的证明材料。</w:t>
      </w:r>
    </w:p>
  </w:footnote>
  <w:footnote w:id="151">
    <w:p w14:paraId="14278299">
      <w:pPr>
        <w:pStyle w:val="37"/>
        <w:ind w:left="360" w:hanging="360" w:hangingChars="200"/>
        <w:jc w:val="both"/>
        <w:rPr>
          <w:rFonts w:hint="eastAsia" w:ascii="宋体" w:hAnsi="宋体" w:cs="宋体"/>
          <w:color w:val="auto"/>
          <w:highlight w:val="none"/>
        </w:rPr>
      </w:pPr>
      <w:r>
        <w:rPr>
          <w:rStyle w:val="58"/>
          <w:rFonts w:hint="eastAsia" w:ascii="宋体" w:hAnsi="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szCs w:val="18"/>
          <w:highlight w:val="none"/>
        </w:rPr>
        <w:t>本项规定仅适用于根据《关于发布公路工程从业企业资质名录的通知》（厅公路字〔2011〕114号）要求，招标人应通过名录对投标人资质条件进行审核的公路施工监理企业人员。</w:t>
      </w:r>
      <w:r>
        <w:rPr>
          <w:rFonts w:hint="eastAsia" w:ascii="宋体" w:hAnsi="宋体"/>
          <w:color w:val="auto"/>
          <w:szCs w:val="21"/>
          <w:highlight w:val="none"/>
          <w:lang w:val="en-US" w:eastAsia="zh-CN"/>
        </w:rPr>
        <w:t>否则，招标人可对相关个人业绩提出其他证明材料要求。</w:t>
      </w:r>
    </w:p>
  </w:footnote>
  <w:footnote w:id="152">
    <w:p w14:paraId="7E171EB2">
      <w:pPr>
        <w:pStyle w:val="37"/>
        <w:ind w:left="360" w:hanging="360" w:hanging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指取得交通运输相关部门颁发的公路水运工程试验检测工程师证书的从业人员，资格证书可为公路工程试验检测工程师或（公路）检师或公路水运工程试验检测师或新的管理办法下颁发的同类型资格证书。</w:t>
      </w:r>
    </w:p>
  </w:footnote>
  <w:footnote w:id="153">
    <w:p w14:paraId="0C3A366E">
      <w:pPr>
        <w:pStyle w:val="37"/>
        <w:rPr>
          <w:rFonts w:hint="eastAsia" w:ascii="宋体" w:hAnsi="宋体" w:eastAsia="宋体" w:cs="宋体"/>
          <w:color w:val="auto"/>
          <w:highlight w:val="none"/>
        </w:rPr>
      </w:pPr>
      <w:r>
        <w:rPr>
          <w:rStyle w:val="58"/>
          <w:rFonts w:hint="eastAsia" w:ascii="宋体" w:hAnsi="宋体" w:eastAsia="宋体" w:cs="宋体"/>
          <w:color w:val="auto"/>
          <w:highlight w:val="none"/>
          <w:vertAlign w:val="baseline"/>
        </w:rPr>
        <w:footnoteRef/>
      </w:r>
      <w:r>
        <w:rPr>
          <w:rFonts w:hint="eastAsia" w:ascii="宋体" w:hAnsi="宋体" w:eastAsia="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证明材料构成应与招标人对拟委任主要人员的要求一一对应，未</w:t>
      </w:r>
      <w:r>
        <w:rPr>
          <w:rFonts w:hint="eastAsia" w:ascii="宋体" w:hAnsi="宋体" w:cs="宋体"/>
          <w:color w:val="auto"/>
          <w:highlight w:val="none"/>
          <w:lang w:val="en-US" w:eastAsia="zh-CN"/>
        </w:rPr>
        <w:t>作</w:t>
      </w:r>
      <w:r>
        <w:rPr>
          <w:rFonts w:hint="eastAsia" w:ascii="宋体" w:hAnsi="宋体" w:eastAsia="宋体" w:cs="宋体"/>
          <w:color w:val="auto"/>
          <w:highlight w:val="none"/>
        </w:rPr>
        <w:t>要求的内容不得要求投标人提供相应的证明材料。</w:t>
      </w:r>
    </w:p>
  </w:footnote>
  <w:footnote w:id="154">
    <w:p w14:paraId="0E70CC53">
      <w:pPr>
        <w:pStyle w:val="37"/>
        <w:ind w:left="360" w:hanging="360" w:hangingChars="200"/>
        <w:jc w:val="both"/>
        <w:rPr>
          <w:rFonts w:hint="eastAsia" w:ascii="宋体" w:hAnsi="宋体" w:cs="宋体"/>
          <w:color w:val="auto"/>
          <w:highlight w:val="none"/>
        </w:rPr>
      </w:pPr>
      <w:r>
        <w:rPr>
          <w:rStyle w:val="58"/>
          <w:rFonts w:hint="eastAsia" w:ascii="宋体" w:hAnsi="宋体" w:cs="宋体"/>
          <w:color w:val="auto"/>
          <w:highlight w:val="none"/>
          <w:vertAlign w:val="baseline"/>
        </w:rPr>
        <w:footnoteRef/>
      </w:r>
      <w:r>
        <w:rPr>
          <w:rFonts w:hint="eastAsia" w:ascii="宋体" w:hAnsi="宋体" w:cs="宋体"/>
          <w:color w:val="auto"/>
          <w:highlight w:val="none"/>
        </w:rPr>
        <w:t xml:space="preserve"> </w:t>
      </w:r>
      <w:r>
        <w:rPr>
          <w:rFonts w:hint="eastAsia" w:ascii="宋体" w:hAnsi="宋体" w:cs="宋体"/>
          <w:color w:val="auto"/>
          <w:highlight w:val="none"/>
          <w:lang w:val="en-US" w:eastAsia="zh-CN"/>
        </w:rPr>
        <w:t xml:space="preserve"> </w:t>
      </w:r>
      <w:r>
        <w:rPr>
          <w:rFonts w:hint="eastAsia" w:ascii="宋体" w:hAnsi="宋体" w:cs="宋体"/>
          <w:color w:val="auto"/>
          <w:szCs w:val="18"/>
          <w:highlight w:val="none"/>
        </w:rPr>
        <w:t>本项规定仅适用于根据《关于发布公路工程从业企业资质名录的通知》（厅公路字〔2011〕114号）要求，招标人应通过名录对投标人资质条件进行审核的公路施工监理企业人员。</w:t>
      </w:r>
      <w:r>
        <w:rPr>
          <w:rFonts w:hint="eastAsia" w:ascii="宋体" w:hAnsi="宋体"/>
          <w:color w:val="auto"/>
          <w:szCs w:val="21"/>
          <w:highlight w:val="none"/>
          <w:lang w:val="en-US" w:eastAsia="zh-CN"/>
        </w:rPr>
        <w:t>否则，招标人可对相关个人业绩提出其他证明材料要求。</w:t>
      </w:r>
    </w:p>
  </w:footnote>
  <w:footnote w:id="155">
    <w:p w14:paraId="7053E06E">
      <w:pPr>
        <w:pStyle w:val="37"/>
        <w:rPr>
          <w:rFonts w:hint="eastAsia" w:ascii="宋体" w:hAnsi="宋体" w:eastAsia="宋体" w:cs="宋体"/>
          <w:color w:val="auto"/>
          <w:sz w:val="18"/>
          <w:szCs w:val="18"/>
          <w:highlight w:val="none"/>
        </w:rPr>
      </w:pPr>
      <w:r>
        <w:rPr>
          <w:rStyle w:val="58"/>
          <w:rFonts w:hint="eastAsia" w:ascii="宋体" w:hAnsi="宋体" w:eastAsia="宋体" w:cs="宋体"/>
          <w:color w:val="auto"/>
          <w:sz w:val="18"/>
          <w:szCs w:val="18"/>
          <w:highlight w:val="none"/>
          <w:vertAlign w:val="baseli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以联合体</w:t>
      </w:r>
      <w:r>
        <w:rPr>
          <w:rFonts w:hint="eastAsia" w:ascii="宋体" w:hAnsi="宋体" w:cs="宋体"/>
          <w:color w:val="auto"/>
          <w:sz w:val="18"/>
          <w:szCs w:val="18"/>
          <w:highlight w:val="none"/>
          <w:lang w:val="en-US" w:eastAsia="zh-CN"/>
        </w:rPr>
        <w:t>形式</w:t>
      </w:r>
      <w:r>
        <w:rPr>
          <w:rFonts w:hint="eastAsia" w:ascii="宋体" w:hAnsi="宋体" w:eastAsia="宋体" w:cs="宋体"/>
          <w:color w:val="auto"/>
          <w:sz w:val="18"/>
          <w:szCs w:val="18"/>
          <w:highlight w:val="none"/>
        </w:rPr>
        <w:t>投标的，为联合体牵头人单位全称。</w:t>
      </w:r>
    </w:p>
  </w:footnote>
  <w:footnote w:id="156">
    <w:p w14:paraId="00E0F465">
      <w:pPr>
        <w:pStyle w:val="37"/>
        <w:snapToGrid w:val="0"/>
        <w:ind w:left="360" w:hanging="360" w:hangingChars="200"/>
        <w:rPr>
          <w:rFonts w:hint="default" w:eastAsia="宋体"/>
          <w:lang w:val="en-US" w:eastAsia="zh-CN"/>
        </w:rPr>
      </w:pPr>
      <w:r>
        <w:rPr>
          <w:rStyle w:val="58"/>
          <w:rFonts w:hint="eastAsia" w:ascii="宋体" w:hAnsi="宋体" w:eastAsia="宋体" w:cs="宋体"/>
          <w:vertAlign w:val="baseline"/>
        </w:rPr>
        <w:footnoteRef/>
      </w:r>
      <w:r>
        <w:rPr>
          <w:rFonts w:hint="eastAsia" w:ascii="宋体" w:hAnsi="宋体" w:eastAsia="宋体" w:cs="宋体"/>
          <w:vertAlign w:val="baseline"/>
        </w:rPr>
        <w:t xml:space="preserve"> </w:t>
      </w:r>
      <w:r>
        <w:rPr>
          <w:rFonts w:hint="eastAsia" w:ascii="宋体" w:hAnsi="宋体" w:eastAsia="宋体" w:cs="宋体"/>
          <w:vertAlign w:val="baseline"/>
          <w:lang w:val="en-US" w:eastAsia="zh-CN"/>
        </w:rPr>
        <w:t xml:space="preserve"> 若招标人要求投标报价不作价税分离的，税费综合在相应的综合单价或总额价中，投标函中的增值税率</w:t>
      </w:r>
      <w:r>
        <w:rPr>
          <w:rFonts w:hint="eastAsia" w:ascii="宋体" w:hAnsi="宋体" w:cs="宋体"/>
          <w:vertAlign w:val="baseline"/>
          <w:lang w:val="en-US" w:eastAsia="zh-CN"/>
        </w:rPr>
        <w:t>填写为“</w:t>
      </w:r>
      <w:r>
        <w:rPr>
          <w:rFonts w:hint="eastAsia" w:ascii="宋体" w:hAnsi="宋体" w:eastAsia="宋体" w:cs="宋体"/>
          <w:vertAlign w:val="baseline"/>
          <w:lang w:val="en-US" w:eastAsia="zh-CN"/>
        </w:rPr>
        <w:t>/</w:t>
      </w:r>
      <w:r>
        <w:rPr>
          <w:rFonts w:hint="eastAsia" w:ascii="宋体" w:hAnsi="宋体" w:cs="宋体"/>
          <w:vertAlign w:val="baseline"/>
          <w:lang w:val="en-US" w:eastAsia="zh-CN"/>
        </w:rPr>
        <w:t>”</w:t>
      </w:r>
      <w:r>
        <w:rPr>
          <w:rFonts w:hint="eastAsia" w:ascii="宋体" w:hAnsi="宋体" w:eastAsia="宋体" w:cs="宋体"/>
          <w:vertAlign w:val="baseline"/>
          <w:lang w:val="en-US" w:eastAsia="zh-CN"/>
        </w:rPr>
        <w:t>，</w:t>
      </w:r>
      <w:r>
        <w:rPr>
          <w:rFonts w:hint="eastAsia" w:ascii="宋体" w:hAnsi="宋体" w:cs="宋体"/>
          <w:vertAlign w:val="baseline"/>
          <w:lang w:val="en-US" w:eastAsia="zh-CN"/>
        </w:rPr>
        <w:t>否则</w:t>
      </w:r>
      <w:r>
        <w:rPr>
          <w:rFonts w:hint="eastAsia" w:ascii="宋体" w:hAnsi="宋体" w:eastAsia="宋体" w:cs="宋体"/>
          <w:vertAlign w:val="baseline"/>
          <w:lang w:val="en-US" w:eastAsia="zh-CN"/>
        </w:rPr>
        <w:t>投标人应填写实际税率</w:t>
      </w:r>
      <w:r>
        <w:rPr>
          <w:rFonts w:hint="eastAsia"/>
          <w:lang w:val="en-US" w:eastAsia="zh-CN"/>
        </w:rPr>
        <w:t>。</w:t>
      </w:r>
    </w:p>
  </w:footnote>
  <w:footnote w:id="157">
    <w:p w14:paraId="7BADB5AB">
      <w:pPr>
        <w:pStyle w:val="37"/>
        <w:ind w:left="360" w:hanging="360" w:hangingChars="200"/>
        <w:rPr>
          <w:rFonts w:hint="eastAsia" w:ascii="宋体" w:hAnsi="宋体" w:cs="宋体"/>
        </w:rPr>
      </w:pPr>
      <w:r>
        <w:rPr>
          <w:rStyle w:val="58"/>
          <w:rFonts w:hint="eastAsia" w:ascii="宋体" w:hAnsi="宋体" w:cs="宋体"/>
          <w:vertAlign w:val="baseline"/>
        </w:rPr>
        <w:footnoteRef/>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当第二章“投标人须知”前附表第3.2.3项的报价方式采用单价或总价以外的其他情形时，在此按照约定填报具体投标报价内容。</w:t>
      </w:r>
    </w:p>
  </w:footnote>
  <w:footnote w:id="158">
    <w:p w14:paraId="06B6F840">
      <w:pPr>
        <w:pStyle w:val="37"/>
        <w:rPr>
          <w:rFonts w:hint="eastAsia" w:ascii="宋体" w:hAnsi="宋体" w:eastAsia="宋体" w:cs="宋体"/>
          <w:color w:val="auto"/>
          <w:sz w:val="18"/>
          <w:szCs w:val="18"/>
          <w:highlight w:val="none"/>
        </w:rPr>
      </w:pPr>
      <w:r>
        <w:rPr>
          <w:rStyle w:val="58"/>
          <w:rFonts w:hint="eastAsia" w:ascii="宋体" w:hAnsi="宋体" w:eastAsia="宋体" w:cs="宋体"/>
          <w:color w:val="auto"/>
          <w:sz w:val="18"/>
          <w:szCs w:val="18"/>
          <w:highlight w:val="none"/>
          <w:vertAlign w:val="baseli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以联合体形式投标的，为联合体牵头人单位全称。</w:t>
      </w:r>
    </w:p>
  </w:footnote>
  <w:footnote w:id="159">
    <w:p w14:paraId="5EEA81C8">
      <w:pPr>
        <w:pStyle w:val="37"/>
        <w:rPr>
          <w:rFonts w:hint="eastAsia" w:ascii="宋体" w:hAnsi="宋体" w:eastAsia="宋体" w:cs="宋体"/>
          <w:color w:val="auto"/>
          <w:sz w:val="18"/>
          <w:szCs w:val="18"/>
          <w:highlight w:val="none"/>
        </w:rPr>
      </w:pPr>
      <w:r>
        <w:rPr>
          <w:rStyle w:val="58"/>
          <w:rFonts w:hint="eastAsia" w:ascii="宋体" w:hAnsi="宋体" w:eastAsia="宋体" w:cs="宋体"/>
          <w:color w:val="auto"/>
          <w:sz w:val="18"/>
          <w:szCs w:val="18"/>
          <w:highlight w:val="none"/>
          <w:vertAlign w:val="baseli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以联合体形式投标的，只需联合体牵头人盖单位电子印章。</w:t>
      </w:r>
    </w:p>
  </w:footnote>
  <w:footnote w:id="160">
    <w:p w14:paraId="5977E253">
      <w:pPr>
        <w:pStyle w:val="37"/>
        <w:rPr>
          <w:rFonts w:hint="eastAsia" w:ascii="宋体" w:hAnsi="宋体" w:eastAsia="宋体" w:cs="宋体"/>
          <w:color w:val="auto"/>
          <w:sz w:val="18"/>
          <w:szCs w:val="18"/>
          <w:highlight w:val="none"/>
        </w:rPr>
      </w:pPr>
      <w:r>
        <w:rPr>
          <w:rStyle w:val="58"/>
          <w:rFonts w:hint="eastAsia" w:ascii="宋体" w:hAnsi="宋体" w:eastAsia="宋体" w:cs="宋体"/>
          <w:color w:val="auto"/>
          <w:sz w:val="18"/>
          <w:szCs w:val="18"/>
          <w:highlight w:val="none"/>
          <w:vertAlign w:val="baseline"/>
        </w:rPr>
        <w:footnoteRef/>
      </w:r>
      <w:r>
        <w:rPr>
          <w:rFonts w:hint="eastAsia" w:ascii="宋体" w:hAnsi="宋体" w:eastAsia="宋体" w:cs="宋体"/>
          <w:color w:val="auto"/>
          <w:sz w:val="18"/>
          <w:szCs w:val="18"/>
          <w:highlight w:val="none"/>
        </w:rPr>
        <w:t xml:space="preserve"> </w:t>
      </w:r>
      <w:r>
        <w:rPr>
          <w:rFonts w:hint="eastAsia" w:ascii="宋体" w:hAnsi="宋体" w:cs="宋体"/>
          <w:color w:val="auto"/>
          <w:sz w:val="18"/>
          <w:szCs w:val="18"/>
          <w:highlight w:val="none"/>
          <w:lang w:val="en-US" w:eastAsia="zh-CN"/>
        </w:rPr>
        <w:t xml:space="preserve"> </w:t>
      </w:r>
      <w:r>
        <w:rPr>
          <w:rFonts w:hint="eastAsia" w:ascii="宋体" w:hAnsi="宋体" w:eastAsia="宋体" w:cs="宋体"/>
          <w:color w:val="auto"/>
          <w:sz w:val="18"/>
          <w:szCs w:val="18"/>
          <w:highlight w:val="none"/>
        </w:rPr>
        <w:t>以联合体形式投标的，为联合体牵头人的法定代表人或其委托代理人。</w:t>
      </w:r>
    </w:p>
  </w:footnote>
  <w:footnote w:id="161">
    <w:p w14:paraId="1940BA8E">
      <w:pPr>
        <w:pStyle w:val="37"/>
        <w:rPr>
          <w:rFonts w:hint="eastAsia" w:ascii="宋体" w:hAnsi="宋体" w:cs="宋体"/>
        </w:rPr>
      </w:pPr>
      <w:r>
        <w:rPr>
          <w:rStyle w:val="58"/>
          <w:rFonts w:hint="eastAsia" w:ascii="宋体" w:hAnsi="宋体" w:cs="宋体"/>
          <w:vertAlign w:val="baseline"/>
        </w:rPr>
        <w:footnoteRef/>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当报价方式采用</w:t>
      </w:r>
      <w:r>
        <w:rPr>
          <w:rFonts w:hint="eastAsia" w:ascii="宋体" w:hAnsi="宋体" w:cs="宋体"/>
          <w:lang w:val="en-US" w:eastAsia="zh-CN"/>
        </w:rPr>
        <w:t>单价或</w:t>
      </w:r>
      <w:r>
        <w:rPr>
          <w:rFonts w:hint="eastAsia" w:ascii="宋体" w:hAnsi="宋体" w:cs="宋体"/>
        </w:rPr>
        <w:t>总价以外的其他情形时，</w:t>
      </w:r>
      <w:r>
        <w:rPr>
          <w:rFonts w:hint="eastAsia" w:ascii="宋体" w:hAnsi="宋体" w:cs="宋体"/>
          <w:lang w:val="en-US" w:eastAsia="zh-CN"/>
        </w:rPr>
        <w:t>监理</w:t>
      </w:r>
      <w:r>
        <w:rPr>
          <w:rFonts w:hint="eastAsia" w:ascii="宋体" w:hAnsi="宋体" w:eastAsia="宋体" w:cs="宋体"/>
          <w:lang w:val="en-US" w:eastAsia="zh-CN"/>
        </w:rPr>
        <w:t>试验室</w:t>
      </w:r>
      <w:r>
        <w:rPr>
          <w:rFonts w:hint="eastAsia" w:ascii="宋体" w:hAnsi="宋体" w:cs="宋体"/>
          <w:lang w:val="en-US" w:eastAsia="zh-CN"/>
        </w:rPr>
        <w:t>服务费用清单的说明及填写方式需做相应调整</w:t>
      </w:r>
      <w:r>
        <w:rPr>
          <w:rFonts w:hint="eastAsia" w:ascii="宋体" w:hAnsi="宋体" w:cs="宋体"/>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97E75">
    <w:pPr>
      <w:pStyle w:val="33"/>
      <w:pBdr>
        <w:bottom w:val="none" w:color="auto" w:sz="0" w:space="0"/>
        <w:between w:val="single" w:color="auto" w:sz="4" w:space="1"/>
      </w:pBdr>
      <w:tabs>
        <w:tab w:val="left" w:pos="4200"/>
        <w:tab w:val="clear" w:pos="8306"/>
      </w:tabs>
      <w:jc w:val="left"/>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964D7">
    <w:r>
      <mc:AlternateContent>
        <mc:Choice Requires="wps">
          <w:drawing>
            <wp:anchor distT="0" distB="0" distL="114300" distR="114300" simplePos="0" relativeHeight="251659264" behindDoc="1" locked="0" layoutInCell="1" allowOverlap="1">
              <wp:simplePos x="0" y="0"/>
              <wp:positionH relativeFrom="page">
                <wp:posOffset>1031240</wp:posOffset>
              </wp:positionH>
              <wp:positionV relativeFrom="page">
                <wp:posOffset>548640</wp:posOffset>
              </wp:positionV>
              <wp:extent cx="2575560" cy="172720"/>
              <wp:effectExtent l="0" t="0" r="0" b="0"/>
              <wp:wrapNone/>
              <wp:docPr id="6" name="文本框 52"/>
              <wp:cNvGraphicFramePr/>
              <a:graphic xmlns:a="http://schemas.openxmlformats.org/drawingml/2006/main">
                <a:graphicData uri="http://schemas.microsoft.com/office/word/2010/wordprocessingShape">
                  <wps:wsp>
                    <wps:cNvSpPr txBox="1"/>
                    <wps:spPr>
                      <a:xfrm>
                        <a:off x="0" y="0"/>
                        <a:ext cx="2575560" cy="172720"/>
                      </a:xfrm>
                      <a:prstGeom prst="rect">
                        <a:avLst/>
                      </a:prstGeom>
                      <a:noFill/>
                      <a:ln w="9525">
                        <a:noFill/>
                      </a:ln>
                    </wps:spPr>
                    <wps:txbx>
                      <w:txbxContent>
                        <w:p w14:paraId="399F47C5"/>
                      </w:txbxContent>
                    </wps:txbx>
                    <wps:bodyPr lIns="0" tIns="0" rIns="0" bIns="0" upright="1"/>
                  </wps:wsp>
                </a:graphicData>
              </a:graphic>
            </wp:anchor>
          </w:drawing>
        </mc:Choice>
        <mc:Fallback>
          <w:pict>
            <v:shape id="文本框 52" o:spid="_x0000_s1026" o:spt="202" type="#_x0000_t202" style="position:absolute;left:0pt;margin-left:81.2pt;margin-top:43.2pt;height:13.6pt;width:202.8pt;mso-position-horizontal-relative:page;mso-position-vertical-relative:page;z-index:-251657216;mso-width-relative:page;mso-height-relative:page;" filled="f" stroked="f" coordsize="21600,21600" o:gfxdata="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6pvHNgAAAAKAQAADwAAAAAAAAABACAAAAAiAAAAZHJzL2Rvd25yZXYu&#10;eG1sUEsBAhQAFAAAAAgAh07iQEd+fBzCAQAAfAMAAA4AAAAAAAAAAQAgAAAAJwEAAGRycy9lMm9E&#10;b2MueG1sUEsFBgAAAAAGAAYAWQEAAFsFAAAAAA==&#10;">
              <v:fill on="f" focussize="0,0"/>
              <v:stroke on="f"/>
              <v:imagedata o:title=""/>
              <o:lock v:ext="edit" aspectratio="f"/>
              <v:textbox inset="0mm,0mm,0mm,0mm">
                <w:txbxContent>
                  <w:p w14:paraId="399F47C5"/>
                </w:txbxContent>
              </v:textbox>
            </v:shape>
          </w:pict>
        </mc:Fallback>
      </mc:AlternateContent>
    </w:r>
  </w:p>
  <w:p w14:paraId="091C30B0">
    <w:r>
      <mc:AlternateContent>
        <mc:Choice Requires="wps">
          <w:drawing>
            <wp:anchor distT="0" distB="0" distL="114300" distR="114300" simplePos="0" relativeHeight="251660288" behindDoc="1" locked="0" layoutInCell="1" allowOverlap="1">
              <wp:simplePos x="0" y="0"/>
              <wp:positionH relativeFrom="page">
                <wp:posOffset>977900</wp:posOffset>
              </wp:positionH>
              <wp:positionV relativeFrom="page">
                <wp:posOffset>10015220</wp:posOffset>
              </wp:positionV>
              <wp:extent cx="222250" cy="139700"/>
              <wp:effectExtent l="0" t="0" r="6350" b="12700"/>
              <wp:wrapNone/>
              <wp:docPr id="7" name="文本框 55"/>
              <wp:cNvGraphicFramePr/>
              <a:graphic xmlns:a="http://schemas.openxmlformats.org/drawingml/2006/main">
                <a:graphicData uri="http://schemas.microsoft.com/office/word/2010/wordprocessingShape">
                  <wps:wsp>
                    <wps:cNvSpPr txBox="1"/>
                    <wps:spPr>
                      <a:xfrm>
                        <a:off x="0" y="0"/>
                        <a:ext cx="222250" cy="139700"/>
                      </a:xfrm>
                      <a:prstGeom prst="rect">
                        <a:avLst/>
                      </a:prstGeom>
                      <a:noFill/>
                      <a:ln w="9525">
                        <a:noFill/>
                      </a:ln>
                    </wps:spPr>
                    <wps:txbx>
                      <w:txbxContent>
                        <w:p w14:paraId="6481EFE3"/>
                      </w:txbxContent>
                    </wps:txbx>
                    <wps:bodyPr lIns="0" tIns="0" rIns="0" bIns="0" upright="1"/>
                  </wps:wsp>
                </a:graphicData>
              </a:graphic>
            </wp:anchor>
          </w:drawing>
        </mc:Choice>
        <mc:Fallback>
          <w:pict>
            <v:shape id="文本框 55" o:spid="_x0000_s1026" o:spt="202" type="#_x0000_t202" style="position:absolute;left:0pt;margin-left:77pt;margin-top:788.6pt;height:11pt;width:17.5pt;mso-position-horizontal-relative:page;mso-position-vertical-relative:page;z-index:-251656192;mso-width-relative:page;mso-height-relative:page;" filled="f" stroked="f" coordsize="21600,21600" o:gfxdata="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2gA8ddcAAAANAQAADwAAAAAAAAABACAAAAAiAAAAZHJzL2Rvd25yZXYu&#10;eG1sUEsBAhQAFAAAAAgAh07iQIGL99XDAQAAewMAAA4AAAAAAAAAAQAgAAAAJgEAAGRycy9lMm9E&#10;b2MueG1sUEsFBgAAAAAGAAYAWQEAAFsFAAAAAA==&#10;">
              <v:fill on="f" focussize="0,0"/>
              <v:stroke on="f"/>
              <v:imagedata o:title=""/>
              <o:lock v:ext="edit" aspectratio="f"/>
              <v:textbox inset="0mm,0mm,0mm,0mm">
                <w:txbxContent>
                  <w:p w14:paraId="6481EFE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0636D"/>
    <w:multiLevelType w:val="singleLevel"/>
    <w:tmpl w:val="C420636D"/>
    <w:lvl w:ilvl="0" w:tentative="0">
      <w:start w:val="2"/>
      <w:numFmt w:val="decimal"/>
      <w:suff w:val="space"/>
      <w:lvlText w:val="%1."/>
      <w:lvlJc w:val="left"/>
      <w:pPr>
        <w:ind w:left="420" w:leftChars="0" w:firstLine="0" w:firstLineChars="0"/>
      </w:pPr>
    </w:lvl>
  </w:abstractNum>
  <w:abstractNum w:abstractNumId="1">
    <w:nsid w:val="D7BFC29A"/>
    <w:multiLevelType w:val="singleLevel"/>
    <w:tmpl w:val="D7BFC29A"/>
    <w:lvl w:ilvl="0" w:tentative="0">
      <w:start w:val="1"/>
      <w:numFmt w:val="decimal"/>
      <w:suff w:val="space"/>
      <w:lvlText w:val="%1."/>
      <w:lvlJc w:val="left"/>
    </w:lvl>
  </w:abstractNum>
  <w:abstractNum w:abstractNumId="2">
    <w:nsid w:val="0E0B0C15"/>
    <w:multiLevelType w:val="singleLevel"/>
    <w:tmpl w:val="0E0B0C15"/>
    <w:lvl w:ilvl="0" w:tentative="0">
      <w:start w:val="2"/>
      <w:numFmt w:val="decimal"/>
      <w:suff w:val="nothing"/>
      <w:lvlText w:val="（%1）"/>
      <w:lvlJc w:val="left"/>
    </w:lvl>
  </w:abstractNum>
  <w:abstractNum w:abstractNumId="3">
    <w:nsid w:val="5AFAB02F"/>
    <w:multiLevelType w:val="singleLevel"/>
    <w:tmpl w:val="5AFAB02F"/>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isplayBackgroundShape w:val="1"/>
  <w:bordersDoNotSurroundHeader w:val="0"/>
  <w:bordersDoNotSurroundFooter w:val="0"/>
  <w:hideSpellingErrors/>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 w:id="324"/>
    <w:footnote w:id="32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wYjZmNjNhYjdkOGQxMDIxNWQwZTA0MzkxMTk4YjMifQ=="/>
    <w:docVar w:name="KSO_WPS_MARK_KEY" w:val="8624247a-101d-4c61-8cd7-6b29c7bd4765"/>
  </w:docVars>
  <w:rsids>
    <w:rsidRoot w:val="00CB382F"/>
    <w:rsid w:val="0000350F"/>
    <w:rsid w:val="00003693"/>
    <w:rsid w:val="00003707"/>
    <w:rsid w:val="0000443A"/>
    <w:rsid w:val="00005003"/>
    <w:rsid w:val="000054A7"/>
    <w:rsid w:val="00005626"/>
    <w:rsid w:val="00005E5E"/>
    <w:rsid w:val="00007C96"/>
    <w:rsid w:val="00010843"/>
    <w:rsid w:val="00010A54"/>
    <w:rsid w:val="00010A5B"/>
    <w:rsid w:val="0001115C"/>
    <w:rsid w:val="00011ED2"/>
    <w:rsid w:val="00013453"/>
    <w:rsid w:val="0001406C"/>
    <w:rsid w:val="000141DC"/>
    <w:rsid w:val="00015934"/>
    <w:rsid w:val="00016D4E"/>
    <w:rsid w:val="000202A0"/>
    <w:rsid w:val="00020CEA"/>
    <w:rsid w:val="00020EA5"/>
    <w:rsid w:val="000210A6"/>
    <w:rsid w:val="00022938"/>
    <w:rsid w:val="0002298A"/>
    <w:rsid w:val="0002345A"/>
    <w:rsid w:val="00023F4F"/>
    <w:rsid w:val="0002468D"/>
    <w:rsid w:val="00024773"/>
    <w:rsid w:val="00025953"/>
    <w:rsid w:val="00026EE2"/>
    <w:rsid w:val="000275E2"/>
    <w:rsid w:val="00030D11"/>
    <w:rsid w:val="00031207"/>
    <w:rsid w:val="00031935"/>
    <w:rsid w:val="00031CE6"/>
    <w:rsid w:val="00033543"/>
    <w:rsid w:val="0003422A"/>
    <w:rsid w:val="00034ED2"/>
    <w:rsid w:val="00034F69"/>
    <w:rsid w:val="00035868"/>
    <w:rsid w:val="00035D4F"/>
    <w:rsid w:val="000366EF"/>
    <w:rsid w:val="00036DEF"/>
    <w:rsid w:val="000374C1"/>
    <w:rsid w:val="0003767F"/>
    <w:rsid w:val="00040CCE"/>
    <w:rsid w:val="000424CD"/>
    <w:rsid w:val="00042C30"/>
    <w:rsid w:val="000430F8"/>
    <w:rsid w:val="0004401D"/>
    <w:rsid w:val="00044F5F"/>
    <w:rsid w:val="00045446"/>
    <w:rsid w:val="00045E40"/>
    <w:rsid w:val="00050565"/>
    <w:rsid w:val="00050BB6"/>
    <w:rsid w:val="00050C9A"/>
    <w:rsid w:val="00051075"/>
    <w:rsid w:val="00051E78"/>
    <w:rsid w:val="00052816"/>
    <w:rsid w:val="00052B98"/>
    <w:rsid w:val="0005406C"/>
    <w:rsid w:val="000546ED"/>
    <w:rsid w:val="000547E4"/>
    <w:rsid w:val="00055E04"/>
    <w:rsid w:val="0005766B"/>
    <w:rsid w:val="000578ED"/>
    <w:rsid w:val="00057930"/>
    <w:rsid w:val="00060501"/>
    <w:rsid w:val="00060687"/>
    <w:rsid w:val="0006072F"/>
    <w:rsid w:val="00060904"/>
    <w:rsid w:val="00061C7D"/>
    <w:rsid w:val="000623CF"/>
    <w:rsid w:val="000625AF"/>
    <w:rsid w:val="00065399"/>
    <w:rsid w:val="000667F1"/>
    <w:rsid w:val="000670F5"/>
    <w:rsid w:val="000679B5"/>
    <w:rsid w:val="00067DF5"/>
    <w:rsid w:val="00067FA1"/>
    <w:rsid w:val="0007054C"/>
    <w:rsid w:val="00070E88"/>
    <w:rsid w:val="0007133A"/>
    <w:rsid w:val="0007151E"/>
    <w:rsid w:val="000726BC"/>
    <w:rsid w:val="000729D4"/>
    <w:rsid w:val="00072EF7"/>
    <w:rsid w:val="000731A6"/>
    <w:rsid w:val="00073656"/>
    <w:rsid w:val="00073787"/>
    <w:rsid w:val="00074129"/>
    <w:rsid w:val="00075611"/>
    <w:rsid w:val="000756DF"/>
    <w:rsid w:val="00075B68"/>
    <w:rsid w:val="00075F36"/>
    <w:rsid w:val="000775E2"/>
    <w:rsid w:val="000777BD"/>
    <w:rsid w:val="00077D6B"/>
    <w:rsid w:val="000814BE"/>
    <w:rsid w:val="00082AF4"/>
    <w:rsid w:val="00083B1F"/>
    <w:rsid w:val="00084156"/>
    <w:rsid w:val="000841BF"/>
    <w:rsid w:val="00084658"/>
    <w:rsid w:val="0008498D"/>
    <w:rsid w:val="000875E5"/>
    <w:rsid w:val="00087DB2"/>
    <w:rsid w:val="00087EB6"/>
    <w:rsid w:val="000902AE"/>
    <w:rsid w:val="00090343"/>
    <w:rsid w:val="0009173F"/>
    <w:rsid w:val="000946D0"/>
    <w:rsid w:val="00094F67"/>
    <w:rsid w:val="0009553B"/>
    <w:rsid w:val="00095E93"/>
    <w:rsid w:val="00096ABF"/>
    <w:rsid w:val="00097445"/>
    <w:rsid w:val="000A0615"/>
    <w:rsid w:val="000A1740"/>
    <w:rsid w:val="000A3F24"/>
    <w:rsid w:val="000A4243"/>
    <w:rsid w:val="000A5E6F"/>
    <w:rsid w:val="000A61D8"/>
    <w:rsid w:val="000A6393"/>
    <w:rsid w:val="000A6611"/>
    <w:rsid w:val="000A75D7"/>
    <w:rsid w:val="000A7652"/>
    <w:rsid w:val="000B02CE"/>
    <w:rsid w:val="000B12D3"/>
    <w:rsid w:val="000B26FB"/>
    <w:rsid w:val="000B2738"/>
    <w:rsid w:val="000B4D2A"/>
    <w:rsid w:val="000B4E9C"/>
    <w:rsid w:val="000B5C07"/>
    <w:rsid w:val="000B62A9"/>
    <w:rsid w:val="000B6744"/>
    <w:rsid w:val="000B694A"/>
    <w:rsid w:val="000B6C80"/>
    <w:rsid w:val="000B7C6B"/>
    <w:rsid w:val="000B7CC6"/>
    <w:rsid w:val="000B7E08"/>
    <w:rsid w:val="000C0DAB"/>
    <w:rsid w:val="000C155A"/>
    <w:rsid w:val="000C16CA"/>
    <w:rsid w:val="000C1BBC"/>
    <w:rsid w:val="000C1C08"/>
    <w:rsid w:val="000C3AB3"/>
    <w:rsid w:val="000C3C2F"/>
    <w:rsid w:val="000C3CBC"/>
    <w:rsid w:val="000C5E7C"/>
    <w:rsid w:val="000C6202"/>
    <w:rsid w:val="000C6F4A"/>
    <w:rsid w:val="000C78AF"/>
    <w:rsid w:val="000D1449"/>
    <w:rsid w:val="000D1927"/>
    <w:rsid w:val="000D426D"/>
    <w:rsid w:val="000D4566"/>
    <w:rsid w:val="000D4D39"/>
    <w:rsid w:val="000D4EB9"/>
    <w:rsid w:val="000D52DF"/>
    <w:rsid w:val="000D689B"/>
    <w:rsid w:val="000D7276"/>
    <w:rsid w:val="000E0F27"/>
    <w:rsid w:val="000E1018"/>
    <w:rsid w:val="000E1D3C"/>
    <w:rsid w:val="000E296C"/>
    <w:rsid w:val="000E3A0B"/>
    <w:rsid w:val="000E3AF3"/>
    <w:rsid w:val="000E3BE4"/>
    <w:rsid w:val="000E4107"/>
    <w:rsid w:val="000E501E"/>
    <w:rsid w:val="000E508D"/>
    <w:rsid w:val="000E7772"/>
    <w:rsid w:val="000E7C5A"/>
    <w:rsid w:val="000F04BF"/>
    <w:rsid w:val="000F0C28"/>
    <w:rsid w:val="000F18BA"/>
    <w:rsid w:val="000F295E"/>
    <w:rsid w:val="000F3703"/>
    <w:rsid w:val="000F3A4B"/>
    <w:rsid w:val="000F51CC"/>
    <w:rsid w:val="000F57B5"/>
    <w:rsid w:val="000F5B9C"/>
    <w:rsid w:val="000F73A2"/>
    <w:rsid w:val="000F7427"/>
    <w:rsid w:val="000F7C97"/>
    <w:rsid w:val="001010BD"/>
    <w:rsid w:val="00101875"/>
    <w:rsid w:val="001022E9"/>
    <w:rsid w:val="0010245B"/>
    <w:rsid w:val="00102B9E"/>
    <w:rsid w:val="00104E9F"/>
    <w:rsid w:val="001050B8"/>
    <w:rsid w:val="001059DC"/>
    <w:rsid w:val="001059E0"/>
    <w:rsid w:val="001072C4"/>
    <w:rsid w:val="001074CB"/>
    <w:rsid w:val="001077AD"/>
    <w:rsid w:val="001109AA"/>
    <w:rsid w:val="0011297A"/>
    <w:rsid w:val="0011363D"/>
    <w:rsid w:val="00114914"/>
    <w:rsid w:val="00115224"/>
    <w:rsid w:val="00115377"/>
    <w:rsid w:val="001158AE"/>
    <w:rsid w:val="00117B0A"/>
    <w:rsid w:val="00120F3B"/>
    <w:rsid w:val="00121968"/>
    <w:rsid w:val="00121BD5"/>
    <w:rsid w:val="001221A8"/>
    <w:rsid w:val="00122849"/>
    <w:rsid w:val="00122D89"/>
    <w:rsid w:val="00123FDC"/>
    <w:rsid w:val="0012419E"/>
    <w:rsid w:val="001260A4"/>
    <w:rsid w:val="00126DED"/>
    <w:rsid w:val="001303AC"/>
    <w:rsid w:val="00130728"/>
    <w:rsid w:val="0013184F"/>
    <w:rsid w:val="0013193A"/>
    <w:rsid w:val="001327FD"/>
    <w:rsid w:val="00133EF9"/>
    <w:rsid w:val="001354B5"/>
    <w:rsid w:val="001366C7"/>
    <w:rsid w:val="00136F77"/>
    <w:rsid w:val="001370D1"/>
    <w:rsid w:val="001401BE"/>
    <w:rsid w:val="00140850"/>
    <w:rsid w:val="00140A09"/>
    <w:rsid w:val="00140D6A"/>
    <w:rsid w:val="00143388"/>
    <w:rsid w:val="00143732"/>
    <w:rsid w:val="001437A1"/>
    <w:rsid w:val="00143913"/>
    <w:rsid w:val="00144194"/>
    <w:rsid w:val="001458A9"/>
    <w:rsid w:val="00145FE1"/>
    <w:rsid w:val="00146295"/>
    <w:rsid w:val="001514A5"/>
    <w:rsid w:val="00151536"/>
    <w:rsid w:val="00151F12"/>
    <w:rsid w:val="00153510"/>
    <w:rsid w:val="00153C6C"/>
    <w:rsid w:val="00153CF0"/>
    <w:rsid w:val="00153EC2"/>
    <w:rsid w:val="00155551"/>
    <w:rsid w:val="0015582D"/>
    <w:rsid w:val="00155CC0"/>
    <w:rsid w:val="00155E8E"/>
    <w:rsid w:val="00155EF6"/>
    <w:rsid w:val="00156DF8"/>
    <w:rsid w:val="0015725B"/>
    <w:rsid w:val="0015729A"/>
    <w:rsid w:val="001577DA"/>
    <w:rsid w:val="00157F23"/>
    <w:rsid w:val="00157FC7"/>
    <w:rsid w:val="0016111D"/>
    <w:rsid w:val="001613F7"/>
    <w:rsid w:val="001628DA"/>
    <w:rsid w:val="00163131"/>
    <w:rsid w:val="001636DE"/>
    <w:rsid w:val="00163C06"/>
    <w:rsid w:val="00163C7D"/>
    <w:rsid w:val="00163DBD"/>
    <w:rsid w:val="00163FE7"/>
    <w:rsid w:val="00164525"/>
    <w:rsid w:val="00165786"/>
    <w:rsid w:val="001704C9"/>
    <w:rsid w:val="001706AF"/>
    <w:rsid w:val="00171CC7"/>
    <w:rsid w:val="00172EDB"/>
    <w:rsid w:val="00173103"/>
    <w:rsid w:val="00173B34"/>
    <w:rsid w:val="00175404"/>
    <w:rsid w:val="001759C7"/>
    <w:rsid w:val="00176663"/>
    <w:rsid w:val="001804C3"/>
    <w:rsid w:val="00180A42"/>
    <w:rsid w:val="00181945"/>
    <w:rsid w:val="00181DB4"/>
    <w:rsid w:val="00182F0B"/>
    <w:rsid w:val="001839E3"/>
    <w:rsid w:val="0018498F"/>
    <w:rsid w:val="00184D66"/>
    <w:rsid w:val="00184EE7"/>
    <w:rsid w:val="001850A9"/>
    <w:rsid w:val="001853F5"/>
    <w:rsid w:val="0018561F"/>
    <w:rsid w:val="001859DA"/>
    <w:rsid w:val="00185E78"/>
    <w:rsid w:val="001869AA"/>
    <w:rsid w:val="001878C5"/>
    <w:rsid w:val="00190086"/>
    <w:rsid w:val="00190D5C"/>
    <w:rsid w:val="001934C9"/>
    <w:rsid w:val="00193EAA"/>
    <w:rsid w:val="0019479F"/>
    <w:rsid w:val="00195CB1"/>
    <w:rsid w:val="00196C2A"/>
    <w:rsid w:val="00196C8D"/>
    <w:rsid w:val="001A0761"/>
    <w:rsid w:val="001A2162"/>
    <w:rsid w:val="001A3147"/>
    <w:rsid w:val="001A3256"/>
    <w:rsid w:val="001A4744"/>
    <w:rsid w:val="001A5298"/>
    <w:rsid w:val="001A6786"/>
    <w:rsid w:val="001A6AD7"/>
    <w:rsid w:val="001A6D5D"/>
    <w:rsid w:val="001A726D"/>
    <w:rsid w:val="001A72A0"/>
    <w:rsid w:val="001B13EF"/>
    <w:rsid w:val="001B334C"/>
    <w:rsid w:val="001B33E5"/>
    <w:rsid w:val="001B3472"/>
    <w:rsid w:val="001B385E"/>
    <w:rsid w:val="001B3CB8"/>
    <w:rsid w:val="001B4412"/>
    <w:rsid w:val="001B58F9"/>
    <w:rsid w:val="001B5B69"/>
    <w:rsid w:val="001B6559"/>
    <w:rsid w:val="001B7685"/>
    <w:rsid w:val="001C06AB"/>
    <w:rsid w:val="001C2F66"/>
    <w:rsid w:val="001C2F94"/>
    <w:rsid w:val="001C64ED"/>
    <w:rsid w:val="001C6C55"/>
    <w:rsid w:val="001C70C1"/>
    <w:rsid w:val="001D0AB4"/>
    <w:rsid w:val="001D1123"/>
    <w:rsid w:val="001D151E"/>
    <w:rsid w:val="001D29FC"/>
    <w:rsid w:val="001D5079"/>
    <w:rsid w:val="001D5B92"/>
    <w:rsid w:val="001D6C9E"/>
    <w:rsid w:val="001D6FDD"/>
    <w:rsid w:val="001E030A"/>
    <w:rsid w:val="001E0DC7"/>
    <w:rsid w:val="001E104E"/>
    <w:rsid w:val="001E1385"/>
    <w:rsid w:val="001E1A98"/>
    <w:rsid w:val="001E3FDA"/>
    <w:rsid w:val="001E4421"/>
    <w:rsid w:val="001E519B"/>
    <w:rsid w:val="001E56F3"/>
    <w:rsid w:val="001E62C3"/>
    <w:rsid w:val="001E64CD"/>
    <w:rsid w:val="001E6C22"/>
    <w:rsid w:val="001E705A"/>
    <w:rsid w:val="001E755D"/>
    <w:rsid w:val="001E7A8B"/>
    <w:rsid w:val="001E7F0D"/>
    <w:rsid w:val="001F074C"/>
    <w:rsid w:val="001F0FEB"/>
    <w:rsid w:val="001F1847"/>
    <w:rsid w:val="001F395A"/>
    <w:rsid w:val="001F44CC"/>
    <w:rsid w:val="001F4C9F"/>
    <w:rsid w:val="001F4E08"/>
    <w:rsid w:val="001F6345"/>
    <w:rsid w:val="001F67A4"/>
    <w:rsid w:val="001F69BB"/>
    <w:rsid w:val="001F7777"/>
    <w:rsid w:val="00201480"/>
    <w:rsid w:val="0020177C"/>
    <w:rsid w:val="00205CD9"/>
    <w:rsid w:val="002065B5"/>
    <w:rsid w:val="002102EC"/>
    <w:rsid w:val="00210C3F"/>
    <w:rsid w:val="002117E0"/>
    <w:rsid w:val="00211817"/>
    <w:rsid w:val="002135E3"/>
    <w:rsid w:val="0021370C"/>
    <w:rsid w:val="00214996"/>
    <w:rsid w:val="0021599F"/>
    <w:rsid w:val="00215DAC"/>
    <w:rsid w:val="00216A8A"/>
    <w:rsid w:val="00217642"/>
    <w:rsid w:val="00217723"/>
    <w:rsid w:val="00220184"/>
    <w:rsid w:val="00222F1F"/>
    <w:rsid w:val="00223E36"/>
    <w:rsid w:val="0022403E"/>
    <w:rsid w:val="00224A19"/>
    <w:rsid w:val="00226C67"/>
    <w:rsid w:val="00226CEB"/>
    <w:rsid w:val="00227970"/>
    <w:rsid w:val="00230729"/>
    <w:rsid w:val="0023150F"/>
    <w:rsid w:val="00231695"/>
    <w:rsid w:val="00232073"/>
    <w:rsid w:val="002336E6"/>
    <w:rsid w:val="00234F3F"/>
    <w:rsid w:val="0023580C"/>
    <w:rsid w:val="00236C97"/>
    <w:rsid w:val="0023781A"/>
    <w:rsid w:val="00242EB8"/>
    <w:rsid w:val="00244914"/>
    <w:rsid w:val="00247188"/>
    <w:rsid w:val="00247BAD"/>
    <w:rsid w:val="002500C4"/>
    <w:rsid w:val="00251ADE"/>
    <w:rsid w:val="00251BD0"/>
    <w:rsid w:val="0025300B"/>
    <w:rsid w:val="00256C57"/>
    <w:rsid w:val="00257849"/>
    <w:rsid w:val="00260BA5"/>
    <w:rsid w:val="00260EDF"/>
    <w:rsid w:val="00261858"/>
    <w:rsid w:val="00262CE4"/>
    <w:rsid w:val="00265587"/>
    <w:rsid w:val="002657CB"/>
    <w:rsid w:val="002660CC"/>
    <w:rsid w:val="00267009"/>
    <w:rsid w:val="00267454"/>
    <w:rsid w:val="00270274"/>
    <w:rsid w:val="002709BC"/>
    <w:rsid w:val="00271123"/>
    <w:rsid w:val="00271973"/>
    <w:rsid w:val="00272C3F"/>
    <w:rsid w:val="00274829"/>
    <w:rsid w:val="0027492E"/>
    <w:rsid w:val="002749A1"/>
    <w:rsid w:val="00276154"/>
    <w:rsid w:val="00277123"/>
    <w:rsid w:val="002771D9"/>
    <w:rsid w:val="00277631"/>
    <w:rsid w:val="002778B1"/>
    <w:rsid w:val="00277FA6"/>
    <w:rsid w:val="00280548"/>
    <w:rsid w:val="002805C7"/>
    <w:rsid w:val="00280DB1"/>
    <w:rsid w:val="00280F9E"/>
    <w:rsid w:val="002819EE"/>
    <w:rsid w:val="00282352"/>
    <w:rsid w:val="00282C2B"/>
    <w:rsid w:val="00285CEC"/>
    <w:rsid w:val="0028767D"/>
    <w:rsid w:val="002876CF"/>
    <w:rsid w:val="002904EC"/>
    <w:rsid w:val="00290C53"/>
    <w:rsid w:val="002915B6"/>
    <w:rsid w:val="002927C7"/>
    <w:rsid w:val="00292985"/>
    <w:rsid w:val="00292C6E"/>
    <w:rsid w:val="0029485B"/>
    <w:rsid w:val="0029485C"/>
    <w:rsid w:val="002975BD"/>
    <w:rsid w:val="002A0105"/>
    <w:rsid w:val="002A050E"/>
    <w:rsid w:val="002A0A55"/>
    <w:rsid w:val="002A183E"/>
    <w:rsid w:val="002A23C3"/>
    <w:rsid w:val="002A3DA8"/>
    <w:rsid w:val="002A7545"/>
    <w:rsid w:val="002A75F4"/>
    <w:rsid w:val="002B0854"/>
    <w:rsid w:val="002B0ECF"/>
    <w:rsid w:val="002B108C"/>
    <w:rsid w:val="002B1539"/>
    <w:rsid w:val="002B22D9"/>
    <w:rsid w:val="002B31D2"/>
    <w:rsid w:val="002B3473"/>
    <w:rsid w:val="002B6DE0"/>
    <w:rsid w:val="002B7226"/>
    <w:rsid w:val="002C0457"/>
    <w:rsid w:val="002C0929"/>
    <w:rsid w:val="002C0B94"/>
    <w:rsid w:val="002C167F"/>
    <w:rsid w:val="002C1CD5"/>
    <w:rsid w:val="002C30EB"/>
    <w:rsid w:val="002C3A61"/>
    <w:rsid w:val="002C3C99"/>
    <w:rsid w:val="002C3EFC"/>
    <w:rsid w:val="002C40FF"/>
    <w:rsid w:val="002C4875"/>
    <w:rsid w:val="002C5473"/>
    <w:rsid w:val="002C551B"/>
    <w:rsid w:val="002C590C"/>
    <w:rsid w:val="002C5CA3"/>
    <w:rsid w:val="002C6A6A"/>
    <w:rsid w:val="002D0222"/>
    <w:rsid w:val="002D1230"/>
    <w:rsid w:val="002D1D3C"/>
    <w:rsid w:val="002D1DF6"/>
    <w:rsid w:val="002D2193"/>
    <w:rsid w:val="002D27FE"/>
    <w:rsid w:val="002D37FF"/>
    <w:rsid w:val="002D44C6"/>
    <w:rsid w:val="002D6ABA"/>
    <w:rsid w:val="002D6DF9"/>
    <w:rsid w:val="002E05CE"/>
    <w:rsid w:val="002E06E1"/>
    <w:rsid w:val="002E0FCA"/>
    <w:rsid w:val="002E11DB"/>
    <w:rsid w:val="002E1DDE"/>
    <w:rsid w:val="002E2536"/>
    <w:rsid w:val="002E272E"/>
    <w:rsid w:val="002E30D8"/>
    <w:rsid w:val="002E36DC"/>
    <w:rsid w:val="002E3724"/>
    <w:rsid w:val="002E389C"/>
    <w:rsid w:val="002E3A7E"/>
    <w:rsid w:val="002E3B41"/>
    <w:rsid w:val="002E3E88"/>
    <w:rsid w:val="002E4ECB"/>
    <w:rsid w:val="002E58A6"/>
    <w:rsid w:val="002E61B3"/>
    <w:rsid w:val="002E660C"/>
    <w:rsid w:val="002E7008"/>
    <w:rsid w:val="002E716B"/>
    <w:rsid w:val="002E7937"/>
    <w:rsid w:val="002F1A01"/>
    <w:rsid w:val="002F4383"/>
    <w:rsid w:val="002F4734"/>
    <w:rsid w:val="002F5525"/>
    <w:rsid w:val="002F6361"/>
    <w:rsid w:val="002F6625"/>
    <w:rsid w:val="00300937"/>
    <w:rsid w:val="00302C57"/>
    <w:rsid w:val="00302EB1"/>
    <w:rsid w:val="003051F8"/>
    <w:rsid w:val="003057D3"/>
    <w:rsid w:val="00305AAC"/>
    <w:rsid w:val="00306088"/>
    <w:rsid w:val="00307183"/>
    <w:rsid w:val="00307423"/>
    <w:rsid w:val="00310506"/>
    <w:rsid w:val="00310747"/>
    <w:rsid w:val="00311388"/>
    <w:rsid w:val="00311809"/>
    <w:rsid w:val="0031266A"/>
    <w:rsid w:val="00312853"/>
    <w:rsid w:val="00313253"/>
    <w:rsid w:val="00313A62"/>
    <w:rsid w:val="00315AA6"/>
    <w:rsid w:val="00316097"/>
    <w:rsid w:val="00316B74"/>
    <w:rsid w:val="00316C5E"/>
    <w:rsid w:val="00316EF5"/>
    <w:rsid w:val="00317A3D"/>
    <w:rsid w:val="00317F0F"/>
    <w:rsid w:val="0032151F"/>
    <w:rsid w:val="00321DB2"/>
    <w:rsid w:val="00322340"/>
    <w:rsid w:val="00322F95"/>
    <w:rsid w:val="003236AD"/>
    <w:rsid w:val="00323AA4"/>
    <w:rsid w:val="00325D30"/>
    <w:rsid w:val="00327FD4"/>
    <w:rsid w:val="00330E4E"/>
    <w:rsid w:val="00331F57"/>
    <w:rsid w:val="00332277"/>
    <w:rsid w:val="00333489"/>
    <w:rsid w:val="003356ED"/>
    <w:rsid w:val="00335791"/>
    <w:rsid w:val="00336CB0"/>
    <w:rsid w:val="00337240"/>
    <w:rsid w:val="0034053D"/>
    <w:rsid w:val="003412D8"/>
    <w:rsid w:val="00341C02"/>
    <w:rsid w:val="00342634"/>
    <w:rsid w:val="00342E9F"/>
    <w:rsid w:val="00343773"/>
    <w:rsid w:val="003461A4"/>
    <w:rsid w:val="00346CA6"/>
    <w:rsid w:val="00346F35"/>
    <w:rsid w:val="00351995"/>
    <w:rsid w:val="00353AE2"/>
    <w:rsid w:val="0035406F"/>
    <w:rsid w:val="00354B99"/>
    <w:rsid w:val="0035596C"/>
    <w:rsid w:val="00360675"/>
    <w:rsid w:val="00360F1B"/>
    <w:rsid w:val="0036218A"/>
    <w:rsid w:val="00362966"/>
    <w:rsid w:val="0036343D"/>
    <w:rsid w:val="0036402A"/>
    <w:rsid w:val="00364C8C"/>
    <w:rsid w:val="00365B6C"/>
    <w:rsid w:val="00366580"/>
    <w:rsid w:val="00367768"/>
    <w:rsid w:val="00367DDF"/>
    <w:rsid w:val="003702A8"/>
    <w:rsid w:val="00373DD7"/>
    <w:rsid w:val="00374243"/>
    <w:rsid w:val="0037461C"/>
    <w:rsid w:val="00374FB4"/>
    <w:rsid w:val="0037559C"/>
    <w:rsid w:val="00375A3B"/>
    <w:rsid w:val="0037620E"/>
    <w:rsid w:val="003804C7"/>
    <w:rsid w:val="003807B3"/>
    <w:rsid w:val="00382946"/>
    <w:rsid w:val="00382955"/>
    <w:rsid w:val="00382F1A"/>
    <w:rsid w:val="00385640"/>
    <w:rsid w:val="00385F7F"/>
    <w:rsid w:val="00385FF0"/>
    <w:rsid w:val="003861CB"/>
    <w:rsid w:val="00386ACF"/>
    <w:rsid w:val="00386E2E"/>
    <w:rsid w:val="003875C5"/>
    <w:rsid w:val="00387756"/>
    <w:rsid w:val="003905F0"/>
    <w:rsid w:val="003907DB"/>
    <w:rsid w:val="00390A8A"/>
    <w:rsid w:val="00391FBB"/>
    <w:rsid w:val="003921E2"/>
    <w:rsid w:val="003931A1"/>
    <w:rsid w:val="0039361C"/>
    <w:rsid w:val="0039387A"/>
    <w:rsid w:val="00395507"/>
    <w:rsid w:val="0039582C"/>
    <w:rsid w:val="00396615"/>
    <w:rsid w:val="00396CE3"/>
    <w:rsid w:val="003A099B"/>
    <w:rsid w:val="003A2D8F"/>
    <w:rsid w:val="003A30CC"/>
    <w:rsid w:val="003A3149"/>
    <w:rsid w:val="003A438D"/>
    <w:rsid w:val="003A45D6"/>
    <w:rsid w:val="003A4FB7"/>
    <w:rsid w:val="003A7936"/>
    <w:rsid w:val="003B0256"/>
    <w:rsid w:val="003B0354"/>
    <w:rsid w:val="003B15E0"/>
    <w:rsid w:val="003B1BFE"/>
    <w:rsid w:val="003B26CE"/>
    <w:rsid w:val="003B2CAC"/>
    <w:rsid w:val="003B33D7"/>
    <w:rsid w:val="003B40D9"/>
    <w:rsid w:val="003B45FC"/>
    <w:rsid w:val="003B5726"/>
    <w:rsid w:val="003B5ECC"/>
    <w:rsid w:val="003B7C37"/>
    <w:rsid w:val="003B7F72"/>
    <w:rsid w:val="003C0A62"/>
    <w:rsid w:val="003C0BE7"/>
    <w:rsid w:val="003C21C4"/>
    <w:rsid w:val="003C21E3"/>
    <w:rsid w:val="003C23DC"/>
    <w:rsid w:val="003C69E2"/>
    <w:rsid w:val="003C6CD0"/>
    <w:rsid w:val="003C7503"/>
    <w:rsid w:val="003C78AB"/>
    <w:rsid w:val="003C7C03"/>
    <w:rsid w:val="003C7DA4"/>
    <w:rsid w:val="003D0708"/>
    <w:rsid w:val="003D0D4B"/>
    <w:rsid w:val="003D13B2"/>
    <w:rsid w:val="003D246D"/>
    <w:rsid w:val="003D30D7"/>
    <w:rsid w:val="003D417B"/>
    <w:rsid w:val="003D4A4E"/>
    <w:rsid w:val="003D5AE3"/>
    <w:rsid w:val="003D5F48"/>
    <w:rsid w:val="003E02F4"/>
    <w:rsid w:val="003E06CC"/>
    <w:rsid w:val="003E0CCC"/>
    <w:rsid w:val="003E2104"/>
    <w:rsid w:val="003E22AC"/>
    <w:rsid w:val="003E3AA0"/>
    <w:rsid w:val="003E3EEE"/>
    <w:rsid w:val="003E4B62"/>
    <w:rsid w:val="003E6336"/>
    <w:rsid w:val="003E6CF8"/>
    <w:rsid w:val="003E6F66"/>
    <w:rsid w:val="003E7732"/>
    <w:rsid w:val="003E79B4"/>
    <w:rsid w:val="003E7CD8"/>
    <w:rsid w:val="003E7FA6"/>
    <w:rsid w:val="003F0A91"/>
    <w:rsid w:val="003F34A9"/>
    <w:rsid w:val="003F3DAD"/>
    <w:rsid w:val="003F447E"/>
    <w:rsid w:val="003F4FDD"/>
    <w:rsid w:val="003F6FA8"/>
    <w:rsid w:val="003F7098"/>
    <w:rsid w:val="003F7CEF"/>
    <w:rsid w:val="004007A2"/>
    <w:rsid w:val="004008B1"/>
    <w:rsid w:val="00402784"/>
    <w:rsid w:val="00402908"/>
    <w:rsid w:val="00402FAF"/>
    <w:rsid w:val="004037E0"/>
    <w:rsid w:val="00404409"/>
    <w:rsid w:val="0040554D"/>
    <w:rsid w:val="0040575F"/>
    <w:rsid w:val="00405957"/>
    <w:rsid w:val="00405A77"/>
    <w:rsid w:val="00405D1E"/>
    <w:rsid w:val="0041017A"/>
    <w:rsid w:val="0041086C"/>
    <w:rsid w:val="0041403B"/>
    <w:rsid w:val="00414497"/>
    <w:rsid w:val="00414613"/>
    <w:rsid w:val="004157A2"/>
    <w:rsid w:val="004178DF"/>
    <w:rsid w:val="00420C20"/>
    <w:rsid w:val="00420DBE"/>
    <w:rsid w:val="00424D9E"/>
    <w:rsid w:val="0042711F"/>
    <w:rsid w:val="00427366"/>
    <w:rsid w:val="00430529"/>
    <w:rsid w:val="004317D9"/>
    <w:rsid w:val="00432337"/>
    <w:rsid w:val="004342F0"/>
    <w:rsid w:val="004349B0"/>
    <w:rsid w:val="0043563B"/>
    <w:rsid w:val="00435BC5"/>
    <w:rsid w:val="00436959"/>
    <w:rsid w:val="00437D82"/>
    <w:rsid w:val="00442344"/>
    <w:rsid w:val="00442F7E"/>
    <w:rsid w:val="004431C9"/>
    <w:rsid w:val="004468CB"/>
    <w:rsid w:val="00446A06"/>
    <w:rsid w:val="00446D6F"/>
    <w:rsid w:val="00447A20"/>
    <w:rsid w:val="00447DE7"/>
    <w:rsid w:val="00450158"/>
    <w:rsid w:val="0045154D"/>
    <w:rsid w:val="0045451D"/>
    <w:rsid w:val="00455679"/>
    <w:rsid w:val="00455A9E"/>
    <w:rsid w:val="00455AA7"/>
    <w:rsid w:val="00455AE9"/>
    <w:rsid w:val="00455D7A"/>
    <w:rsid w:val="004560D0"/>
    <w:rsid w:val="00456141"/>
    <w:rsid w:val="00456C0F"/>
    <w:rsid w:val="00460383"/>
    <w:rsid w:val="00460CF0"/>
    <w:rsid w:val="00460EA8"/>
    <w:rsid w:val="004611C9"/>
    <w:rsid w:val="0046124B"/>
    <w:rsid w:val="00461953"/>
    <w:rsid w:val="004625A3"/>
    <w:rsid w:val="00462A00"/>
    <w:rsid w:val="00463761"/>
    <w:rsid w:val="004649B8"/>
    <w:rsid w:val="00464B9B"/>
    <w:rsid w:val="00464DC4"/>
    <w:rsid w:val="0046585C"/>
    <w:rsid w:val="00466500"/>
    <w:rsid w:val="004665E6"/>
    <w:rsid w:val="00466892"/>
    <w:rsid w:val="0046799F"/>
    <w:rsid w:val="00470A76"/>
    <w:rsid w:val="00470E5B"/>
    <w:rsid w:val="00470E9C"/>
    <w:rsid w:val="004716BA"/>
    <w:rsid w:val="00472A8E"/>
    <w:rsid w:val="00472BC1"/>
    <w:rsid w:val="00473663"/>
    <w:rsid w:val="00474363"/>
    <w:rsid w:val="00474A25"/>
    <w:rsid w:val="00475D3F"/>
    <w:rsid w:val="004767A5"/>
    <w:rsid w:val="0047738C"/>
    <w:rsid w:val="00477654"/>
    <w:rsid w:val="00481024"/>
    <w:rsid w:val="00482EAC"/>
    <w:rsid w:val="004831FA"/>
    <w:rsid w:val="00483375"/>
    <w:rsid w:val="00484F84"/>
    <w:rsid w:val="00486A70"/>
    <w:rsid w:val="00487696"/>
    <w:rsid w:val="00487865"/>
    <w:rsid w:val="00491015"/>
    <w:rsid w:val="00491C7C"/>
    <w:rsid w:val="00492DCB"/>
    <w:rsid w:val="00493CDD"/>
    <w:rsid w:val="004947FA"/>
    <w:rsid w:val="0049502D"/>
    <w:rsid w:val="00497404"/>
    <w:rsid w:val="00497BC5"/>
    <w:rsid w:val="00497D1F"/>
    <w:rsid w:val="004A173D"/>
    <w:rsid w:val="004A18FB"/>
    <w:rsid w:val="004A1BA3"/>
    <w:rsid w:val="004A1DE7"/>
    <w:rsid w:val="004A1F14"/>
    <w:rsid w:val="004A3BC1"/>
    <w:rsid w:val="004A3D38"/>
    <w:rsid w:val="004A45BC"/>
    <w:rsid w:val="004A4C88"/>
    <w:rsid w:val="004A4FC5"/>
    <w:rsid w:val="004A5CB8"/>
    <w:rsid w:val="004A5F7D"/>
    <w:rsid w:val="004A65DC"/>
    <w:rsid w:val="004A79F8"/>
    <w:rsid w:val="004B0614"/>
    <w:rsid w:val="004B1933"/>
    <w:rsid w:val="004B3F8A"/>
    <w:rsid w:val="004B436E"/>
    <w:rsid w:val="004B4E70"/>
    <w:rsid w:val="004B785A"/>
    <w:rsid w:val="004C02D7"/>
    <w:rsid w:val="004C1484"/>
    <w:rsid w:val="004C14E0"/>
    <w:rsid w:val="004C201A"/>
    <w:rsid w:val="004C209D"/>
    <w:rsid w:val="004C46C6"/>
    <w:rsid w:val="004C5484"/>
    <w:rsid w:val="004C5F2B"/>
    <w:rsid w:val="004C631A"/>
    <w:rsid w:val="004C67D3"/>
    <w:rsid w:val="004C6D55"/>
    <w:rsid w:val="004D04A4"/>
    <w:rsid w:val="004D0DD9"/>
    <w:rsid w:val="004D0E57"/>
    <w:rsid w:val="004D273B"/>
    <w:rsid w:val="004D3AC2"/>
    <w:rsid w:val="004D5AE0"/>
    <w:rsid w:val="004D6099"/>
    <w:rsid w:val="004D6E69"/>
    <w:rsid w:val="004E00F5"/>
    <w:rsid w:val="004E106F"/>
    <w:rsid w:val="004E1151"/>
    <w:rsid w:val="004E1589"/>
    <w:rsid w:val="004E2972"/>
    <w:rsid w:val="004E311C"/>
    <w:rsid w:val="004E4362"/>
    <w:rsid w:val="004E46B1"/>
    <w:rsid w:val="004E4C13"/>
    <w:rsid w:val="004E4E56"/>
    <w:rsid w:val="004E5218"/>
    <w:rsid w:val="004E5CAB"/>
    <w:rsid w:val="004E6D8D"/>
    <w:rsid w:val="004E6FA4"/>
    <w:rsid w:val="004E74F9"/>
    <w:rsid w:val="004E78CD"/>
    <w:rsid w:val="004F0670"/>
    <w:rsid w:val="004F0FA5"/>
    <w:rsid w:val="004F11FD"/>
    <w:rsid w:val="004F12A3"/>
    <w:rsid w:val="004F28FA"/>
    <w:rsid w:val="004F477A"/>
    <w:rsid w:val="004F656E"/>
    <w:rsid w:val="004F6D44"/>
    <w:rsid w:val="004F756E"/>
    <w:rsid w:val="004F79F0"/>
    <w:rsid w:val="0050096B"/>
    <w:rsid w:val="00500FED"/>
    <w:rsid w:val="00502186"/>
    <w:rsid w:val="005027E8"/>
    <w:rsid w:val="00502E15"/>
    <w:rsid w:val="0050328F"/>
    <w:rsid w:val="005036D6"/>
    <w:rsid w:val="00503C60"/>
    <w:rsid w:val="00504367"/>
    <w:rsid w:val="005044CE"/>
    <w:rsid w:val="0050581A"/>
    <w:rsid w:val="005068D8"/>
    <w:rsid w:val="00506E64"/>
    <w:rsid w:val="00507820"/>
    <w:rsid w:val="00507BE5"/>
    <w:rsid w:val="005108AD"/>
    <w:rsid w:val="005137FE"/>
    <w:rsid w:val="00514816"/>
    <w:rsid w:val="00515C5F"/>
    <w:rsid w:val="00517EE5"/>
    <w:rsid w:val="0052015A"/>
    <w:rsid w:val="005202B3"/>
    <w:rsid w:val="0052084B"/>
    <w:rsid w:val="00521005"/>
    <w:rsid w:val="005210A6"/>
    <w:rsid w:val="005210C2"/>
    <w:rsid w:val="00521982"/>
    <w:rsid w:val="005221C0"/>
    <w:rsid w:val="005222E3"/>
    <w:rsid w:val="00526894"/>
    <w:rsid w:val="00526CEF"/>
    <w:rsid w:val="0052733C"/>
    <w:rsid w:val="0053021F"/>
    <w:rsid w:val="00530B17"/>
    <w:rsid w:val="00531894"/>
    <w:rsid w:val="00531C59"/>
    <w:rsid w:val="0053369E"/>
    <w:rsid w:val="00533A09"/>
    <w:rsid w:val="0053434B"/>
    <w:rsid w:val="0053450B"/>
    <w:rsid w:val="00535034"/>
    <w:rsid w:val="005364B6"/>
    <w:rsid w:val="005401D8"/>
    <w:rsid w:val="005408A9"/>
    <w:rsid w:val="00540E7D"/>
    <w:rsid w:val="00541B83"/>
    <w:rsid w:val="00542DB7"/>
    <w:rsid w:val="00542FAF"/>
    <w:rsid w:val="00544322"/>
    <w:rsid w:val="005455D9"/>
    <w:rsid w:val="00545823"/>
    <w:rsid w:val="005458F4"/>
    <w:rsid w:val="0055050C"/>
    <w:rsid w:val="0055080B"/>
    <w:rsid w:val="00550AEC"/>
    <w:rsid w:val="00550EF1"/>
    <w:rsid w:val="00552B59"/>
    <w:rsid w:val="00552B83"/>
    <w:rsid w:val="00553221"/>
    <w:rsid w:val="0055352F"/>
    <w:rsid w:val="00554E95"/>
    <w:rsid w:val="00555004"/>
    <w:rsid w:val="005550B8"/>
    <w:rsid w:val="00555B2C"/>
    <w:rsid w:val="00556888"/>
    <w:rsid w:val="00556DFE"/>
    <w:rsid w:val="005576D8"/>
    <w:rsid w:val="00560AB2"/>
    <w:rsid w:val="00563393"/>
    <w:rsid w:val="005633AF"/>
    <w:rsid w:val="00564191"/>
    <w:rsid w:val="0056484D"/>
    <w:rsid w:val="00564CF5"/>
    <w:rsid w:val="00564FCF"/>
    <w:rsid w:val="0056548D"/>
    <w:rsid w:val="00566539"/>
    <w:rsid w:val="00567274"/>
    <w:rsid w:val="00567498"/>
    <w:rsid w:val="00570069"/>
    <w:rsid w:val="00570690"/>
    <w:rsid w:val="0057180A"/>
    <w:rsid w:val="00573584"/>
    <w:rsid w:val="005735DF"/>
    <w:rsid w:val="00573862"/>
    <w:rsid w:val="00573F9C"/>
    <w:rsid w:val="00574529"/>
    <w:rsid w:val="00575F62"/>
    <w:rsid w:val="00576770"/>
    <w:rsid w:val="005768FA"/>
    <w:rsid w:val="00576AAC"/>
    <w:rsid w:val="005778A1"/>
    <w:rsid w:val="00577A72"/>
    <w:rsid w:val="005826EC"/>
    <w:rsid w:val="00583AAE"/>
    <w:rsid w:val="00586B5F"/>
    <w:rsid w:val="00587218"/>
    <w:rsid w:val="00587C82"/>
    <w:rsid w:val="00587FDA"/>
    <w:rsid w:val="0059031C"/>
    <w:rsid w:val="00590448"/>
    <w:rsid w:val="00590A58"/>
    <w:rsid w:val="00591FBD"/>
    <w:rsid w:val="0059210D"/>
    <w:rsid w:val="00592C5A"/>
    <w:rsid w:val="00592FCE"/>
    <w:rsid w:val="005939DA"/>
    <w:rsid w:val="00593D22"/>
    <w:rsid w:val="00594498"/>
    <w:rsid w:val="005944A3"/>
    <w:rsid w:val="0059700E"/>
    <w:rsid w:val="0059720E"/>
    <w:rsid w:val="00597D32"/>
    <w:rsid w:val="005A011D"/>
    <w:rsid w:val="005A0614"/>
    <w:rsid w:val="005A103F"/>
    <w:rsid w:val="005A1EC7"/>
    <w:rsid w:val="005A3A99"/>
    <w:rsid w:val="005A3C46"/>
    <w:rsid w:val="005A56E6"/>
    <w:rsid w:val="005A6596"/>
    <w:rsid w:val="005A660F"/>
    <w:rsid w:val="005B050F"/>
    <w:rsid w:val="005B075B"/>
    <w:rsid w:val="005B0921"/>
    <w:rsid w:val="005B0D70"/>
    <w:rsid w:val="005B135D"/>
    <w:rsid w:val="005B1866"/>
    <w:rsid w:val="005B1A72"/>
    <w:rsid w:val="005B2F65"/>
    <w:rsid w:val="005B3953"/>
    <w:rsid w:val="005B3A8F"/>
    <w:rsid w:val="005B43C2"/>
    <w:rsid w:val="005B49FA"/>
    <w:rsid w:val="005B4E5C"/>
    <w:rsid w:val="005B6D26"/>
    <w:rsid w:val="005B71A0"/>
    <w:rsid w:val="005B759D"/>
    <w:rsid w:val="005C36DD"/>
    <w:rsid w:val="005C42E9"/>
    <w:rsid w:val="005C47EF"/>
    <w:rsid w:val="005C4DA3"/>
    <w:rsid w:val="005C4FB4"/>
    <w:rsid w:val="005C50BA"/>
    <w:rsid w:val="005C5330"/>
    <w:rsid w:val="005C686B"/>
    <w:rsid w:val="005C7058"/>
    <w:rsid w:val="005D0B24"/>
    <w:rsid w:val="005D3199"/>
    <w:rsid w:val="005D4107"/>
    <w:rsid w:val="005D5238"/>
    <w:rsid w:val="005D6CD8"/>
    <w:rsid w:val="005D7768"/>
    <w:rsid w:val="005D7D18"/>
    <w:rsid w:val="005E00B9"/>
    <w:rsid w:val="005E0813"/>
    <w:rsid w:val="005E1779"/>
    <w:rsid w:val="005E1B61"/>
    <w:rsid w:val="005E2B43"/>
    <w:rsid w:val="005E3836"/>
    <w:rsid w:val="005E3DE0"/>
    <w:rsid w:val="005E510F"/>
    <w:rsid w:val="005F0354"/>
    <w:rsid w:val="005F0823"/>
    <w:rsid w:val="005F0A26"/>
    <w:rsid w:val="005F1ED4"/>
    <w:rsid w:val="005F2B25"/>
    <w:rsid w:val="005F31F3"/>
    <w:rsid w:val="005F32D8"/>
    <w:rsid w:val="005F34DB"/>
    <w:rsid w:val="005F3880"/>
    <w:rsid w:val="005F461E"/>
    <w:rsid w:val="005F468D"/>
    <w:rsid w:val="005F4D3A"/>
    <w:rsid w:val="005F5E7B"/>
    <w:rsid w:val="005F7D66"/>
    <w:rsid w:val="00600AE6"/>
    <w:rsid w:val="006024FC"/>
    <w:rsid w:val="0060290E"/>
    <w:rsid w:val="00602911"/>
    <w:rsid w:val="00606F73"/>
    <w:rsid w:val="00607233"/>
    <w:rsid w:val="00607246"/>
    <w:rsid w:val="00607A29"/>
    <w:rsid w:val="00607C32"/>
    <w:rsid w:val="006115D7"/>
    <w:rsid w:val="0061185F"/>
    <w:rsid w:val="00611AFF"/>
    <w:rsid w:val="00613F35"/>
    <w:rsid w:val="00614293"/>
    <w:rsid w:val="00614AE4"/>
    <w:rsid w:val="006155B0"/>
    <w:rsid w:val="00615812"/>
    <w:rsid w:val="00616ACA"/>
    <w:rsid w:val="00616BA0"/>
    <w:rsid w:val="00620978"/>
    <w:rsid w:val="00620B50"/>
    <w:rsid w:val="006212F9"/>
    <w:rsid w:val="00621F72"/>
    <w:rsid w:val="0062379D"/>
    <w:rsid w:val="00623964"/>
    <w:rsid w:val="00623B9B"/>
    <w:rsid w:val="00625239"/>
    <w:rsid w:val="00625BF2"/>
    <w:rsid w:val="006262BB"/>
    <w:rsid w:val="00626AB5"/>
    <w:rsid w:val="00626EB5"/>
    <w:rsid w:val="00627805"/>
    <w:rsid w:val="00630C92"/>
    <w:rsid w:val="006313AB"/>
    <w:rsid w:val="00632230"/>
    <w:rsid w:val="00632523"/>
    <w:rsid w:val="006333D7"/>
    <w:rsid w:val="006360A8"/>
    <w:rsid w:val="006361A9"/>
    <w:rsid w:val="0063693B"/>
    <w:rsid w:val="0063720A"/>
    <w:rsid w:val="0063777C"/>
    <w:rsid w:val="00641CA6"/>
    <w:rsid w:val="00642C0E"/>
    <w:rsid w:val="006434C8"/>
    <w:rsid w:val="006436E0"/>
    <w:rsid w:val="00643D42"/>
    <w:rsid w:val="00644960"/>
    <w:rsid w:val="00645835"/>
    <w:rsid w:val="00645FB6"/>
    <w:rsid w:val="006460C9"/>
    <w:rsid w:val="00646422"/>
    <w:rsid w:val="0064643F"/>
    <w:rsid w:val="006467F5"/>
    <w:rsid w:val="00647757"/>
    <w:rsid w:val="006477B6"/>
    <w:rsid w:val="00647827"/>
    <w:rsid w:val="00650FFA"/>
    <w:rsid w:val="006510AF"/>
    <w:rsid w:val="00651A83"/>
    <w:rsid w:val="0065331D"/>
    <w:rsid w:val="00653748"/>
    <w:rsid w:val="00653F04"/>
    <w:rsid w:val="00654562"/>
    <w:rsid w:val="006545DF"/>
    <w:rsid w:val="00654935"/>
    <w:rsid w:val="00654BB3"/>
    <w:rsid w:val="006554D4"/>
    <w:rsid w:val="00655EF9"/>
    <w:rsid w:val="00656BDC"/>
    <w:rsid w:val="00661B7F"/>
    <w:rsid w:val="00661E32"/>
    <w:rsid w:val="00663A31"/>
    <w:rsid w:val="00663D3C"/>
    <w:rsid w:val="00665BB6"/>
    <w:rsid w:val="00666C99"/>
    <w:rsid w:val="006672CF"/>
    <w:rsid w:val="00667CE6"/>
    <w:rsid w:val="00667D5C"/>
    <w:rsid w:val="0067112B"/>
    <w:rsid w:val="006720D8"/>
    <w:rsid w:val="00672328"/>
    <w:rsid w:val="00672EAD"/>
    <w:rsid w:val="00672F0A"/>
    <w:rsid w:val="00673F3F"/>
    <w:rsid w:val="0067545E"/>
    <w:rsid w:val="00676304"/>
    <w:rsid w:val="006768B5"/>
    <w:rsid w:val="006771A9"/>
    <w:rsid w:val="006806AB"/>
    <w:rsid w:val="00680D8A"/>
    <w:rsid w:val="00681C44"/>
    <w:rsid w:val="006825C6"/>
    <w:rsid w:val="0068314C"/>
    <w:rsid w:val="006833AB"/>
    <w:rsid w:val="006852D9"/>
    <w:rsid w:val="00685A60"/>
    <w:rsid w:val="00687000"/>
    <w:rsid w:val="0069011F"/>
    <w:rsid w:val="006905DD"/>
    <w:rsid w:val="006913C9"/>
    <w:rsid w:val="00692B17"/>
    <w:rsid w:val="00693609"/>
    <w:rsid w:val="00694F5F"/>
    <w:rsid w:val="0069543E"/>
    <w:rsid w:val="00696547"/>
    <w:rsid w:val="006971D2"/>
    <w:rsid w:val="006A1058"/>
    <w:rsid w:val="006A2884"/>
    <w:rsid w:val="006A28D7"/>
    <w:rsid w:val="006A2A49"/>
    <w:rsid w:val="006A3AB1"/>
    <w:rsid w:val="006A3BBD"/>
    <w:rsid w:val="006A5A3C"/>
    <w:rsid w:val="006A5B16"/>
    <w:rsid w:val="006A5B18"/>
    <w:rsid w:val="006A7B72"/>
    <w:rsid w:val="006B0B35"/>
    <w:rsid w:val="006B1011"/>
    <w:rsid w:val="006B1AF3"/>
    <w:rsid w:val="006B3379"/>
    <w:rsid w:val="006B411A"/>
    <w:rsid w:val="006B46FC"/>
    <w:rsid w:val="006B4978"/>
    <w:rsid w:val="006B549E"/>
    <w:rsid w:val="006B5A91"/>
    <w:rsid w:val="006B5B81"/>
    <w:rsid w:val="006B6141"/>
    <w:rsid w:val="006B6397"/>
    <w:rsid w:val="006B6F63"/>
    <w:rsid w:val="006B7AD1"/>
    <w:rsid w:val="006B7B54"/>
    <w:rsid w:val="006C0407"/>
    <w:rsid w:val="006C0A8F"/>
    <w:rsid w:val="006C2558"/>
    <w:rsid w:val="006C29EC"/>
    <w:rsid w:val="006C2B13"/>
    <w:rsid w:val="006C5923"/>
    <w:rsid w:val="006C6434"/>
    <w:rsid w:val="006C711A"/>
    <w:rsid w:val="006C7FCC"/>
    <w:rsid w:val="006D04D1"/>
    <w:rsid w:val="006D121B"/>
    <w:rsid w:val="006D4608"/>
    <w:rsid w:val="006D4733"/>
    <w:rsid w:val="006D5568"/>
    <w:rsid w:val="006D6014"/>
    <w:rsid w:val="006D6294"/>
    <w:rsid w:val="006D7360"/>
    <w:rsid w:val="006D7505"/>
    <w:rsid w:val="006D75C8"/>
    <w:rsid w:val="006D78E9"/>
    <w:rsid w:val="006D7CD6"/>
    <w:rsid w:val="006E0328"/>
    <w:rsid w:val="006E10AC"/>
    <w:rsid w:val="006E19A0"/>
    <w:rsid w:val="006E2FC0"/>
    <w:rsid w:val="006E34F4"/>
    <w:rsid w:val="006E45D1"/>
    <w:rsid w:val="006E4F3C"/>
    <w:rsid w:val="006E5B66"/>
    <w:rsid w:val="006E5FF9"/>
    <w:rsid w:val="006E61A6"/>
    <w:rsid w:val="006E7F1A"/>
    <w:rsid w:val="006F23F9"/>
    <w:rsid w:val="006F30F2"/>
    <w:rsid w:val="006F49CC"/>
    <w:rsid w:val="006F5264"/>
    <w:rsid w:val="006F6586"/>
    <w:rsid w:val="006F7B58"/>
    <w:rsid w:val="00700022"/>
    <w:rsid w:val="007012EC"/>
    <w:rsid w:val="00702255"/>
    <w:rsid w:val="00702A93"/>
    <w:rsid w:val="007034E6"/>
    <w:rsid w:val="007074AD"/>
    <w:rsid w:val="00707979"/>
    <w:rsid w:val="007105CC"/>
    <w:rsid w:val="007118AF"/>
    <w:rsid w:val="00711FBB"/>
    <w:rsid w:val="00712AAE"/>
    <w:rsid w:val="00712CA4"/>
    <w:rsid w:val="0071567A"/>
    <w:rsid w:val="00716767"/>
    <w:rsid w:val="007178E9"/>
    <w:rsid w:val="00717ED2"/>
    <w:rsid w:val="00717F70"/>
    <w:rsid w:val="00720613"/>
    <w:rsid w:val="00721478"/>
    <w:rsid w:val="00722056"/>
    <w:rsid w:val="0072207A"/>
    <w:rsid w:val="0072267D"/>
    <w:rsid w:val="00722F98"/>
    <w:rsid w:val="0072343B"/>
    <w:rsid w:val="007235DC"/>
    <w:rsid w:val="007235E3"/>
    <w:rsid w:val="007242D5"/>
    <w:rsid w:val="00724FE8"/>
    <w:rsid w:val="00725A21"/>
    <w:rsid w:val="00725F8B"/>
    <w:rsid w:val="0072780C"/>
    <w:rsid w:val="00730347"/>
    <w:rsid w:val="00731333"/>
    <w:rsid w:val="0073171B"/>
    <w:rsid w:val="007323B4"/>
    <w:rsid w:val="00735373"/>
    <w:rsid w:val="00735812"/>
    <w:rsid w:val="00735C2C"/>
    <w:rsid w:val="007373D1"/>
    <w:rsid w:val="0073771A"/>
    <w:rsid w:val="00740852"/>
    <w:rsid w:val="00742703"/>
    <w:rsid w:val="00742D2E"/>
    <w:rsid w:val="00743119"/>
    <w:rsid w:val="007438F8"/>
    <w:rsid w:val="0074390E"/>
    <w:rsid w:val="00743CC0"/>
    <w:rsid w:val="00744515"/>
    <w:rsid w:val="00744CA0"/>
    <w:rsid w:val="00746CB0"/>
    <w:rsid w:val="00747367"/>
    <w:rsid w:val="007474A2"/>
    <w:rsid w:val="00747D76"/>
    <w:rsid w:val="007501CB"/>
    <w:rsid w:val="007506F0"/>
    <w:rsid w:val="00751AA7"/>
    <w:rsid w:val="007522E8"/>
    <w:rsid w:val="00752972"/>
    <w:rsid w:val="00753894"/>
    <w:rsid w:val="00754128"/>
    <w:rsid w:val="007555DE"/>
    <w:rsid w:val="007566CB"/>
    <w:rsid w:val="00756ECD"/>
    <w:rsid w:val="00757A7C"/>
    <w:rsid w:val="00760F3F"/>
    <w:rsid w:val="007632DD"/>
    <w:rsid w:val="00763B10"/>
    <w:rsid w:val="0076512A"/>
    <w:rsid w:val="00765655"/>
    <w:rsid w:val="00765D41"/>
    <w:rsid w:val="0076603D"/>
    <w:rsid w:val="0076632B"/>
    <w:rsid w:val="007665AE"/>
    <w:rsid w:val="00767549"/>
    <w:rsid w:val="007707E2"/>
    <w:rsid w:val="00770813"/>
    <w:rsid w:val="00773164"/>
    <w:rsid w:val="00775E3D"/>
    <w:rsid w:val="00776FD9"/>
    <w:rsid w:val="00777E6C"/>
    <w:rsid w:val="00777F66"/>
    <w:rsid w:val="00780974"/>
    <w:rsid w:val="00780FB4"/>
    <w:rsid w:val="007814E5"/>
    <w:rsid w:val="0078286F"/>
    <w:rsid w:val="00783682"/>
    <w:rsid w:val="00784DDE"/>
    <w:rsid w:val="00785239"/>
    <w:rsid w:val="00790AB7"/>
    <w:rsid w:val="0079199F"/>
    <w:rsid w:val="00791FA6"/>
    <w:rsid w:val="00793071"/>
    <w:rsid w:val="00794C14"/>
    <w:rsid w:val="00794CD2"/>
    <w:rsid w:val="00794D25"/>
    <w:rsid w:val="00794F8E"/>
    <w:rsid w:val="00795548"/>
    <w:rsid w:val="007963F5"/>
    <w:rsid w:val="00796AAB"/>
    <w:rsid w:val="00796C32"/>
    <w:rsid w:val="00797277"/>
    <w:rsid w:val="007973C0"/>
    <w:rsid w:val="00797A26"/>
    <w:rsid w:val="007A005F"/>
    <w:rsid w:val="007A2E29"/>
    <w:rsid w:val="007A2FE2"/>
    <w:rsid w:val="007A3E5C"/>
    <w:rsid w:val="007A4463"/>
    <w:rsid w:val="007A4C31"/>
    <w:rsid w:val="007A5F82"/>
    <w:rsid w:val="007A79B8"/>
    <w:rsid w:val="007B09FF"/>
    <w:rsid w:val="007B1BFB"/>
    <w:rsid w:val="007B274C"/>
    <w:rsid w:val="007B295D"/>
    <w:rsid w:val="007B2DB6"/>
    <w:rsid w:val="007B5429"/>
    <w:rsid w:val="007B590F"/>
    <w:rsid w:val="007B5DBC"/>
    <w:rsid w:val="007B6225"/>
    <w:rsid w:val="007B6E4D"/>
    <w:rsid w:val="007C0852"/>
    <w:rsid w:val="007C1D30"/>
    <w:rsid w:val="007C255E"/>
    <w:rsid w:val="007C2775"/>
    <w:rsid w:val="007C2946"/>
    <w:rsid w:val="007C42DF"/>
    <w:rsid w:val="007C4592"/>
    <w:rsid w:val="007C598D"/>
    <w:rsid w:val="007C7862"/>
    <w:rsid w:val="007D01DC"/>
    <w:rsid w:val="007D0207"/>
    <w:rsid w:val="007D07F7"/>
    <w:rsid w:val="007D2D19"/>
    <w:rsid w:val="007D367B"/>
    <w:rsid w:val="007D3F35"/>
    <w:rsid w:val="007D411A"/>
    <w:rsid w:val="007D4FF9"/>
    <w:rsid w:val="007D5EE7"/>
    <w:rsid w:val="007D6368"/>
    <w:rsid w:val="007D6D16"/>
    <w:rsid w:val="007D780D"/>
    <w:rsid w:val="007E03D7"/>
    <w:rsid w:val="007E0ADD"/>
    <w:rsid w:val="007E0D3F"/>
    <w:rsid w:val="007E10AA"/>
    <w:rsid w:val="007E1177"/>
    <w:rsid w:val="007E1708"/>
    <w:rsid w:val="007E267F"/>
    <w:rsid w:val="007E332A"/>
    <w:rsid w:val="007E41D1"/>
    <w:rsid w:val="007E4D15"/>
    <w:rsid w:val="007E5938"/>
    <w:rsid w:val="007E7147"/>
    <w:rsid w:val="007E7511"/>
    <w:rsid w:val="007E7DB1"/>
    <w:rsid w:val="007F1069"/>
    <w:rsid w:val="007F192A"/>
    <w:rsid w:val="007F2043"/>
    <w:rsid w:val="007F503C"/>
    <w:rsid w:val="007F60B9"/>
    <w:rsid w:val="007F6871"/>
    <w:rsid w:val="007F7740"/>
    <w:rsid w:val="007F79BE"/>
    <w:rsid w:val="0080116B"/>
    <w:rsid w:val="0080235C"/>
    <w:rsid w:val="0080311A"/>
    <w:rsid w:val="00803351"/>
    <w:rsid w:val="00803705"/>
    <w:rsid w:val="00803796"/>
    <w:rsid w:val="00803E12"/>
    <w:rsid w:val="00803E23"/>
    <w:rsid w:val="0080493C"/>
    <w:rsid w:val="00805764"/>
    <w:rsid w:val="00805D08"/>
    <w:rsid w:val="00805DBB"/>
    <w:rsid w:val="00806114"/>
    <w:rsid w:val="0080622F"/>
    <w:rsid w:val="008063BC"/>
    <w:rsid w:val="0080663A"/>
    <w:rsid w:val="008069B9"/>
    <w:rsid w:val="00807396"/>
    <w:rsid w:val="00807BC4"/>
    <w:rsid w:val="00810449"/>
    <w:rsid w:val="00810C42"/>
    <w:rsid w:val="00811398"/>
    <w:rsid w:val="00811643"/>
    <w:rsid w:val="00811663"/>
    <w:rsid w:val="008119C7"/>
    <w:rsid w:val="008134F9"/>
    <w:rsid w:val="0081396C"/>
    <w:rsid w:val="00813F14"/>
    <w:rsid w:val="00813FD1"/>
    <w:rsid w:val="00814F91"/>
    <w:rsid w:val="00815A62"/>
    <w:rsid w:val="00815EFE"/>
    <w:rsid w:val="008163FE"/>
    <w:rsid w:val="008177B1"/>
    <w:rsid w:val="00817C6A"/>
    <w:rsid w:val="00821BFF"/>
    <w:rsid w:val="008222DD"/>
    <w:rsid w:val="0082262F"/>
    <w:rsid w:val="008230CE"/>
    <w:rsid w:val="0082399C"/>
    <w:rsid w:val="00823EFA"/>
    <w:rsid w:val="0082455B"/>
    <w:rsid w:val="00825307"/>
    <w:rsid w:val="008271C1"/>
    <w:rsid w:val="008307FE"/>
    <w:rsid w:val="00831FE3"/>
    <w:rsid w:val="00832012"/>
    <w:rsid w:val="008348A1"/>
    <w:rsid w:val="00835028"/>
    <w:rsid w:val="008359E9"/>
    <w:rsid w:val="00835C91"/>
    <w:rsid w:val="00835EFD"/>
    <w:rsid w:val="00836278"/>
    <w:rsid w:val="00836659"/>
    <w:rsid w:val="008369A5"/>
    <w:rsid w:val="008371B1"/>
    <w:rsid w:val="008375E2"/>
    <w:rsid w:val="008415B7"/>
    <w:rsid w:val="008426B7"/>
    <w:rsid w:val="00843248"/>
    <w:rsid w:val="00843FD5"/>
    <w:rsid w:val="008446EB"/>
    <w:rsid w:val="00844C37"/>
    <w:rsid w:val="00846355"/>
    <w:rsid w:val="008471B8"/>
    <w:rsid w:val="00851327"/>
    <w:rsid w:val="008516D6"/>
    <w:rsid w:val="00851F54"/>
    <w:rsid w:val="00851F82"/>
    <w:rsid w:val="00852D76"/>
    <w:rsid w:val="00852DCA"/>
    <w:rsid w:val="008533E4"/>
    <w:rsid w:val="00855BFA"/>
    <w:rsid w:val="00860358"/>
    <w:rsid w:val="0086089C"/>
    <w:rsid w:val="00860E92"/>
    <w:rsid w:val="00863564"/>
    <w:rsid w:val="00863772"/>
    <w:rsid w:val="00863C22"/>
    <w:rsid w:val="00864E28"/>
    <w:rsid w:val="00864EF8"/>
    <w:rsid w:val="00865514"/>
    <w:rsid w:val="00866D4C"/>
    <w:rsid w:val="00866E7D"/>
    <w:rsid w:val="00867CDA"/>
    <w:rsid w:val="00867DF4"/>
    <w:rsid w:val="00870038"/>
    <w:rsid w:val="008703B9"/>
    <w:rsid w:val="00870E2F"/>
    <w:rsid w:val="00871101"/>
    <w:rsid w:val="008715D9"/>
    <w:rsid w:val="00871AFF"/>
    <w:rsid w:val="008724FD"/>
    <w:rsid w:val="0087284A"/>
    <w:rsid w:val="0087468C"/>
    <w:rsid w:val="00875B42"/>
    <w:rsid w:val="00876871"/>
    <w:rsid w:val="00880010"/>
    <w:rsid w:val="00880D10"/>
    <w:rsid w:val="00881393"/>
    <w:rsid w:val="00881C70"/>
    <w:rsid w:val="008823B8"/>
    <w:rsid w:val="008831FF"/>
    <w:rsid w:val="00883482"/>
    <w:rsid w:val="00883AC1"/>
    <w:rsid w:val="00886ED9"/>
    <w:rsid w:val="00887026"/>
    <w:rsid w:val="0088757E"/>
    <w:rsid w:val="00887C2B"/>
    <w:rsid w:val="00890252"/>
    <w:rsid w:val="008903A6"/>
    <w:rsid w:val="00890B0A"/>
    <w:rsid w:val="00890B4E"/>
    <w:rsid w:val="00890D26"/>
    <w:rsid w:val="00892153"/>
    <w:rsid w:val="00893E4B"/>
    <w:rsid w:val="008940FA"/>
    <w:rsid w:val="00895635"/>
    <w:rsid w:val="00896EC6"/>
    <w:rsid w:val="00897A58"/>
    <w:rsid w:val="008A06B4"/>
    <w:rsid w:val="008A0BA0"/>
    <w:rsid w:val="008A0CE2"/>
    <w:rsid w:val="008A14F9"/>
    <w:rsid w:val="008A1637"/>
    <w:rsid w:val="008A1DAA"/>
    <w:rsid w:val="008A4232"/>
    <w:rsid w:val="008A55AC"/>
    <w:rsid w:val="008A55C3"/>
    <w:rsid w:val="008B164C"/>
    <w:rsid w:val="008B2937"/>
    <w:rsid w:val="008B2F5B"/>
    <w:rsid w:val="008B4109"/>
    <w:rsid w:val="008B5EA9"/>
    <w:rsid w:val="008B67D6"/>
    <w:rsid w:val="008B6F6F"/>
    <w:rsid w:val="008B72C6"/>
    <w:rsid w:val="008B7833"/>
    <w:rsid w:val="008B78AA"/>
    <w:rsid w:val="008B7CA0"/>
    <w:rsid w:val="008C0417"/>
    <w:rsid w:val="008C0697"/>
    <w:rsid w:val="008C27FD"/>
    <w:rsid w:val="008C295A"/>
    <w:rsid w:val="008C3276"/>
    <w:rsid w:val="008C3721"/>
    <w:rsid w:val="008C65D2"/>
    <w:rsid w:val="008D003E"/>
    <w:rsid w:val="008D1090"/>
    <w:rsid w:val="008D1AC2"/>
    <w:rsid w:val="008D26F4"/>
    <w:rsid w:val="008D4606"/>
    <w:rsid w:val="008D4A76"/>
    <w:rsid w:val="008D4E73"/>
    <w:rsid w:val="008D506A"/>
    <w:rsid w:val="008D57D8"/>
    <w:rsid w:val="008D5F8C"/>
    <w:rsid w:val="008D662C"/>
    <w:rsid w:val="008D6634"/>
    <w:rsid w:val="008D6A2D"/>
    <w:rsid w:val="008D735F"/>
    <w:rsid w:val="008D79D8"/>
    <w:rsid w:val="008E0550"/>
    <w:rsid w:val="008E10A9"/>
    <w:rsid w:val="008E10D4"/>
    <w:rsid w:val="008E1288"/>
    <w:rsid w:val="008E1A36"/>
    <w:rsid w:val="008E1C93"/>
    <w:rsid w:val="008E295F"/>
    <w:rsid w:val="008E308C"/>
    <w:rsid w:val="008E32CD"/>
    <w:rsid w:val="008E3694"/>
    <w:rsid w:val="008E37BE"/>
    <w:rsid w:val="008E3F44"/>
    <w:rsid w:val="008E4DA3"/>
    <w:rsid w:val="008E632E"/>
    <w:rsid w:val="008E6669"/>
    <w:rsid w:val="008E7085"/>
    <w:rsid w:val="008E757E"/>
    <w:rsid w:val="008E7DB5"/>
    <w:rsid w:val="008F0074"/>
    <w:rsid w:val="008F326D"/>
    <w:rsid w:val="008F40DC"/>
    <w:rsid w:val="008F6978"/>
    <w:rsid w:val="008F6F8E"/>
    <w:rsid w:val="008F7634"/>
    <w:rsid w:val="00900239"/>
    <w:rsid w:val="009011ED"/>
    <w:rsid w:val="00901472"/>
    <w:rsid w:val="0090318B"/>
    <w:rsid w:val="00903466"/>
    <w:rsid w:val="00903609"/>
    <w:rsid w:val="0090361F"/>
    <w:rsid w:val="009036BE"/>
    <w:rsid w:val="00904D8C"/>
    <w:rsid w:val="0090538B"/>
    <w:rsid w:val="00905579"/>
    <w:rsid w:val="00905FD1"/>
    <w:rsid w:val="00905FF8"/>
    <w:rsid w:val="0090697F"/>
    <w:rsid w:val="00906FAD"/>
    <w:rsid w:val="00912211"/>
    <w:rsid w:val="009134E3"/>
    <w:rsid w:val="009140CE"/>
    <w:rsid w:val="00916378"/>
    <w:rsid w:val="0091689B"/>
    <w:rsid w:val="0091787A"/>
    <w:rsid w:val="00920A1B"/>
    <w:rsid w:val="00920ED4"/>
    <w:rsid w:val="00920FF3"/>
    <w:rsid w:val="00921A72"/>
    <w:rsid w:val="00922A16"/>
    <w:rsid w:val="00923691"/>
    <w:rsid w:val="00923D88"/>
    <w:rsid w:val="00923E7C"/>
    <w:rsid w:val="009250E5"/>
    <w:rsid w:val="009254D2"/>
    <w:rsid w:val="00925F9D"/>
    <w:rsid w:val="00926A22"/>
    <w:rsid w:val="00926D5A"/>
    <w:rsid w:val="00927A7F"/>
    <w:rsid w:val="00927FB6"/>
    <w:rsid w:val="0093090D"/>
    <w:rsid w:val="009312B9"/>
    <w:rsid w:val="0093183D"/>
    <w:rsid w:val="00931CC2"/>
    <w:rsid w:val="0093212D"/>
    <w:rsid w:val="0093226B"/>
    <w:rsid w:val="00934935"/>
    <w:rsid w:val="00936A48"/>
    <w:rsid w:val="00936A91"/>
    <w:rsid w:val="00940B1F"/>
    <w:rsid w:val="00941608"/>
    <w:rsid w:val="00942364"/>
    <w:rsid w:val="00942DD8"/>
    <w:rsid w:val="00944C0D"/>
    <w:rsid w:val="00944CC9"/>
    <w:rsid w:val="00944CDF"/>
    <w:rsid w:val="00944DC0"/>
    <w:rsid w:val="009456C3"/>
    <w:rsid w:val="00946AAA"/>
    <w:rsid w:val="00947990"/>
    <w:rsid w:val="009500BC"/>
    <w:rsid w:val="0095018D"/>
    <w:rsid w:val="009506A1"/>
    <w:rsid w:val="00950798"/>
    <w:rsid w:val="00950C4E"/>
    <w:rsid w:val="00952138"/>
    <w:rsid w:val="00952986"/>
    <w:rsid w:val="00953A02"/>
    <w:rsid w:val="0095403C"/>
    <w:rsid w:val="009550D8"/>
    <w:rsid w:val="009551EB"/>
    <w:rsid w:val="009551FE"/>
    <w:rsid w:val="00955352"/>
    <w:rsid w:val="0095641D"/>
    <w:rsid w:val="009564E2"/>
    <w:rsid w:val="0095771F"/>
    <w:rsid w:val="00960669"/>
    <w:rsid w:val="00960EF2"/>
    <w:rsid w:val="009612BE"/>
    <w:rsid w:val="00962EBE"/>
    <w:rsid w:val="00963176"/>
    <w:rsid w:val="009637A7"/>
    <w:rsid w:val="009639C4"/>
    <w:rsid w:val="00963B02"/>
    <w:rsid w:val="00964F77"/>
    <w:rsid w:val="0096748A"/>
    <w:rsid w:val="0097108E"/>
    <w:rsid w:val="0097165E"/>
    <w:rsid w:val="0097266A"/>
    <w:rsid w:val="009729CF"/>
    <w:rsid w:val="009734B5"/>
    <w:rsid w:val="00973520"/>
    <w:rsid w:val="009744A7"/>
    <w:rsid w:val="00980779"/>
    <w:rsid w:val="00982881"/>
    <w:rsid w:val="00982A2D"/>
    <w:rsid w:val="00982C2B"/>
    <w:rsid w:val="0098351B"/>
    <w:rsid w:val="00983BF9"/>
    <w:rsid w:val="00984541"/>
    <w:rsid w:val="009860A7"/>
    <w:rsid w:val="0098644D"/>
    <w:rsid w:val="00986F0A"/>
    <w:rsid w:val="009879E9"/>
    <w:rsid w:val="009903C3"/>
    <w:rsid w:val="0099134C"/>
    <w:rsid w:val="0099262A"/>
    <w:rsid w:val="00994B69"/>
    <w:rsid w:val="00995250"/>
    <w:rsid w:val="00995770"/>
    <w:rsid w:val="00997641"/>
    <w:rsid w:val="0099766C"/>
    <w:rsid w:val="009A0B8E"/>
    <w:rsid w:val="009A115B"/>
    <w:rsid w:val="009A122A"/>
    <w:rsid w:val="009A1A69"/>
    <w:rsid w:val="009A28FB"/>
    <w:rsid w:val="009A4053"/>
    <w:rsid w:val="009A4AE4"/>
    <w:rsid w:val="009A4BF8"/>
    <w:rsid w:val="009A4D37"/>
    <w:rsid w:val="009B145E"/>
    <w:rsid w:val="009B1B8F"/>
    <w:rsid w:val="009B239D"/>
    <w:rsid w:val="009B2651"/>
    <w:rsid w:val="009B26B4"/>
    <w:rsid w:val="009B3626"/>
    <w:rsid w:val="009B3738"/>
    <w:rsid w:val="009B4E1F"/>
    <w:rsid w:val="009B51E9"/>
    <w:rsid w:val="009B6200"/>
    <w:rsid w:val="009B65D4"/>
    <w:rsid w:val="009B6C9E"/>
    <w:rsid w:val="009C0211"/>
    <w:rsid w:val="009C0387"/>
    <w:rsid w:val="009C1412"/>
    <w:rsid w:val="009C1BC5"/>
    <w:rsid w:val="009C33A5"/>
    <w:rsid w:val="009C4C88"/>
    <w:rsid w:val="009C5A19"/>
    <w:rsid w:val="009C602A"/>
    <w:rsid w:val="009C6403"/>
    <w:rsid w:val="009C6960"/>
    <w:rsid w:val="009C7208"/>
    <w:rsid w:val="009D012B"/>
    <w:rsid w:val="009D10D2"/>
    <w:rsid w:val="009D1164"/>
    <w:rsid w:val="009D1379"/>
    <w:rsid w:val="009D25DC"/>
    <w:rsid w:val="009D4C8F"/>
    <w:rsid w:val="009D4D09"/>
    <w:rsid w:val="009D4D14"/>
    <w:rsid w:val="009D5C22"/>
    <w:rsid w:val="009D647F"/>
    <w:rsid w:val="009D673D"/>
    <w:rsid w:val="009D6B8D"/>
    <w:rsid w:val="009D771A"/>
    <w:rsid w:val="009E04A2"/>
    <w:rsid w:val="009E0E63"/>
    <w:rsid w:val="009E1689"/>
    <w:rsid w:val="009E24FC"/>
    <w:rsid w:val="009E2BC6"/>
    <w:rsid w:val="009E3576"/>
    <w:rsid w:val="009E3D3D"/>
    <w:rsid w:val="009E40FE"/>
    <w:rsid w:val="009E557B"/>
    <w:rsid w:val="009E7068"/>
    <w:rsid w:val="009F0397"/>
    <w:rsid w:val="009F1587"/>
    <w:rsid w:val="009F2E7C"/>
    <w:rsid w:val="009F5CC5"/>
    <w:rsid w:val="00A00967"/>
    <w:rsid w:val="00A00BD5"/>
    <w:rsid w:val="00A0168B"/>
    <w:rsid w:val="00A01AF1"/>
    <w:rsid w:val="00A01E7E"/>
    <w:rsid w:val="00A02336"/>
    <w:rsid w:val="00A028BC"/>
    <w:rsid w:val="00A02ED5"/>
    <w:rsid w:val="00A040EE"/>
    <w:rsid w:val="00A042EF"/>
    <w:rsid w:val="00A04417"/>
    <w:rsid w:val="00A04902"/>
    <w:rsid w:val="00A04DC6"/>
    <w:rsid w:val="00A0512A"/>
    <w:rsid w:val="00A06389"/>
    <w:rsid w:val="00A06CE6"/>
    <w:rsid w:val="00A10358"/>
    <w:rsid w:val="00A1052A"/>
    <w:rsid w:val="00A10DEE"/>
    <w:rsid w:val="00A10E4A"/>
    <w:rsid w:val="00A10E8F"/>
    <w:rsid w:val="00A12938"/>
    <w:rsid w:val="00A12AAC"/>
    <w:rsid w:val="00A12AE7"/>
    <w:rsid w:val="00A12E02"/>
    <w:rsid w:val="00A12E25"/>
    <w:rsid w:val="00A133B5"/>
    <w:rsid w:val="00A14148"/>
    <w:rsid w:val="00A147E2"/>
    <w:rsid w:val="00A14B42"/>
    <w:rsid w:val="00A16A4F"/>
    <w:rsid w:val="00A17962"/>
    <w:rsid w:val="00A17C61"/>
    <w:rsid w:val="00A2053D"/>
    <w:rsid w:val="00A213B9"/>
    <w:rsid w:val="00A2229E"/>
    <w:rsid w:val="00A226A1"/>
    <w:rsid w:val="00A22A0E"/>
    <w:rsid w:val="00A231E3"/>
    <w:rsid w:val="00A24623"/>
    <w:rsid w:val="00A25995"/>
    <w:rsid w:val="00A26D85"/>
    <w:rsid w:val="00A27350"/>
    <w:rsid w:val="00A27680"/>
    <w:rsid w:val="00A27C66"/>
    <w:rsid w:val="00A30AA9"/>
    <w:rsid w:val="00A30FAB"/>
    <w:rsid w:val="00A315CE"/>
    <w:rsid w:val="00A3263C"/>
    <w:rsid w:val="00A34925"/>
    <w:rsid w:val="00A35264"/>
    <w:rsid w:val="00A352A9"/>
    <w:rsid w:val="00A356DA"/>
    <w:rsid w:val="00A363D6"/>
    <w:rsid w:val="00A37775"/>
    <w:rsid w:val="00A37A7F"/>
    <w:rsid w:val="00A40080"/>
    <w:rsid w:val="00A40FD4"/>
    <w:rsid w:val="00A4129D"/>
    <w:rsid w:val="00A429EE"/>
    <w:rsid w:val="00A42A6D"/>
    <w:rsid w:val="00A451A9"/>
    <w:rsid w:val="00A45462"/>
    <w:rsid w:val="00A45514"/>
    <w:rsid w:val="00A45DDA"/>
    <w:rsid w:val="00A46759"/>
    <w:rsid w:val="00A468BE"/>
    <w:rsid w:val="00A50BB8"/>
    <w:rsid w:val="00A51042"/>
    <w:rsid w:val="00A52167"/>
    <w:rsid w:val="00A55014"/>
    <w:rsid w:val="00A56485"/>
    <w:rsid w:val="00A564B0"/>
    <w:rsid w:val="00A56FB2"/>
    <w:rsid w:val="00A57E48"/>
    <w:rsid w:val="00A6029B"/>
    <w:rsid w:val="00A60792"/>
    <w:rsid w:val="00A62217"/>
    <w:rsid w:val="00A64859"/>
    <w:rsid w:val="00A64E9C"/>
    <w:rsid w:val="00A65276"/>
    <w:rsid w:val="00A65741"/>
    <w:rsid w:val="00A66053"/>
    <w:rsid w:val="00A66101"/>
    <w:rsid w:val="00A667B9"/>
    <w:rsid w:val="00A668F7"/>
    <w:rsid w:val="00A66F8C"/>
    <w:rsid w:val="00A67249"/>
    <w:rsid w:val="00A702FA"/>
    <w:rsid w:val="00A70822"/>
    <w:rsid w:val="00A71426"/>
    <w:rsid w:val="00A71518"/>
    <w:rsid w:val="00A7288D"/>
    <w:rsid w:val="00A72A33"/>
    <w:rsid w:val="00A73207"/>
    <w:rsid w:val="00A74BEE"/>
    <w:rsid w:val="00A75CFE"/>
    <w:rsid w:val="00A76C82"/>
    <w:rsid w:val="00A76D1D"/>
    <w:rsid w:val="00A77EA4"/>
    <w:rsid w:val="00A803A7"/>
    <w:rsid w:val="00A816D2"/>
    <w:rsid w:val="00A823AA"/>
    <w:rsid w:val="00A8318F"/>
    <w:rsid w:val="00A834C7"/>
    <w:rsid w:val="00A84007"/>
    <w:rsid w:val="00A86319"/>
    <w:rsid w:val="00A878A5"/>
    <w:rsid w:val="00A87BC6"/>
    <w:rsid w:val="00A90D70"/>
    <w:rsid w:val="00A920D6"/>
    <w:rsid w:val="00A92472"/>
    <w:rsid w:val="00A9285D"/>
    <w:rsid w:val="00A9290E"/>
    <w:rsid w:val="00A92D3C"/>
    <w:rsid w:val="00A937F7"/>
    <w:rsid w:val="00A94228"/>
    <w:rsid w:val="00A94BE0"/>
    <w:rsid w:val="00A94F7D"/>
    <w:rsid w:val="00A9554D"/>
    <w:rsid w:val="00A95C25"/>
    <w:rsid w:val="00A966C5"/>
    <w:rsid w:val="00AA24E0"/>
    <w:rsid w:val="00AA26ED"/>
    <w:rsid w:val="00AA39F8"/>
    <w:rsid w:val="00AA42DF"/>
    <w:rsid w:val="00AA4818"/>
    <w:rsid w:val="00AA5DA3"/>
    <w:rsid w:val="00AA72FE"/>
    <w:rsid w:val="00AA7DAB"/>
    <w:rsid w:val="00AB0B38"/>
    <w:rsid w:val="00AB17C0"/>
    <w:rsid w:val="00AB1804"/>
    <w:rsid w:val="00AB45A3"/>
    <w:rsid w:val="00AB4D03"/>
    <w:rsid w:val="00AB5307"/>
    <w:rsid w:val="00AB7A9E"/>
    <w:rsid w:val="00AC1AD9"/>
    <w:rsid w:val="00AC1E27"/>
    <w:rsid w:val="00AC3E21"/>
    <w:rsid w:val="00AC3ED4"/>
    <w:rsid w:val="00AC42B2"/>
    <w:rsid w:val="00AC4E1D"/>
    <w:rsid w:val="00AC6311"/>
    <w:rsid w:val="00AC6428"/>
    <w:rsid w:val="00AC6CAC"/>
    <w:rsid w:val="00AC7CFA"/>
    <w:rsid w:val="00AD0608"/>
    <w:rsid w:val="00AD17CF"/>
    <w:rsid w:val="00AD311B"/>
    <w:rsid w:val="00AD3F8B"/>
    <w:rsid w:val="00AD4BE1"/>
    <w:rsid w:val="00AD4FBE"/>
    <w:rsid w:val="00AD5BD7"/>
    <w:rsid w:val="00AD63B0"/>
    <w:rsid w:val="00AD74FC"/>
    <w:rsid w:val="00AD7666"/>
    <w:rsid w:val="00AD77D4"/>
    <w:rsid w:val="00AD7F1D"/>
    <w:rsid w:val="00AE04ED"/>
    <w:rsid w:val="00AE12B2"/>
    <w:rsid w:val="00AE2E2E"/>
    <w:rsid w:val="00AE2E8D"/>
    <w:rsid w:val="00AE325B"/>
    <w:rsid w:val="00AE3425"/>
    <w:rsid w:val="00AE459A"/>
    <w:rsid w:val="00AE4FE6"/>
    <w:rsid w:val="00AE672B"/>
    <w:rsid w:val="00AE68F3"/>
    <w:rsid w:val="00AF0708"/>
    <w:rsid w:val="00AF1CB8"/>
    <w:rsid w:val="00AF24B3"/>
    <w:rsid w:val="00AF2B94"/>
    <w:rsid w:val="00AF4FC8"/>
    <w:rsid w:val="00AF530D"/>
    <w:rsid w:val="00AF55B5"/>
    <w:rsid w:val="00AF5759"/>
    <w:rsid w:val="00AF593D"/>
    <w:rsid w:val="00AF6688"/>
    <w:rsid w:val="00AF6F74"/>
    <w:rsid w:val="00AF72A6"/>
    <w:rsid w:val="00B014CD"/>
    <w:rsid w:val="00B01B2C"/>
    <w:rsid w:val="00B025EB"/>
    <w:rsid w:val="00B028CC"/>
    <w:rsid w:val="00B0327F"/>
    <w:rsid w:val="00B03699"/>
    <w:rsid w:val="00B0460D"/>
    <w:rsid w:val="00B04630"/>
    <w:rsid w:val="00B0517C"/>
    <w:rsid w:val="00B05884"/>
    <w:rsid w:val="00B07197"/>
    <w:rsid w:val="00B106D4"/>
    <w:rsid w:val="00B1099D"/>
    <w:rsid w:val="00B116A4"/>
    <w:rsid w:val="00B1228C"/>
    <w:rsid w:val="00B126DB"/>
    <w:rsid w:val="00B12742"/>
    <w:rsid w:val="00B16B17"/>
    <w:rsid w:val="00B16BD8"/>
    <w:rsid w:val="00B20030"/>
    <w:rsid w:val="00B20265"/>
    <w:rsid w:val="00B20F9E"/>
    <w:rsid w:val="00B21E86"/>
    <w:rsid w:val="00B22F40"/>
    <w:rsid w:val="00B254EB"/>
    <w:rsid w:val="00B25F5C"/>
    <w:rsid w:val="00B263FE"/>
    <w:rsid w:val="00B2693D"/>
    <w:rsid w:val="00B27261"/>
    <w:rsid w:val="00B27691"/>
    <w:rsid w:val="00B27AF1"/>
    <w:rsid w:val="00B306FA"/>
    <w:rsid w:val="00B30729"/>
    <w:rsid w:val="00B309C7"/>
    <w:rsid w:val="00B311A2"/>
    <w:rsid w:val="00B313F3"/>
    <w:rsid w:val="00B32010"/>
    <w:rsid w:val="00B33169"/>
    <w:rsid w:val="00B34E1E"/>
    <w:rsid w:val="00B35B1D"/>
    <w:rsid w:val="00B36F3A"/>
    <w:rsid w:val="00B37164"/>
    <w:rsid w:val="00B3748A"/>
    <w:rsid w:val="00B37758"/>
    <w:rsid w:val="00B37F42"/>
    <w:rsid w:val="00B419D8"/>
    <w:rsid w:val="00B41A91"/>
    <w:rsid w:val="00B41DFD"/>
    <w:rsid w:val="00B41F0B"/>
    <w:rsid w:val="00B42258"/>
    <w:rsid w:val="00B4226C"/>
    <w:rsid w:val="00B42764"/>
    <w:rsid w:val="00B42F97"/>
    <w:rsid w:val="00B43442"/>
    <w:rsid w:val="00B443DF"/>
    <w:rsid w:val="00B44488"/>
    <w:rsid w:val="00B448E8"/>
    <w:rsid w:val="00B44C4D"/>
    <w:rsid w:val="00B44E08"/>
    <w:rsid w:val="00B45105"/>
    <w:rsid w:val="00B457BE"/>
    <w:rsid w:val="00B45E86"/>
    <w:rsid w:val="00B46032"/>
    <w:rsid w:val="00B473EC"/>
    <w:rsid w:val="00B474A8"/>
    <w:rsid w:val="00B476F7"/>
    <w:rsid w:val="00B47D2A"/>
    <w:rsid w:val="00B47EAF"/>
    <w:rsid w:val="00B504BE"/>
    <w:rsid w:val="00B51981"/>
    <w:rsid w:val="00B52528"/>
    <w:rsid w:val="00B5307A"/>
    <w:rsid w:val="00B53E88"/>
    <w:rsid w:val="00B55965"/>
    <w:rsid w:val="00B5689D"/>
    <w:rsid w:val="00B56A4E"/>
    <w:rsid w:val="00B56AFA"/>
    <w:rsid w:val="00B619D3"/>
    <w:rsid w:val="00B61DC8"/>
    <w:rsid w:val="00B61F0A"/>
    <w:rsid w:val="00B622F0"/>
    <w:rsid w:val="00B64B9E"/>
    <w:rsid w:val="00B6505D"/>
    <w:rsid w:val="00B650FD"/>
    <w:rsid w:val="00B651CD"/>
    <w:rsid w:val="00B6659C"/>
    <w:rsid w:val="00B66641"/>
    <w:rsid w:val="00B67ACA"/>
    <w:rsid w:val="00B67F3F"/>
    <w:rsid w:val="00B707B1"/>
    <w:rsid w:val="00B7184E"/>
    <w:rsid w:val="00B72488"/>
    <w:rsid w:val="00B7269B"/>
    <w:rsid w:val="00B73C61"/>
    <w:rsid w:val="00B75205"/>
    <w:rsid w:val="00B752BF"/>
    <w:rsid w:val="00B75E49"/>
    <w:rsid w:val="00B77563"/>
    <w:rsid w:val="00B779FC"/>
    <w:rsid w:val="00B80CC1"/>
    <w:rsid w:val="00B80ECD"/>
    <w:rsid w:val="00B814CA"/>
    <w:rsid w:val="00B81C21"/>
    <w:rsid w:val="00B81CC1"/>
    <w:rsid w:val="00B83A52"/>
    <w:rsid w:val="00B83F47"/>
    <w:rsid w:val="00B84C2B"/>
    <w:rsid w:val="00B84EDF"/>
    <w:rsid w:val="00B85F91"/>
    <w:rsid w:val="00B86111"/>
    <w:rsid w:val="00B91D61"/>
    <w:rsid w:val="00B91DA3"/>
    <w:rsid w:val="00B924CF"/>
    <w:rsid w:val="00B92B7F"/>
    <w:rsid w:val="00B954EE"/>
    <w:rsid w:val="00B9602C"/>
    <w:rsid w:val="00B96A27"/>
    <w:rsid w:val="00B9778D"/>
    <w:rsid w:val="00BA06B2"/>
    <w:rsid w:val="00BA094F"/>
    <w:rsid w:val="00BA1718"/>
    <w:rsid w:val="00BA3F34"/>
    <w:rsid w:val="00BA3F51"/>
    <w:rsid w:val="00BA4417"/>
    <w:rsid w:val="00BA649B"/>
    <w:rsid w:val="00BB075C"/>
    <w:rsid w:val="00BB1A7A"/>
    <w:rsid w:val="00BB26B7"/>
    <w:rsid w:val="00BB27DC"/>
    <w:rsid w:val="00BB40A9"/>
    <w:rsid w:val="00BB425B"/>
    <w:rsid w:val="00BB42BD"/>
    <w:rsid w:val="00BB4FB3"/>
    <w:rsid w:val="00BB505E"/>
    <w:rsid w:val="00BB5216"/>
    <w:rsid w:val="00BB584F"/>
    <w:rsid w:val="00BB68F9"/>
    <w:rsid w:val="00BC06DA"/>
    <w:rsid w:val="00BC07C0"/>
    <w:rsid w:val="00BC17F2"/>
    <w:rsid w:val="00BC2092"/>
    <w:rsid w:val="00BC398D"/>
    <w:rsid w:val="00BC3F7E"/>
    <w:rsid w:val="00BC4E84"/>
    <w:rsid w:val="00BC51FB"/>
    <w:rsid w:val="00BC5268"/>
    <w:rsid w:val="00BC65AF"/>
    <w:rsid w:val="00BC67CA"/>
    <w:rsid w:val="00BC68F4"/>
    <w:rsid w:val="00BC6FFA"/>
    <w:rsid w:val="00BC7DFD"/>
    <w:rsid w:val="00BD0213"/>
    <w:rsid w:val="00BD078D"/>
    <w:rsid w:val="00BD12CA"/>
    <w:rsid w:val="00BD1348"/>
    <w:rsid w:val="00BD1C2C"/>
    <w:rsid w:val="00BD1EB7"/>
    <w:rsid w:val="00BD2992"/>
    <w:rsid w:val="00BD3EAB"/>
    <w:rsid w:val="00BD414B"/>
    <w:rsid w:val="00BD43EB"/>
    <w:rsid w:val="00BD5A24"/>
    <w:rsid w:val="00BD5B87"/>
    <w:rsid w:val="00BD6653"/>
    <w:rsid w:val="00BD67F7"/>
    <w:rsid w:val="00BD6FDC"/>
    <w:rsid w:val="00BD7587"/>
    <w:rsid w:val="00BE08D4"/>
    <w:rsid w:val="00BE1143"/>
    <w:rsid w:val="00BE1EDB"/>
    <w:rsid w:val="00BE458F"/>
    <w:rsid w:val="00BE4743"/>
    <w:rsid w:val="00BE4B5C"/>
    <w:rsid w:val="00BE535F"/>
    <w:rsid w:val="00BE5A05"/>
    <w:rsid w:val="00BE642A"/>
    <w:rsid w:val="00BF05A0"/>
    <w:rsid w:val="00BF1AED"/>
    <w:rsid w:val="00BF1D37"/>
    <w:rsid w:val="00BF1E3C"/>
    <w:rsid w:val="00BF23E8"/>
    <w:rsid w:val="00BF2663"/>
    <w:rsid w:val="00BF32A5"/>
    <w:rsid w:val="00BF358A"/>
    <w:rsid w:val="00BF39E5"/>
    <w:rsid w:val="00BF4B5D"/>
    <w:rsid w:val="00BF4E0C"/>
    <w:rsid w:val="00BF4E73"/>
    <w:rsid w:val="00BF5394"/>
    <w:rsid w:val="00BF6E7C"/>
    <w:rsid w:val="00BF7805"/>
    <w:rsid w:val="00C000FE"/>
    <w:rsid w:val="00C00ACA"/>
    <w:rsid w:val="00C01D2B"/>
    <w:rsid w:val="00C031A2"/>
    <w:rsid w:val="00C03C72"/>
    <w:rsid w:val="00C03DB5"/>
    <w:rsid w:val="00C047A9"/>
    <w:rsid w:val="00C05B52"/>
    <w:rsid w:val="00C06263"/>
    <w:rsid w:val="00C079DE"/>
    <w:rsid w:val="00C07BD0"/>
    <w:rsid w:val="00C115D8"/>
    <w:rsid w:val="00C1221F"/>
    <w:rsid w:val="00C1246D"/>
    <w:rsid w:val="00C12C6E"/>
    <w:rsid w:val="00C1586E"/>
    <w:rsid w:val="00C15F64"/>
    <w:rsid w:val="00C163D9"/>
    <w:rsid w:val="00C16A85"/>
    <w:rsid w:val="00C175B3"/>
    <w:rsid w:val="00C20123"/>
    <w:rsid w:val="00C201F1"/>
    <w:rsid w:val="00C223D7"/>
    <w:rsid w:val="00C22FD3"/>
    <w:rsid w:val="00C23081"/>
    <w:rsid w:val="00C23E96"/>
    <w:rsid w:val="00C253D3"/>
    <w:rsid w:val="00C25548"/>
    <w:rsid w:val="00C2638E"/>
    <w:rsid w:val="00C26909"/>
    <w:rsid w:val="00C26F1C"/>
    <w:rsid w:val="00C27307"/>
    <w:rsid w:val="00C27FD8"/>
    <w:rsid w:val="00C304EE"/>
    <w:rsid w:val="00C31FBF"/>
    <w:rsid w:val="00C32D63"/>
    <w:rsid w:val="00C32F70"/>
    <w:rsid w:val="00C334B2"/>
    <w:rsid w:val="00C33BBC"/>
    <w:rsid w:val="00C35465"/>
    <w:rsid w:val="00C36095"/>
    <w:rsid w:val="00C36D0E"/>
    <w:rsid w:val="00C4090F"/>
    <w:rsid w:val="00C416FC"/>
    <w:rsid w:val="00C41A55"/>
    <w:rsid w:val="00C42222"/>
    <w:rsid w:val="00C4362C"/>
    <w:rsid w:val="00C442B8"/>
    <w:rsid w:val="00C4571B"/>
    <w:rsid w:val="00C459D0"/>
    <w:rsid w:val="00C46558"/>
    <w:rsid w:val="00C4781D"/>
    <w:rsid w:val="00C47D47"/>
    <w:rsid w:val="00C51D5B"/>
    <w:rsid w:val="00C51E89"/>
    <w:rsid w:val="00C51FC4"/>
    <w:rsid w:val="00C52226"/>
    <w:rsid w:val="00C52EAE"/>
    <w:rsid w:val="00C5368F"/>
    <w:rsid w:val="00C53A43"/>
    <w:rsid w:val="00C53AB3"/>
    <w:rsid w:val="00C545F8"/>
    <w:rsid w:val="00C54634"/>
    <w:rsid w:val="00C5482F"/>
    <w:rsid w:val="00C548CF"/>
    <w:rsid w:val="00C55915"/>
    <w:rsid w:val="00C5620E"/>
    <w:rsid w:val="00C56EC0"/>
    <w:rsid w:val="00C573F9"/>
    <w:rsid w:val="00C600B8"/>
    <w:rsid w:val="00C600FF"/>
    <w:rsid w:val="00C607AA"/>
    <w:rsid w:val="00C61058"/>
    <w:rsid w:val="00C6141E"/>
    <w:rsid w:val="00C61B51"/>
    <w:rsid w:val="00C61BE1"/>
    <w:rsid w:val="00C62CF0"/>
    <w:rsid w:val="00C633A7"/>
    <w:rsid w:val="00C6532C"/>
    <w:rsid w:val="00C6624D"/>
    <w:rsid w:val="00C67312"/>
    <w:rsid w:val="00C71189"/>
    <w:rsid w:val="00C71BA7"/>
    <w:rsid w:val="00C72778"/>
    <w:rsid w:val="00C7344A"/>
    <w:rsid w:val="00C73EFF"/>
    <w:rsid w:val="00C746A8"/>
    <w:rsid w:val="00C771CE"/>
    <w:rsid w:val="00C77DBE"/>
    <w:rsid w:val="00C80C8B"/>
    <w:rsid w:val="00C8182B"/>
    <w:rsid w:val="00C82AEA"/>
    <w:rsid w:val="00C85577"/>
    <w:rsid w:val="00C871BF"/>
    <w:rsid w:val="00C87A52"/>
    <w:rsid w:val="00C909F3"/>
    <w:rsid w:val="00C928E5"/>
    <w:rsid w:val="00C92C92"/>
    <w:rsid w:val="00C93789"/>
    <w:rsid w:val="00C94021"/>
    <w:rsid w:val="00C94E36"/>
    <w:rsid w:val="00C94E52"/>
    <w:rsid w:val="00C9533F"/>
    <w:rsid w:val="00C95C74"/>
    <w:rsid w:val="00C95CD4"/>
    <w:rsid w:val="00C97387"/>
    <w:rsid w:val="00C974B7"/>
    <w:rsid w:val="00C97EED"/>
    <w:rsid w:val="00CA00CE"/>
    <w:rsid w:val="00CA246B"/>
    <w:rsid w:val="00CA39F7"/>
    <w:rsid w:val="00CA4B76"/>
    <w:rsid w:val="00CA4D3F"/>
    <w:rsid w:val="00CA5B4B"/>
    <w:rsid w:val="00CA6017"/>
    <w:rsid w:val="00CA660B"/>
    <w:rsid w:val="00CA6A7C"/>
    <w:rsid w:val="00CA705A"/>
    <w:rsid w:val="00CA7A95"/>
    <w:rsid w:val="00CB0E60"/>
    <w:rsid w:val="00CB1618"/>
    <w:rsid w:val="00CB1F92"/>
    <w:rsid w:val="00CB2CEE"/>
    <w:rsid w:val="00CB2FFC"/>
    <w:rsid w:val="00CB382F"/>
    <w:rsid w:val="00CB3B19"/>
    <w:rsid w:val="00CB4D83"/>
    <w:rsid w:val="00CB502A"/>
    <w:rsid w:val="00CB766D"/>
    <w:rsid w:val="00CB7F9C"/>
    <w:rsid w:val="00CC1842"/>
    <w:rsid w:val="00CC232C"/>
    <w:rsid w:val="00CC2494"/>
    <w:rsid w:val="00CC2FC5"/>
    <w:rsid w:val="00CC2FC9"/>
    <w:rsid w:val="00CC3FAA"/>
    <w:rsid w:val="00CC56F6"/>
    <w:rsid w:val="00CC6046"/>
    <w:rsid w:val="00CC7084"/>
    <w:rsid w:val="00CC79C7"/>
    <w:rsid w:val="00CD112F"/>
    <w:rsid w:val="00CD12AE"/>
    <w:rsid w:val="00CD1D88"/>
    <w:rsid w:val="00CD2900"/>
    <w:rsid w:val="00CD4D8F"/>
    <w:rsid w:val="00CD68DA"/>
    <w:rsid w:val="00CD6AFF"/>
    <w:rsid w:val="00CD77F6"/>
    <w:rsid w:val="00CE034C"/>
    <w:rsid w:val="00CE0A9E"/>
    <w:rsid w:val="00CE2022"/>
    <w:rsid w:val="00CE3341"/>
    <w:rsid w:val="00CE38AF"/>
    <w:rsid w:val="00CE4101"/>
    <w:rsid w:val="00CE4CD3"/>
    <w:rsid w:val="00CE55A9"/>
    <w:rsid w:val="00CE5984"/>
    <w:rsid w:val="00CE5D7B"/>
    <w:rsid w:val="00CE5E1A"/>
    <w:rsid w:val="00CE7162"/>
    <w:rsid w:val="00CE778E"/>
    <w:rsid w:val="00CE7D57"/>
    <w:rsid w:val="00CF056E"/>
    <w:rsid w:val="00CF0894"/>
    <w:rsid w:val="00CF0925"/>
    <w:rsid w:val="00CF0E3F"/>
    <w:rsid w:val="00CF12E9"/>
    <w:rsid w:val="00CF174D"/>
    <w:rsid w:val="00CF1A67"/>
    <w:rsid w:val="00CF3ACB"/>
    <w:rsid w:val="00CF4070"/>
    <w:rsid w:val="00CF4AA2"/>
    <w:rsid w:val="00CF506F"/>
    <w:rsid w:val="00CF5792"/>
    <w:rsid w:val="00CF6CD6"/>
    <w:rsid w:val="00CF7303"/>
    <w:rsid w:val="00CF7E0F"/>
    <w:rsid w:val="00D0018F"/>
    <w:rsid w:val="00D0186A"/>
    <w:rsid w:val="00D01E9D"/>
    <w:rsid w:val="00D01EA3"/>
    <w:rsid w:val="00D02FB9"/>
    <w:rsid w:val="00D05633"/>
    <w:rsid w:val="00D066EF"/>
    <w:rsid w:val="00D06D23"/>
    <w:rsid w:val="00D11BBC"/>
    <w:rsid w:val="00D138D0"/>
    <w:rsid w:val="00D1587E"/>
    <w:rsid w:val="00D162F7"/>
    <w:rsid w:val="00D167E9"/>
    <w:rsid w:val="00D2093B"/>
    <w:rsid w:val="00D21919"/>
    <w:rsid w:val="00D240AB"/>
    <w:rsid w:val="00D24CA0"/>
    <w:rsid w:val="00D253F6"/>
    <w:rsid w:val="00D25C54"/>
    <w:rsid w:val="00D2670A"/>
    <w:rsid w:val="00D2707A"/>
    <w:rsid w:val="00D27206"/>
    <w:rsid w:val="00D27279"/>
    <w:rsid w:val="00D2773D"/>
    <w:rsid w:val="00D31030"/>
    <w:rsid w:val="00D32294"/>
    <w:rsid w:val="00D3336E"/>
    <w:rsid w:val="00D333BD"/>
    <w:rsid w:val="00D33A3B"/>
    <w:rsid w:val="00D33EBD"/>
    <w:rsid w:val="00D3446C"/>
    <w:rsid w:val="00D34C95"/>
    <w:rsid w:val="00D34E26"/>
    <w:rsid w:val="00D3511E"/>
    <w:rsid w:val="00D36C8E"/>
    <w:rsid w:val="00D36F05"/>
    <w:rsid w:val="00D37C21"/>
    <w:rsid w:val="00D37DEE"/>
    <w:rsid w:val="00D37FEF"/>
    <w:rsid w:val="00D415F2"/>
    <w:rsid w:val="00D431FC"/>
    <w:rsid w:val="00D43485"/>
    <w:rsid w:val="00D4675F"/>
    <w:rsid w:val="00D475F2"/>
    <w:rsid w:val="00D5087F"/>
    <w:rsid w:val="00D51786"/>
    <w:rsid w:val="00D5187E"/>
    <w:rsid w:val="00D518E4"/>
    <w:rsid w:val="00D51D32"/>
    <w:rsid w:val="00D5513B"/>
    <w:rsid w:val="00D55708"/>
    <w:rsid w:val="00D559B9"/>
    <w:rsid w:val="00D55FC6"/>
    <w:rsid w:val="00D5752F"/>
    <w:rsid w:val="00D57634"/>
    <w:rsid w:val="00D57760"/>
    <w:rsid w:val="00D61690"/>
    <w:rsid w:val="00D617C5"/>
    <w:rsid w:val="00D6183B"/>
    <w:rsid w:val="00D61891"/>
    <w:rsid w:val="00D62037"/>
    <w:rsid w:val="00D62271"/>
    <w:rsid w:val="00D63615"/>
    <w:rsid w:val="00D64372"/>
    <w:rsid w:val="00D64601"/>
    <w:rsid w:val="00D653EC"/>
    <w:rsid w:val="00D661DA"/>
    <w:rsid w:val="00D66C7E"/>
    <w:rsid w:val="00D71218"/>
    <w:rsid w:val="00D71FB3"/>
    <w:rsid w:val="00D72AAD"/>
    <w:rsid w:val="00D72B60"/>
    <w:rsid w:val="00D72BFF"/>
    <w:rsid w:val="00D72E33"/>
    <w:rsid w:val="00D72FDB"/>
    <w:rsid w:val="00D73072"/>
    <w:rsid w:val="00D74005"/>
    <w:rsid w:val="00D7498E"/>
    <w:rsid w:val="00D75577"/>
    <w:rsid w:val="00D760A9"/>
    <w:rsid w:val="00D76165"/>
    <w:rsid w:val="00D76CE2"/>
    <w:rsid w:val="00D76F71"/>
    <w:rsid w:val="00D835D9"/>
    <w:rsid w:val="00D83666"/>
    <w:rsid w:val="00D84BBA"/>
    <w:rsid w:val="00D84D04"/>
    <w:rsid w:val="00D84F57"/>
    <w:rsid w:val="00D8592D"/>
    <w:rsid w:val="00D865D3"/>
    <w:rsid w:val="00D87B9F"/>
    <w:rsid w:val="00D9080C"/>
    <w:rsid w:val="00D90975"/>
    <w:rsid w:val="00D91DC9"/>
    <w:rsid w:val="00D92ED3"/>
    <w:rsid w:val="00D93384"/>
    <w:rsid w:val="00D93CCC"/>
    <w:rsid w:val="00D94DB9"/>
    <w:rsid w:val="00D94E7C"/>
    <w:rsid w:val="00D95749"/>
    <w:rsid w:val="00D95DF0"/>
    <w:rsid w:val="00D95F86"/>
    <w:rsid w:val="00D96D19"/>
    <w:rsid w:val="00D97DD9"/>
    <w:rsid w:val="00DA0FBB"/>
    <w:rsid w:val="00DA1269"/>
    <w:rsid w:val="00DA17E9"/>
    <w:rsid w:val="00DA1D34"/>
    <w:rsid w:val="00DA1F3B"/>
    <w:rsid w:val="00DA22B4"/>
    <w:rsid w:val="00DA345B"/>
    <w:rsid w:val="00DA3D60"/>
    <w:rsid w:val="00DA4598"/>
    <w:rsid w:val="00DA48F2"/>
    <w:rsid w:val="00DA4D7B"/>
    <w:rsid w:val="00DA5B89"/>
    <w:rsid w:val="00DA6039"/>
    <w:rsid w:val="00DA61CA"/>
    <w:rsid w:val="00DA637D"/>
    <w:rsid w:val="00DA6AAC"/>
    <w:rsid w:val="00DA7146"/>
    <w:rsid w:val="00DA7359"/>
    <w:rsid w:val="00DA75EF"/>
    <w:rsid w:val="00DA7B3E"/>
    <w:rsid w:val="00DB1EEC"/>
    <w:rsid w:val="00DB2677"/>
    <w:rsid w:val="00DB2A4F"/>
    <w:rsid w:val="00DB2A71"/>
    <w:rsid w:val="00DB2F35"/>
    <w:rsid w:val="00DB2FAD"/>
    <w:rsid w:val="00DB34B1"/>
    <w:rsid w:val="00DB3E47"/>
    <w:rsid w:val="00DB4A4C"/>
    <w:rsid w:val="00DB4E11"/>
    <w:rsid w:val="00DB5A07"/>
    <w:rsid w:val="00DB63DD"/>
    <w:rsid w:val="00DB6EDD"/>
    <w:rsid w:val="00DC2A48"/>
    <w:rsid w:val="00DC2B66"/>
    <w:rsid w:val="00DC3226"/>
    <w:rsid w:val="00DC373D"/>
    <w:rsid w:val="00DC37AA"/>
    <w:rsid w:val="00DC396F"/>
    <w:rsid w:val="00DC3FBF"/>
    <w:rsid w:val="00DC44BD"/>
    <w:rsid w:val="00DC49C2"/>
    <w:rsid w:val="00DC4F41"/>
    <w:rsid w:val="00DC6261"/>
    <w:rsid w:val="00DC6319"/>
    <w:rsid w:val="00DC6B67"/>
    <w:rsid w:val="00DC703A"/>
    <w:rsid w:val="00DC7A2E"/>
    <w:rsid w:val="00DC7E96"/>
    <w:rsid w:val="00DD0341"/>
    <w:rsid w:val="00DD16B1"/>
    <w:rsid w:val="00DD1793"/>
    <w:rsid w:val="00DD1DDD"/>
    <w:rsid w:val="00DD278A"/>
    <w:rsid w:val="00DD2D46"/>
    <w:rsid w:val="00DD42AF"/>
    <w:rsid w:val="00DD44BE"/>
    <w:rsid w:val="00DD4538"/>
    <w:rsid w:val="00DD52EB"/>
    <w:rsid w:val="00DD5BA5"/>
    <w:rsid w:val="00DD6777"/>
    <w:rsid w:val="00DD684B"/>
    <w:rsid w:val="00DD6DDE"/>
    <w:rsid w:val="00DD73C0"/>
    <w:rsid w:val="00DE0ED1"/>
    <w:rsid w:val="00DE0FDB"/>
    <w:rsid w:val="00DE26F8"/>
    <w:rsid w:val="00DE2B8E"/>
    <w:rsid w:val="00DE3958"/>
    <w:rsid w:val="00DE3CB3"/>
    <w:rsid w:val="00DE4144"/>
    <w:rsid w:val="00DE4FD9"/>
    <w:rsid w:val="00DE62DE"/>
    <w:rsid w:val="00DE6727"/>
    <w:rsid w:val="00DE7F48"/>
    <w:rsid w:val="00DF0003"/>
    <w:rsid w:val="00DF048F"/>
    <w:rsid w:val="00DF0B02"/>
    <w:rsid w:val="00DF141A"/>
    <w:rsid w:val="00DF1B47"/>
    <w:rsid w:val="00DF4126"/>
    <w:rsid w:val="00DF41D1"/>
    <w:rsid w:val="00DF4318"/>
    <w:rsid w:val="00DF4C80"/>
    <w:rsid w:val="00DF4D9B"/>
    <w:rsid w:val="00DF6875"/>
    <w:rsid w:val="00DF6A55"/>
    <w:rsid w:val="00DF7E69"/>
    <w:rsid w:val="00E0007E"/>
    <w:rsid w:val="00E01BC9"/>
    <w:rsid w:val="00E0206E"/>
    <w:rsid w:val="00E021E6"/>
    <w:rsid w:val="00E03416"/>
    <w:rsid w:val="00E041AE"/>
    <w:rsid w:val="00E04E1E"/>
    <w:rsid w:val="00E06996"/>
    <w:rsid w:val="00E07421"/>
    <w:rsid w:val="00E10F4A"/>
    <w:rsid w:val="00E11194"/>
    <w:rsid w:val="00E111EA"/>
    <w:rsid w:val="00E11B95"/>
    <w:rsid w:val="00E1357A"/>
    <w:rsid w:val="00E13E56"/>
    <w:rsid w:val="00E13E66"/>
    <w:rsid w:val="00E14674"/>
    <w:rsid w:val="00E1569C"/>
    <w:rsid w:val="00E16067"/>
    <w:rsid w:val="00E16A4C"/>
    <w:rsid w:val="00E20137"/>
    <w:rsid w:val="00E2049E"/>
    <w:rsid w:val="00E2148B"/>
    <w:rsid w:val="00E2196E"/>
    <w:rsid w:val="00E23051"/>
    <w:rsid w:val="00E25711"/>
    <w:rsid w:val="00E2574B"/>
    <w:rsid w:val="00E25A90"/>
    <w:rsid w:val="00E25AEF"/>
    <w:rsid w:val="00E267FB"/>
    <w:rsid w:val="00E279A9"/>
    <w:rsid w:val="00E31D9A"/>
    <w:rsid w:val="00E32F34"/>
    <w:rsid w:val="00E35AD1"/>
    <w:rsid w:val="00E37127"/>
    <w:rsid w:val="00E37AC8"/>
    <w:rsid w:val="00E405FC"/>
    <w:rsid w:val="00E414D3"/>
    <w:rsid w:val="00E41F7A"/>
    <w:rsid w:val="00E41FDC"/>
    <w:rsid w:val="00E42B1E"/>
    <w:rsid w:val="00E43A93"/>
    <w:rsid w:val="00E43C05"/>
    <w:rsid w:val="00E4485C"/>
    <w:rsid w:val="00E4592F"/>
    <w:rsid w:val="00E4616C"/>
    <w:rsid w:val="00E46976"/>
    <w:rsid w:val="00E5030E"/>
    <w:rsid w:val="00E50AD4"/>
    <w:rsid w:val="00E50C1F"/>
    <w:rsid w:val="00E50C70"/>
    <w:rsid w:val="00E515A1"/>
    <w:rsid w:val="00E5170E"/>
    <w:rsid w:val="00E51FF6"/>
    <w:rsid w:val="00E53057"/>
    <w:rsid w:val="00E53A40"/>
    <w:rsid w:val="00E53DE6"/>
    <w:rsid w:val="00E542A8"/>
    <w:rsid w:val="00E54F2F"/>
    <w:rsid w:val="00E551EA"/>
    <w:rsid w:val="00E57439"/>
    <w:rsid w:val="00E5771A"/>
    <w:rsid w:val="00E57931"/>
    <w:rsid w:val="00E60009"/>
    <w:rsid w:val="00E6096D"/>
    <w:rsid w:val="00E61A00"/>
    <w:rsid w:val="00E61F4B"/>
    <w:rsid w:val="00E63869"/>
    <w:rsid w:val="00E6387E"/>
    <w:rsid w:val="00E64D60"/>
    <w:rsid w:val="00E6528D"/>
    <w:rsid w:val="00E660CF"/>
    <w:rsid w:val="00E662D9"/>
    <w:rsid w:val="00E66BDC"/>
    <w:rsid w:val="00E6725C"/>
    <w:rsid w:val="00E67C06"/>
    <w:rsid w:val="00E67E7F"/>
    <w:rsid w:val="00E70BF9"/>
    <w:rsid w:val="00E713E4"/>
    <w:rsid w:val="00E7152D"/>
    <w:rsid w:val="00E722EA"/>
    <w:rsid w:val="00E72B9D"/>
    <w:rsid w:val="00E73432"/>
    <w:rsid w:val="00E748A7"/>
    <w:rsid w:val="00E74AE4"/>
    <w:rsid w:val="00E760C5"/>
    <w:rsid w:val="00E767C8"/>
    <w:rsid w:val="00E815B6"/>
    <w:rsid w:val="00E819FF"/>
    <w:rsid w:val="00E81F36"/>
    <w:rsid w:val="00E8389F"/>
    <w:rsid w:val="00E85741"/>
    <w:rsid w:val="00E857ED"/>
    <w:rsid w:val="00E909D5"/>
    <w:rsid w:val="00E90CB8"/>
    <w:rsid w:val="00E9253B"/>
    <w:rsid w:val="00E92B8B"/>
    <w:rsid w:val="00E933B9"/>
    <w:rsid w:val="00E93D9B"/>
    <w:rsid w:val="00E9517C"/>
    <w:rsid w:val="00E9549A"/>
    <w:rsid w:val="00E957D5"/>
    <w:rsid w:val="00E964A6"/>
    <w:rsid w:val="00E9668A"/>
    <w:rsid w:val="00E97CA3"/>
    <w:rsid w:val="00EA0555"/>
    <w:rsid w:val="00EA12D3"/>
    <w:rsid w:val="00EA3131"/>
    <w:rsid w:val="00EA4A67"/>
    <w:rsid w:val="00EA4C16"/>
    <w:rsid w:val="00EA50E9"/>
    <w:rsid w:val="00EA55AC"/>
    <w:rsid w:val="00EA5E6A"/>
    <w:rsid w:val="00EB14E4"/>
    <w:rsid w:val="00EB33C9"/>
    <w:rsid w:val="00EC1001"/>
    <w:rsid w:val="00EC1076"/>
    <w:rsid w:val="00EC3105"/>
    <w:rsid w:val="00EC5391"/>
    <w:rsid w:val="00EC5BA8"/>
    <w:rsid w:val="00EC5E8C"/>
    <w:rsid w:val="00EC7613"/>
    <w:rsid w:val="00ED098E"/>
    <w:rsid w:val="00ED2250"/>
    <w:rsid w:val="00ED3293"/>
    <w:rsid w:val="00ED33AE"/>
    <w:rsid w:val="00ED3D88"/>
    <w:rsid w:val="00ED4B25"/>
    <w:rsid w:val="00ED5790"/>
    <w:rsid w:val="00ED598F"/>
    <w:rsid w:val="00ED5BDA"/>
    <w:rsid w:val="00ED6B2D"/>
    <w:rsid w:val="00ED7681"/>
    <w:rsid w:val="00EE04FE"/>
    <w:rsid w:val="00EE14D9"/>
    <w:rsid w:val="00EE1BB2"/>
    <w:rsid w:val="00EE1C82"/>
    <w:rsid w:val="00EE2050"/>
    <w:rsid w:val="00EE2577"/>
    <w:rsid w:val="00EE2643"/>
    <w:rsid w:val="00EE270C"/>
    <w:rsid w:val="00EE2C7C"/>
    <w:rsid w:val="00EE34FF"/>
    <w:rsid w:val="00EE3761"/>
    <w:rsid w:val="00EE426A"/>
    <w:rsid w:val="00EE5724"/>
    <w:rsid w:val="00EF03B8"/>
    <w:rsid w:val="00EF0957"/>
    <w:rsid w:val="00EF0EB3"/>
    <w:rsid w:val="00EF2B86"/>
    <w:rsid w:val="00EF37D2"/>
    <w:rsid w:val="00EF44CF"/>
    <w:rsid w:val="00EF46A3"/>
    <w:rsid w:val="00EF623B"/>
    <w:rsid w:val="00EF657C"/>
    <w:rsid w:val="00EF6D62"/>
    <w:rsid w:val="00EF6F92"/>
    <w:rsid w:val="00EF7228"/>
    <w:rsid w:val="00EF7BE9"/>
    <w:rsid w:val="00F00DC9"/>
    <w:rsid w:val="00F014AB"/>
    <w:rsid w:val="00F03335"/>
    <w:rsid w:val="00F03762"/>
    <w:rsid w:val="00F04512"/>
    <w:rsid w:val="00F04AD6"/>
    <w:rsid w:val="00F04F4B"/>
    <w:rsid w:val="00F06E7D"/>
    <w:rsid w:val="00F073E3"/>
    <w:rsid w:val="00F10970"/>
    <w:rsid w:val="00F11108"/>
    <w:rsid w:val="00F11AEF"/>
    <w:rsid w:val="00F1393D"/>
    <w:rsid w:val="00F14207"/>
    <w:rsid w:val="00F152C8"/>
    <w:rsid w:val="00F156B5"/>
    <w:rsid w:val="00F16DDE"/>
    <w:rsid w:val="00F17831"/>
    <w:rsid w:val="00F17EAA"/>
    <w:rsid w:val="00F206AE"/>
    <w:rsid w:val="00F2088E"/>
    <w:rsid w:val="00F20A94"/>
    <w:rsid w:val="00F21762"/>
    <w:rsid w:val="00F217A7"/>
    <w:rsid w:val="00F221DB"/>
    <w:rsid w:val="00F22300"/>
    <w:rsid w:val="00F22A64"/>
    <w:rsid w:val="00F25A3F"/>
    <w:rsid w:val="00F26698"/>
    <w:rsid w:val="00F26C94"/>
    <w:rsid w:val="00F302B8"/>
    <w:rsid w:val="00F30D97"/>
    <w:rsid w:val="00F310A1"/>
    <w:rsid w:val="00F329BB"/>
    <w:rsid w:val="00F32AAC"/>
    <w:rsid w:val="00F330FB"/>
    <w:rsid w:val="00F33FFD"/>
    <w:rsid w:val="00F34137"/>
    <w:rsid w:val="00F34223"/>
    <w:rsid w:val="00F34E5B"/>
    <w:rsid w:val="00F358F8"/>
    <w:rsid w:val="00F35E6C"/>
    <w:rsid w:val="00F3674E"/>
    <w:rsid w:val="00F370F1"/>
    <w:rsid w:val="00F371C2"/>
    <w:rsid w:val="00F4099C"/>
    <w:rsid w:val="00F43284"/>
    <w:rsid w:val="00F43A75"/>
    <w:rsid w:val="00F44559"/>
    <w:rsid w:val="00F4489C"/>
    <w:rsid w:val="00F44F37"/>
    <w:rsid w:val="00F5035B"/>
    <w:rsid w:val="00F5065A"/>
    <w:rsid w:val="00F50773"/>
    <w:rsid w:val="00F50E4A"/>
    <w:rsid w:val="00F527DE"/>
    <w:rsid w:val="00F530D0"/>
    <w:rsid w:val="00F53B81"/>
    <w:rsid w:val="00F53D0F"/>
    <w:rsid w:val="00F56684"/>
    <w:rsid w:val="00F577AB"/>
    <w:rsid w:val="00F6013F"/>
    <w:rsid w:val="00F60EB7"/>
    <w:rsid w:val="00F6166F"/>
    <w:rsid w:val="00F61967"/>
    <w:rsid w:val="00F62C03"/>
    <w:rsid w:val="00F630B0"/>
    <w:rsid w:val="00F63387"/>
    <w:rsid w:val="00F63BFE"/>
    <w:rsid w:val="00F63F21"/>
    <w:rsid w:val="00F65438"/>
    <w:rsid w:val="00F658D6"/>
    <w:rsid w:val="00F65CBC"/>
    <w:rsid w:val="00F6645A"/>
    <w:rsid w:val="00F66D82"/>
    <w:rsid w:val="00F6724E"/>
    <w:rsid w:val="00F67CE2"/>
    <w:rsid w:val="00F67FF9"/>
    <w:rsid w:val="00F70338"/>
    <w:rsid w:val="00F7056F"/>
    <w:rsid w:val="00F713B4"/>
    <w:rsid w:val="00F73925"/>
    <w:rsid w:val="00F73B6D"/>
    <w:rsid w:val="00F7440A"/>
    <w:rsid w:val="00F755C9"/>
    <w:rsid w:val="00F772A6"/>
    <w:rsid w:val="00F77814"/>
    <w:rsid w:val="00F805FA"/>
    <w:rsid w:val="00F80B1A"/>
    <w:rsid w:val="00F82449"/>
    <w:rsid w:val="00F82AC0"/>
    <w:rsid w:val="00F82B20"/>
    <w:rsid w:val="00F83705"/>
    <w:rsid w:val="00F83711"/>
    <w:rsid w:val="00F847BE"/>
    <w:rsid w:val="00F84E8A"/>
    <w:rsid w:val="00F85571"/>
    <w:rsid w:val="00F8671A"/>
    <w:rsid w:val="00F871C7"/>
    <w:rsid w:val="00F87A90"/>
    <w:rsid w:val="00F90230"/>
    <w:rsid w:val="00F912E9"/>
    <w:rsid w:val="00F92654"/>
    <w:rsid w:val="00F93149"/>
    <w:rsid w:val="00F93A31"/>
    <w:rsid w:val="00F93C13"/>
    <w:rsid w:val="00F9487F"/>
    <w:rsid w:val="00F94E8B"/>
    <w:rsid w:val="00F9538C"/>
    <w:rsid w:val="00F95BD8"/>
    <w:rsid w:val="00F9609E"/>
    <w:rsid w:val="00F960C7"/>
    <w:rsid w:val="00F96316"/>
    <w:rsid w:val="00F972A3"/>
    <w:rsid w:val="00F97695"/>
    <w:rsid w:val="00F976F4"/>
    <w:rsid w:val="00F97EFD"/>
    <w:rsid w:val="00FA255A"/>
    <w:rsid w:val="00FA2833"/>
    <w:rsid w:val="00FA326B"/>
    <w:rsid w:val="00FA361A"/>
    <w:rsid w:val="00FA3801"/>
    <w:rsid w:val="00FA45CF"/>
    <w:rsid w:val="00FA59D6"/>
    <w:rsid w:val="00FA5D91"/>
    <w:rsid w:val="00FA7051"/>
    <w:rsid w:val="00FA74D8"/>
    <w:rsid w:val="00FB03B5"/>
    <w:rsid w:val="00FB0CEF"/>
    <w:rsid w:val="00FB0D93"/>
    <w:rsid w:val="00FB37DD"/>
    <w:rsid w:val="00FB4A8E"/>
    <w:rsid w:val="00FB4C6B"/>
    <w:rsid w:val="00FB5545"/>
    <w:rsid w:val="00FB7F26"/>
    <w:rsid w:val="00FB7FEB"/>
    <w:rsid w:val="00FC0A09"/>
    <w:rsid w:val="00FC0A5F"/>
    <w:rsid w:val="00FC0ABF"/>
    <w:rsid w:val="00FC1828"/>
    <w:rsid w:val="00FC5170"/>
    <w:rsid w:val="00FC543A"/>
    <w:rsid w:val="00FC5590"/>
    <w:rsid w:val="00FC58F5"/>
    <w:rsid w:val="00FC5C64"/>
    <w:rsid w:val="00FD0304"/>
    <w:rsid w:val="00FD05FC"/>
    <w:rsid w:val="00FD17A4"/>
    <w:rsid w:val="00FD1A46"/>
    <w:rsid w:val="00FD2CCF"/>
    <w:rsid w:val="00FD49A4"/>
    <w:rsid w:val="00FD4AE3"/>
    <w:rsid w:val="00FD4C01"/>
    <w:rsid w:val="00FD5E2E"/>
    <w:rsid w:val="00FD616F"/>
    <w:rsid w:val="00FD66C1"/>
    <w:rsid w:val="00FD79D1"/>
    <w:rsid w:val="00FE07B2"/>
    <w:rsid w:val="00FE0B44"/>
    <w:rsid w:val="00FE1E5C"/>
    <w:rsid w:val="00FE20E0"/>
    <w:rsid w:val="00FE2567"/>
    <w:rsid w:val="00FE4C21"/>
    <w:rsid w:val="00FE579E"/>
    <w:rsid w:val="00FE5987"/>
    <w:rsid w:val="00FE59FF"/>
    <w:rsid w:val="00FE6A72"/>
    <w:rsid w:val="00FE7855"/>
    <w:rsid w:val="00FF3079"/>
    <w:rsid w:val="00FF3183"/>
    <w:rsid w:val="00FF3257"/>
    <w:rsid w:val="00FF4C57"/>
    <w:rsid w:val="00FF4C74"/>
    <w:rsid w:val="00FF61E6"/>
    <w:rsid w:val="00FF62E3"/>
    <w:rsid w:val="00FF679E"/>
    <w:rsid w:val="00FF7A75"/>
    <w:rsid w:val="01755302"/>
    <w:rsid w:val="01945AF3"/>
    <w:rsid w:val="02107A59"/>
    <w:rsid w:val="025B6D75"/>
    <w:rsid w:val="028066BD"/>
    <w:rsid w:val="02851B5E"/>
    <w:rsid w:val="031E0736"/>
    <w:rsid w:val="03935135"/>
    <w:rsid w:val="03F340C7"/>
    <w:rsid w:val="04441D61"/>
    <w:rsid w:val="046C3404"/>
    <w:rsid w:val="051412A1"/>
    <w:rsid w:val="054C662D"/>
    <w:rsid w:val="05762216"/>
    <w:rsid w:val="05871F10"/>
    <w:rsid w:val="05EA06E6"/>
    <w:rsid w:val="06310D62"/>
    <w:rsid w:val="0657237B"/>
    <w:rsid w:val="07221EBA"/>
    <w:rsid w:val="074628FE"/>
    <w:rsid w:val="078546A5"/>
    <w:rsid w:val="079C2A58"/>
    <w:rsid w:val="07B13405"/>
    <w:rsid w:val="07B35C10"/>
    <w:rsid w:val="080938B8"/>
    <w:rsid w:val="088959A6"/>
    <w:rsid w:val="09585B86"/>
    <w:rsid w:val="09B773CF"/>
    <w:rsid w:val="09B939F6"/>
    <w:rsid w:val="09E84694"/>
    <w:rsid w:val="09F45958"/>
    <w:rsid w:val="0A1D1FFF"/>
    <w:rsid w:val="0A291C09"/>
    <w:rsid w:val="0A643C1A"/>
    <w:rsid w:val="0B761B3B"/>
    <w:rsid w:val="0B8613A2"/>
    <w:rsid w:val="0B984F90"/>
    <w:rsid w:val="0BE0162B"/>
    <w:rsid w:val="0C29502C"/>
    <w:rsid w:val="0CC53DA5"/>
    <w:rsid w:val="0CE21E6C"/>
    <w:rsid w:val="0D07213D"/>
    <w:rsid w:val="0D3864E9"/>
    <w:rsid w:val="0D6A7C29"/>
    <w:rsid w:val="0DDF4E17"/>
    <w:rsid w:val="0DEB14A0"/>
    <w:rsid w:val="0E08599B"/>
    <w:rsid w:val="0E1D4275"/>
    <w:rsid w:val="0E5C239D"/>
    <w:rsid w:val="0E642142"/>
    <w:rsid w:val="0E6E743C"/>
    <w:rsid w:val="0E7E02A6"/>
    <w:rsid w:val="0F056591"/>
    <w:rsid w:val="0F174E11"/>
    <w:rsid w:val="0F366DF6"/>
    <w:rsid w:val="0FA21FAD"/>
    <w:rsid w:val="0FB034B9"/>
    <w:rsid w:val="0FD716C2"/>
    <w:rsid w:val="10444B40"/>
    <w:rsid w:val="10D92C90"/>
    <w:rsid w:val="111C1DD6"/>
    <w:rsid w:val="11727B6C"/>
    <w:rsid w:val="11B64C14"/>
    <w:rsid w:val="11CF5F01"/>
    <w:rsid w:val="126B6655"/>
    <w:rsid w:val="12914FB0"/>
    <w:rsid w:val="12A71189"/>
    <w:rsid w:val="12DE3BC2"/>
    <w:rsid w:val="12F157AA"/>
    <w:rsid w:val="14151FF2"/>
    <w:rsid w:val="14975DE8"/>
    <w:rsid w:val="149B40D5"/>
    <w:rsid w:val="14C51196"/>
    <w:rsid w:val="156F0C08"/>
    <w:rsid w:val="158F5F46"/>
    <w:rsid w:val="15BA0592"/>
    <w:rsid w:val="15DE4484"/>
    <w:rsid w:val="15E9788E"/>
    <w:rsid w:val="161C6AB4"/>
    <w:rsid w:val="162C3BF5"/>
    <w:rsid w:val="1638724C"/>
    <w:rsid w:val="16952BDF"/>
    <w:rsid w:val="16EB61F9"/>
    <w:rsid w:val="16F539F6"/>
    <w:rsid w:val="170D06E0"/>
    <w:rsid w:val="17163F7D"/>
    <w:rsid w:val="179A24A8"/>
    <w:rsid w:val="17AF5585"/>
    <w:rsid w:val="186D277D"/>
    <w:rsid w:val="189C5495"/>
    <w:rsid w:val="189E09EB"/>
    <w:rsid w:val="18FD1352"/>
    <w:rsid w:val="18FF6AD5"/>
    <w:rsid w:val="190722E6"/>
    <w:rsid w:val="191F6C53"/>
    <w:rsid w:val="19262424"/>
    <w:rsid w:val="19A158A9"/>
    <w:rsid w:val="1A3B4669"/>
    <w:rsid w:val="1A714F8C"/>
    <w:rsid w:val="1A82015E"/>
    <w:rsid w:val="1AAE3181"/>
    <w:rsid w:val="1B567142"/>
    <w:rsid w:val="1BC12C09"/>
    <w:rsid w:val="1CB938BD"/>
    <w:rsid w:val="1CEF0CFE"/>
    <w:rsid w:val="1D382E9A"/>
    <w:rsid w:val="1D77668C"/>
    <w:rsid w:val="1E0E09C8"/>
    <w:rsid w:val="1E7159F1"/>
    <w:rsid w:val="1F316E89"/>
    <w:rsid w:val="2073396C"/>
    <w:rsid w:val="208E71ED"/>
    <w:rsid w:val="2149684E"/>
    <w:rsid w:val="217355DC"/>
    <w:rsid w:val="218B7EBE"/>
    <w:rsid w:val="219E580C"/>
    <w:rsid w:val="21D37D1D"/>
    <w:rsid w:val="22060563"/>
    <w:rsid w:val="227873DC"/>
    <w:rsid w:val="2285085B"/>
    <w:rsid w:val="229859DD"/>
    <w:rsid w:val="229F3B81"/>
    <w:rsid w:val="22BC411F"/>
    <w:rsid w:val="24522928"/>
    <w:rsid w:val="24CE48AB"/>
    <w:rsid w:val="254062E0"/>
    <w:rsid w:val="255A409A"/>
    <w:rsid w:val="255D1825"/>
    <w:rsid w:val="259B5B18"/>
    <w:rsid w:val="25EC0D13"/>
    <w:rsid w:val="25F71165"/>
    <w:rsid w:val="26086C3B"/>
    <w:rsid w:val="26731FA0"/>
    <w:rsid w:val="26A000FF"/>
    <w:rsid w:val="26CB682D"/>
    <w:rsid w:val="26CC032E"/>
    <w:rsid w:val="27814056"/>
    <w:rsid w:val="27FA2897"/>
    <w:rsid w:val="281049B4"/>
    <w:rsid w:val="288C5B04"/>
    <w:rsid w:val="28976986"/>
    <w:rsid w:val="28C770DD"/>
    <w:rsid w:val="28FB206C"/>
    <w:rsid w:val="2A5610C6"/>
    <w:rsid w:val="2AF4584A"/>
    <w:rsid w:val="2B256C9A"/>
    <w:rsid w:val="2B6E4F01"/>
    <w:rsid w:val="2B7C29F5"/>
    <w:rsid w:val="2C4F2548"/>
    <w:rsid w:val="2CA90EA0"/>
    <w:rsid w:val="2CCB14DD"/>
    <w:rsid w:val="2CE9332E"/>
    <w:rsid w:val="2D6A5864"/>
    <w:rsid w:val="2F885717"/>
    <w:rsid w:val="2FB376AE"/>
    <w:rsid w:val="2FB70C38"/>
    <w:rsid w:val="2FDE6282"/>
    <w:rsid w:val="304E05AC"/>
    <w:rsid w:val="307F1778"/>
    <w:rsid w:val="3138414C"/>
    <w:rsid w:val="31493A78"/>
    <w:rsid w:val="31EC1E55"/>
    <w:rsid w:val="3218608A"/>
    <w:rsid w:val="32957CE5"/>
    <w:rsid w:val="32AC3C9B"/>
    <w:rsid w:val="32EE590C"/>
    <w:rsid w:val="32FD1814"/>
    <w:rsid w:val="330B7E50"/>
    <w:rsid w:val="334E3833"/>
    <w:rsid w:val="337032F7"/>
    <w:rsid w:val="33797BC3"/>
    <w:rsid w:val="33C969BA"/>
    <w:rsid w:val="33D31789"/>
    <w:rsid w:val="341278CD"/>
    <w:rsid w:val="34242166"/>
    <w:rsid w:val="348A6ECF"/>
    <w:rsid w:val="34F408E1"/>
    <w:rsid w:val="350A1B42"/>
    <w:rsid w:val="35E16021"/>
    <w:rsid w:val="36FF17EF"/>
    <w:rsid w:val="370D5527"/>
    <w:rsid w:val="371A19B1"/>
    <w:rsid w:val="372B7682"/>
    <w:rsid w:val="374E6E85"/>
    <w:rsid w:val="37686C93"/>
    <w:rsid w:val="376E4033"/>
    <w:rsid w:val="37882170"/>
    <w:rsid w:val="37B72D48"/>
    <w:rsid w:val="37E96271"/>
    <w:rsid w:val="37EB6205"/>
    <w:rsid w:val="38BA7F75"/>
    <w:rsid w:val="38FA02F0"/>
    <w:rsid w:val="39C12F31"/>
    <w:rsid w:val="39CE37F0"/>
    <w:rsid w:val="3A073F5D"/>
    <w:rsid w:val="3A840261"/>
    <w:rsid w:val="3A9B4F19"/>
    <w:rsid w:val="3B1F13CF"/>
    <w:rsid w:val="3B313DE7"/>
    <w:rsid w:val="3B3D7EF1"/>
    <w:rsid w:val="3B8C1DD0"/>
    <w:rsid w:val="3B8F249E"/>
    <w:rsid w:val="3BDA40F5"/>
    <w:rsid w:val="3C200CAE"/>
    <w:rsid w:val="3C5530FC"/>
    <w:rsid w:val="3CB0202A"/>
    <w:rsid w:val="3D314BD3"/>
    <w:rsid w:val="3D9B2F59"/>
    <w:rsid w:val="3E126849"/>
    <w:rsid w:val="3E7521EA"/>
    <w:rsid w:val="3E7D0BA9"/>
    <w:rsid w:val="3EA52A36"/>
    <w:rsid w:val="3EB34112"/>
    <w:rsid w:val="3F334D1E"/>
    <w:rsid w:val="3F693C40"/>
    <w:rsid w:val="3F6C3033"/>
    <w:rsid w:val="3F73101C"/>
    <w:rsid w:val="3FC0690F"/>
    <w:rsid w:val="3FE36927"/>
    <w:rsid w:val="40043331"/>
    <w:rsid w:val="400A44D8"/>
    <w:rsid w:val="40523BC3"/>
    <w:rsid w:val="40810560"/>
    <w:rsid w:val="40810E92"/>
    <w:rsid w:val="40961C99"/>
    <w:rsid w:val="40CF6E64"/>
    <w:rsid w:val="40D64434"/>
    <w:rsid w:val="40E64904"/>
    <w:rsid w:val="41A7577F"/>
    <w:rsid w:val="41DA0F41"/>
    <w:rsid w:val="42093FFB"/>
    <w:rsid w:val="420F00EB"/>
    <w:rsid w:val="42651EDC"/>
    <w:rsid w:val="429B52AA"/>
    <w:rsid w:val="429B710A"/>
    <w:rsid w:val="43555E73"/>
    <w:rsid w:val="43A04967"/>
    <w:rsid w:val="447B1636"/>
    <w:rsid w:val="452A0524"/>
    <w:rsid w:val="459B1BD1"/>
    <w:rsid w:val="45BF7F76"/>
    <w:rsid w:val="468C653D"/>
    <w:rsid w:val="46CD6B6A"/>
    <w:rsid w:val="46E73107"/>
    <w:rsid w:val="472C3BDD"/>
    <w:rsid w:val="477C1E84"/>
    <w:rsid w:val="479B0CDA"/>
    <w:rsid w:val="485A587F"/>
    <w:rsid w:val="486E0BB7"/>
    <w:rsid w:val="48AA4FA7"/>
    <w:rsid w:val="494A32E3"/>
    <w:rsid w:val="49530D1B"/>
    <w:rsid w:val="497A6884"/>
    <w:rsid w:val="49942253"/>
    <w:rsid w:val="49A06AB4"/>
    <w:rsid w:val="49A06F0E"/>
    <w:rsid w:val="49F70BF1"/>
    <w:rsid w:val="4A2669D2"/>
    <w:rsid w:val="4A2D4067"/>
    <w:rsid w:val="4A9A45E2"/>
    <w:rsid w:val="4B074556"/>
    <w:rsid w:val="4BB92BDB"/>
    <w:rsid w:val="4BD10AA3"/>
    <w:rsid w:val="4C037769"/>
    <w:rsid w:val="4C1E52F0"/>
    <w:rsid w:val="4C4B5B7F"/>
    <w:rsid w:val="4C534308"/>
    <w:rsid w:val="4C7D61BC"/>
    <w:rsid w:val="4CA14A72"/>
    <w:rsid w:val="4CB155C2"/>
    <w:rsid w:val="4CC40578"/>
    <w:rsid w:val="4CF32154"/>
    <w:rsid w:val="4DA52436"/>
    <w:rsid w:val="4E02095E"/>
    <w:rsid w:val="4E1F3A36"/>
    <w:rsid w:val="4E236E1D"/>
    <w:rsid w:val="4E261A5F"/>
    <w:rsid w:val="4E3A6A54"/>
    <w:rsid w:val="4EA02C50"/>
    <w:rsid w:val="4EDF2E3F"/>
    <w:rsid w:val="4F027E1C"/>
    <w:rsid w:val="5015298B"/>
    <w:rsid w:val="50360630"/>
    <w:rsid w:val="50C235B7"/>
    <w:rsid w:val="50C50BBD"/>
    <w:rsid w:val="513F5574"/>
    <w:rsid w:val="515A6075"/>
    <w:rsid w:val="517C0C4A"/>
    <w:rsid w:val="518D03B5"/>
    <w:rsid w:val="51BA4CE9"/>
    <w:rsid w:val="51C225A8"/>
    <w:rsid w:val="51D528DC"/>
    <w:rsid w:val="52321492"/>
    <w:rsid w:val="52E870BB"/>
    <w:rsid w:val="53083378"/>
    <w:rsid w:val="530E3233"/>
    <w:rsid w:val="54187F00"/>
    <w:rsid w:val="545B6FAA"/>
    <w:rsid w:val="556D7026"/>
    <w:rsid w:val="55B54BD2"/>
    <w:rsid w:val="55C658C9"/>
    <w:rsid w:val="56395A79"/>
    <w:rsid w:val="56D952A8"/>
    <w:rsid w:val="57876D22"/>
    <w:rsid w:val="57BB4471"/>
    <w:rsid w:val="581B3F4C"/>
    <w:rsid w:val="588E0D65"/>
    <w:rsid w:val="5956421A"/>
    <w:rsid w:val="59667A35"/>
    <w:rsid w:val="5A1703E9"/>
    <w:rsid w:val="5A9F568D"/>
    <w:rsid w:val="5AB33EE0"/>
    <w:rsid w:val="5AB533A9"/>
    <w:rsid w:val="5BBD3FB6"/>
    <w:rsid w:val="5C50666A"/>
    <w:rsid w:val="5CBA2FA9"/>
    <w:rsid w:val="5D206F21"/>
    <w:rsid w:val="5D574D42"/>
    <w:rsid w:val="5DEF3634"/>
    <w:rsid w:val="5E671FFB"/>
    <w:rsid w:val="5F3130DE"/>
    <w:rsid w:val="5F7A565A"/>
    <w:rsid w:val="5F7C25A1"/>
    <w:rsid w:val="60170191"/>
    <w:rsid w:val="601C137C"/>
    <w:rsid w:val="609A36BE"/>
    <w:rsid w:val="60DD29B2"/>
    <w:rsid w:val="60FB79E4"/>
    <w:rsid w:val="610E5866"/>
    <w:rsid w:val="614A7BE8"/>
    <w:rsid w:val="61D77E74"/>
    <w:rsid w:val="61FD2F5E"/>
    <w:rsid w:val="6231053D"/>
    <w:rsid w:val="624A1613"/>
    <w:rsid w:val="62533069"/>
    <w:rsid w:val="62B120C6"/>
    <w:rsid w:val="62CA18FB"/>
    <w:rsid w:val="62DC0376"/>
    <w:rsid w:val="639945D3"/>
    <w:rsid w:val="64173506"/>
    <w:rsid w:val="647D4F44"/>
    <w:rsid w:val="64826658"/>
    <w:rsid w:val="6486320F"/>
    <w:rsid w:val="64CF009B"/>
    <w:rsid w:val="64DD3C11"/>
    <w:rsid w:val="64F27DA3"/>
    <w:rsid w:val="64F6703A"/>
    <w:rsid w:val="65483DA7"/>
    <w:rsid w:val="659608FC"/>
    <w:rsid w:val="65B25CA0"/>
    <w:rsid w:val="65C534DE"/>
    <w:rsid w:val="66203F79"/>
    <w:rsid w:val="66FB6F37"/>
    <w:rsid w:val="6756063E"/>
    <w:rsid w:val="67900F7E"/>
    <w:rsid w:val="68DF7EDB"/>
    <w:rsid w:val="696D0211"/>
    <w:rsid w:val="69DE3842"/>
    <w:rsid w:val="69E93C5A"/>
    <w:rsid w:val="6A4A2854"/>
    <w:rsid w:val="6A6749E6"/>
    <w:rsid w:val="6AC06D48"/>
    <w:rsid w:val="6BAF72DD"/>
    <w:rsid w:val="6C2935C5"/>
    <w:rsid w:val="6C4936EE"/>
    <w:rsid w:val="6CE66E44"/>
    <w:rsid w:val="6CED2E4A"/>
    <w:rsid w:val="6D652858"/>
    <w:rsid w:val="6D6C1F92"/>
    <w:rsid w:val="6DD8477E"/>
    <w:rsid w:val="6E561CD1"/>
    <w:rsid w:val="6ECA3B87"/>
    <w:rsid w:val="6ED74623"/>
    <w:rsid w:val="6FBB7DE2"/>
    <w:rsid w:val="6FC73BB1"/>
    <w:rsid w:val="70674715"/>
    <w:rsid w:val="708244C1"/>
    <w:rsid w:val="70BF7B4E"/>
    <w:rsid w:val="71265794"/>
    <w:rsid w:val="712C278D"/>
    <w:rsid w:val="71464264"/>
    <w:rsid w:val="716920F8"/>
    <w:rsid w:val="719D586C"/>
    <w:rsid w:val="71A24F3F"/>
    <w:rsid w:val="71EC15DC"/>
    <w:rsid w:val="72A76EF8"/>
    <w:rsid w:val="72C3145C"/>
    <w:rsid w:val="72D94938"/>
    <w:rsid w:val="730169E5"/>
    <w:rsid w:val="730B339D"/>
    <w:rsid w:val="73614861"/>
    <w:rsid w:val="737722CF"/>
    <w:rsid w:val="737A44C3"/>
    <w:rsid w:val="73A82852"/>
    <w:rsid w:val="73E160B6"/>
    <w:rsid w:val="74247A73"/>
    <w:rsid w:val="748E0099"/>
    <w:rsid w:val="74A433D5"/>
    <w:rsid w:val="75A11342"/>
    <w:rsid w:val="75C43030"/>
    <w:rsid w:val="75FC0306"/>
    <w:rsid w:val="76DA2674"/>
    <w:rsid w:val="76E55DD9"/>
    <w:rsid w:val="773F1EDD"/>
    <w:rsid w:val="77F33222"/>
    <w:rsid w:val="78135DE8"/>
    <w:rsid w:val="784A2F2F"/>
    <w:rsid w:val="78884724"/>
    <w:rsid w:val="78A0407E"/>
    <w:rsid w:val="790D77AD"/>
    <w:rsid w:val="79165C98"/>
    <w:rsid w:val="7967694A"/>
    <w:rsid w:val="79721510"/>
    <w:rsid w:val="79B67E59"/>
    <w:rsid w:val="79FA3283"/>
    <w:rsid w:val="7A023BE0"/>
    <w:rsid w:val="7A0B4033"/>
    <w:rsid w:val="7AEE07EE"/>
    <w:rsid w:val="7AF72614"/>
    <w:rsid w:val="7B872B2D"/>
    <w:rsid w:val="7C2B4F57"/>
    <w:rsid w:val="7C532F1B"/>
    <w:rsid w:val="7C571E3D"/>
    <w:rsid w:val="7C7E0232"/>
    <w:rsid w:val="7C955184"/>
    <w:rsid w:val="7D2A1C4A"/>
    <w:rsid w:val="7D985431"/>
    <w:rsid w:val="7DB74CB3"/>
    <w:rsid w:val="7E0C2A39"/>
    <w:rsid w:val="7E1172FC"/>
    <w:rsid w:val="7E356B3F"/>
    <w:rsid w:val="7E52528B"/>
    <w:rsid w:val="7E8F0D20"/>
    <w:rsid w:val="7ECC0BE1"/>
    <w:rsid w:val="7ED405DD"/>
    <w:rsid w:val="7EDD2D38"/>
    <w:rsid w:val="7EE076BA"/>
    <w:rsid w:val="7EF83185"/>
    <w:rsid w:val="7F044BC0"/>
    <w:rsid w:val="7F4C3641"/>
    <w:rsid w:val="7F966186"/>
    <w:rsid w:val="7FA75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75"/>
    <w:qFormat/>
    <w:uiPriority w:val="0"/>
    <w:pPr>
      <w:keepNext/>
      <w:keepLines/>
      <w:spacing w:before="0" w:after="0" w:line="360" w:lineRule="auto"/>
      <w:jc w:val="center"/>
      <w:outlineLvl w:val="0"/>
    </w:pPr>
    <w:rPr>
      <w:rFonts w:eastAsia="黑体"/>
      <w:b/>
      <w:bCs/>
      <w:kern w:val="44"/>
      <w:sz w:val="36"/>
      <w:szCs w:val="44"/>
    </w:rPr>
  </w:style>
  <w:style w:type="paragraph" w:styleId="5">
    <w:name w:val="heading 2"/>
    <w:basedOn w:val="1"/>
    <w:next w:val="1"/>
    <w:link w:val="146"/>
    <w:qFormat/>
    <w:uiPriority w:val="0"/>
    <w:pPr>
      <w:keepNext/>
      <w:keepLines/>
      <w:adjustRightInd w:val="0"/>
      <w:snapToGrid w:val="0"/>
      <w:spacing w:line="360" w:lineRule="auto"/>
      <w:jc w:val="left"/>
      <w:outlineLvl w:val="1"/>
    </w:pPr>
    <w:rPr>
      <w:rFonts w:ascii="Arial" w:hAnsi="Arial" w:eastAsia="黑体"/>
      <w:b/>
      <w:bCs/>
      <w:kern w:val="0"/>
      <w:sz w:val="28"/>
      <w:szCs w:val="32"/>
    </w:rPr>
  </w:style>
  <w:style w:type="paragraph" w:styleId="6">
    <w:name w:val="heading 3"/>
    <w:basedOn w:val="1"/>
    <w:next w:val="1"/>
    <w:link w:val="111"/>
    <w:qFormat/>
    <w:uiPriority w:val="9"/>
    <w:pPr>
      <w:keepNext/>
      <w:keepLines/>
      <w:spacing w:before="0" w:after="0" w:line="360" w:lineRule="auto"/>
      <w:outlineLvl w:val="2"/>
    </w:pPr>
    <w:rPr>
      <w:rFonts w:eastAsia="黑体"/>
      <w:b/>
      <w:bCs/>
      <w:kern w:val="0"/>
      <w:sz w:val="28"/>
      <w:szCs w:val="32"/>
    </w:rPr>
  </w:style>
  <w:style w:type="paragraph" w:styleId="7">
    <w:name w:val="heading 4"/>
    <w:basedOn w:val="1"/>
    <w:next w:val="1"/>
    <w:link w:val="73"/>
    <w:qFormat/>
    <w:uiPriority w:val="0"/>
    <w:pPr>
      <w:keepNext/>
      <w:jc w:val="center"/>
      <w:outlineLvl w:val="3"/>
    </w:pPr>
    <w:rPr>
      <w:b/>
      <w:bCs/>
      <w:spacing w:val="-2"/>
      <w:kern w:val="0"/>
      <w:sz w:val="24"/>
      <w:szCs w:val="20"/>
    </w:rPr>
  </w:style>
  <w:style w:type="paragraph" w:styleId="8">
    <w:name w:val="heading 5"/>
    <w:basedOn w:val="1"/>
    <w:next w:val="1"/>
    <w:link w:val="61"/>
    <w:qFormat/>
    <w:uiPriority w:val="0"/>
    <w:pPr>
      <w:keepNext/>
      <w:keepLines/>
      <w:spacing w:before="280" w:after="290" w:line="374" w:lineRule="auto"/>
      <w:outlineLvl w:val="4"/>
    </w:pPr>
    <w:rPr>
      <w:b/>
      <w:bCs/>
      <w:sz w:val="28"/>
      <w:szCs w:val="28"/>
    </w:rPr>
  </w:style>
  <w:style w:type="paragraph" w:styleId="9">
    <w:name w:val="heading 6"/>
    <w:basedOn w:val="1"/>
    <w:next w:val="1"/>
    <w:link w:val="80"/>
    <w:qFormat/>
    <w:uiPriority w:val="0"/>
    <w:pPr>
      <w:keepNext/>
      <w:keepLines/>
      <w:spacing w:before="240" w:after="64" w:line="320" w:lineRule="auto"/>
      <w:outlineLvl w:val="5"/>
    </w:pPr>
    <w:rPr>
      <w:rFonts w:ascii="Cambria" w:hAnsi="Cambria"/>
      <w:b/>
      <w:bCs/>
      <w:sz w:val="24"/>
    </w:rPr>
  </w:style>
  <w:style w:type="paragraph" w:styleId="10">
    <w:name w:val="heading 7"/>
    <w:basedOn w:val="1"/>
    <w:next w:val="1"/>
    <w:link w:val="153"/>
    <w:qFormat/>
    <w:uiPriority w:val="0"/>
    <w:pPr>
      <w:keepNext/>
      <w:keepLines/>
      <w:spacing w:before="240" w:after="64" w:line="320" w:lineRule="auto"/>
      <w:outlineLvl w:val="6"/>
    </w:pPr>
    <w:rPr>
      <w:b/>
      <w:bCs/>
      <w:kern w:val="0"/>
      <w:sz w:val="24"/>
    </w:rPr>
  </w:style>
  <w:style w:type="paragraph" w:styleId="11">
    <w:name w:val="heading 8"/>
    <w:basedOn w:val="1"/>
    <w:next w:val="1"/>
    <w:link w:val="95"/>
    <w:qFormat/>
    <w:uiPriority w:val="0"/>
    <w:pPr>
      <w:keepNext/>
      <w:keepLines/>
      <w:spacing w:before="240" w:after="64" w:line="320" w:lineRule="auto"/>
      <w:outlineLvl w:val="7"/>
    </w:pPr>
    <w:rPr>
      <w:rFonts w:ascii="Cambria" w:hAnsi="Cambria"/>
      <w:sz w:val="24"/>
    </w:rPr>
  </w:style>
  <w:style w:type="paragraph" w:styleId="12">
    <w:name w:val="heading 9"/>
    <w:basedOn w:val="1"/>
    <w:next w:val="1"/>
    <w:link w:val="143"/>
    <w:qFormat/>
    <w:uiPriority w:val="0"/>
    <w:pPr>
      <w:keepNext/>
      <w:keepLines/>
      <w:spacing w:before="240" w:after="64" w:line="320" w:lineRule="auto"/>
      <w:outlineLvl w:val="8"/>
    </w:pPr>
    <w:rPr>
      <w:rFonts w:ascii="Arial" w:hAnsi="Arial" w:eastAsia="黑体"/>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40"/>
    <w:qFormat/>
    <w:uiPriority w:val="0"/>
    <w:pPr>
      <w:ind w:firstLine="420" w:firstLineChars="200"/>
    </w:pPr>
    <w:rPr>
      <w:szCs w:val="20"/>
    </w:rPr>
  </w:style>
  <w:style w:type="paragraph" w:styleId="3">
    <w:name w:val="Body Text Indent"/>
    <w:basedOn w:val="1"/>
    <w:link w:val="60"/>
    <w:qFormat/>
    <w:uiPriority w:val="99"/>
    <w:pPr>
      <w:spacing w:after="120"/>
      <w:ind w:left="420" w:leftChars="200"/>
    </w:pPr>
  </w:style>
  <w:style w:type="paragraph" w:styleId="13">
    <w:name w:val="toc 7"/>
    <w:basedOn w:val="1"/>
    <w:next w:val="1"/>
    <w:qFormat/>
    <w:uiPriority w:val="39"/>
    <w:pPr>
      <w:ind w:left="1260"/>
      <w:jc w:val="left"/>
    </w:pPr>
    <w:rPr>
      <w:sz w:val="18"/>
      <w:szCs w:val="18"/>
    </w:rPr>
  </w:style>
  <w:style w:type="paragraph" w:styleId="14">
    <w:name w:val="table of authorities"/>
    <w:basedOn w:val="1"/>
    <w:next w:val="1"/>
    <w:qFormat/>
    <w:uiPriority w:val="0"/>
    <w:pPr>
      <w:spacing w:line="360" w:lineRule="auto"/>
      <w:ind w:left="200" w:leftChars="200"/>
    </w:pPr>
    <w:rPr>
      <w:sz w:val="24"/>
      <w:szCs w:val="20"/>
    </w:rPr>
  </w:style>
  <w:style w:type="paragraph" w:styleId="15">
    <w:name w:val="Normal Indent"/>
    <w:basedOn w:val="1"/>
    <w:link w:val="112"/>
    <w:qFormat/>
    <w:uiPriority w:val="0"/>
    <w:pPr>
      <w:ind w:firstLine="420"/>
    </w:pPr>
    <w:rPr>
      <w:szCs w:val="20"/>
    </w:rPr>
  </w:style>
  <w:style w:type="paragraph" w:styleId="16">
    <w:name w:val="caption"/>
    <w:basedOn w:val="1"/>
    <w:next w:val="1"/>
    <w:qFormat/>
    <w:uiPriority w:val="0"/>
    <w:rPr>
      <w:rFonts w:ascii="Arial" w:hAnsi="Arial" w:eastAsia="黑体" w:cs="Arial"/>
      <w:sz w:val="20"/>
      <w:szCs w:val="20"/>
    </w:rPr>
  </w:style>
  <w:style w:type="paragraph" w:styleId="17">
    <w:name w:val="Document Map"/>
    <w:basedOn w:val="1"/>
    <w:link w:val="62"/>
    <w:qFormat/>
    <w:uiPriority w:val="0"/>
    <w:pPr>
      <w:shd w:val="clear" w:color="auto" w:fill="000080"/>
    </w:pPr>
  </w:style>
  <w:style w:type="paragraph" w:styleId="18">
    <w:name w:val="annotation text"/>
    <w:basedOn w:val="1"/>
    <w:link w:val="137"/>
    <w:qFormat/>
    <w:uiPriority w:val="0"/>
    <w:pPr>
      <w:jc w:val="left"/>
    </w:pPr>
  </w:style>
  <w:style w:type="paragraph" w:styleId="19">
    <w:name w:val="Salutation"/>
    <w:basedOn w:val="1"/>
    <w:next w:val="1"/>
    <w:qFormat/>
    <w:uiPriority w:val="0"/>
  </w:style>
  <w:style w:type="paragraph" w:styleId="20">
    <w:name w:val="Body Text 3"/>
    <w:basedOn w:val="1"/>
    <w:link w:val="152"/>
    <w:unhideWhenUsed/>
    <w:qFormat/>
    <w:uiPriority w:val="0"/>
    <w:pPr>
      <w:spacing w:after="120"/>
    </w:pPr>
    <w:rPr>
      <w:sz w:val="16"/>
      <w:szCs w:val="16"/>
    </w:rPr>
  </w:style>
  <w:style w:type="paragraph" w:styleId="21">
    <w:name w:val="Body Text"/>
    <w:basedOn w:val="1"/>
    <w:link w:val="109"/>
    <w:qFormat/>
    <w:uiPriority w:val="1"/>
    <w:rPr>
      <w:rFonts w:ascii="宋体" w:hAnsi="宋体"/>
      <w:sz w:val="24"/>
    </w:rPr>
  </w:style>
  <w:style w:type="paragraph" w:styleId="22">
    <w:name w:val="List 2"/>
    <w:basedOn w:val="1"/>
    <w:qFormat/>
    <w:uiPriority w:val="0"/>
    <w:pPr>
      <w:widowControl/>
      <w:spacing w:before="20" w:after="20"/>
    </w:pPr>
    <w:rPr>
      <w:rFonts w:eastAsia="仿宋_GB2312"/>
      <w:kern w:val="0"/>
      <w:sz w:val="24"/>
      <w:szCs w:val="20"/>
    </w:rPr>
  </w:style>
  <w:style w:type="paragraph" w:styleId="23">
    <w:name w:val="Block Text"/>
    <w:basedOn w:val="1"/>
    <w:qFormat/>
    <w:uiPriority w:val="0"/>
    <w:pPr>
      <w:spacing w:after="120" w:line="360" w:lineRule="auto"/>
      <w:ind w:left="700" w:leftChars="700" w:right="700" w:rightChars="700"/>
    </w:pPr>
    <w:rPr>
      <w:rFonts w:ascii="楷体_GB2312" w:hAnsi="宋体" w:eastAsia="楷体_GB2312"/>
      <w:b/>
      <w:sz w:val="32"/>
      <w:szCs w:val="32"/>
    </w:rPr>
  </w:style>
  <w:style w:type="paragraph" w:styleId="24">
    <w:name w:val="toc 5"/>
    <w:basedOn w:val="1"/>
    <w:next w:val="1"/>
    <w:qFormat/>
    <w:uiPriority w:val="39"/>
    <w:pPr>
      <w:ind w:left="840"/>
      <w:jc w:val="left"/>
    </w:pPr>
    <w:rPr>
      <w:sz w:val="18"/>
      <w:szCs w:val="18"/>
    </w:rPr>
  </w:style>
  <w:style w:type="paragraph" w:styleId="25">
    <w:name w:val="toc 3"/>
    <w:basedOn w:val="1"/>
    <w:next w:val="1"/>
    <w:qFormat/>
    <w:uiPriority w:val="39"/>
    <w:pPr>
      <w:ind w:left="420"/>
      <w:jc w:val="left"/>
    </w:pPr>
    <w:rPr>
      <w:i/>
      <w:iCs/>
      <w:sz w:val="20"/>
      <w:szCs w:val="20"/>
    </w:rPr>
  </w:style>
  <w:style w:type="paragraph" w:styleId="26">
    <w:name w:val="Plain Text"/>
    <w:basedOn w:val="1"/>
    <w:link w:val="118"/>
    <w:qFormat/>
    <w:uiPriority w:val="0"/>
    <w:rPr>
      <w:rFonts w:ascii="宋体" w:hAnsi="Courier New"/>
      <w:szCs w:val="21"/>
    </w:rPr>
  </w:style>
  <w:style w:type="paragraph" w:styleId="27">
    <w:name w:val="toc 8"/>
    <w:basedOn w:val="1"/>
    <w:next w:val="1"/>
    <w:qFormat/>
    <w:uiPriority w:val="39"/>
    <w:pPr>
      <w:ind w:left="1470"/>
      <w:jc w:val="left"/>
    </w:pPr>
    <w:rPr>
      <w:sz w:val="18"/>
      <w:szCs w:val="18"/>
    </w:rPr>
  </w:style>
  <w:style w:type="paragraph" w:styleId="28">
    <w:name w:val="Date"/>
    <w:basedOn w:val="1"/>
    <w:next w:val="1"/>
    <w:link w:val="83"/>
    <w:qFormat/>
    <w:uiPriority w:val="0"/>
    <w:pPr>
      <w:ind w:left="100" w:leftChars="2500"/>
    </w:pPr>
    <w:rPr>
      <w:rFonts w:ascii="宋体" w:hAnsi="宋体"/>
      <w:kern w:val="0"/>
      <w:sz w:val="24"/>
      <w:szCs w:val="21"/>
    </w:rPr>
  </w:style>
  <w:style w:type="paragraph" w:styleId="29">
    <w:name w:val="Body Text Indent 2"/>
    <w:basedOn w:val="1"/>
    <w:link w:val="89"/>
    <w:qFormat/>
    <w:uiPriority w:val="0"/>
    <w:pPr>
      <w:spacing w:after="120" w:line="480" w:lineRule="auto"/>
      <w:ind w:left="420" w:leftChars="200"/>
    </w:pPr>
    <w:rPr>
      <w:kern w:val="0"/>
      <w:sz w:val="20"/>
    </w:rPr>
  </w:style>
  <w:style w:type="paragraph" w:styleId="30">
    <w:name w:val="endnote text"/>
    <w:basedOn w:val="1"/>
    <w:link w:val="72"/>
    <w:qFormat/>
    <w:uiPriority w:val="0"/>
    <w:pPr>
      <w:snapToGrid w:val="0"/>
      <w:jc w:val="left"/>
    </w:pPr>
  </w:style>
  <w:style w:type="paragraph" w:styleId="31">
    <w:name w:val="Balloon Text"/>
    <w:basedOn w:val="1"/>
    <w:link w:val="103"/>
    <w:qFormat/>
    <w:uiPriority w:val="0"/>
    <w:rPr>
      <w:sz w:val="18"/>
      <w:szCs w:val="18"/>
    </w:rPr>
  </w:style>
  <w:style w:type="paragraph" w:styleId="32">
    <w:name w:val="footer"/>
    <w:basedOn w:val="1"/>
    <w:link w:val="74"/>
    <w:qFormat/>
    <w:uiPriority w:val="99"/>
    <w:pPr>
      <w:tabs>
        <w:tab w:val="center" w:pos="4153"/>
        <w:tab w:val="right" w:pos="8306"/>
      </w:tabs>
      <w:snapToGrid w:val="0"/>
      <w:jc w:val="left"/>
    </w:pPr>
    <w:rPr>
      <w:sz w:val="18"/>
      <w:szCs w:val="18"/>
    </w:rPr>
  </w:style>
  <w:style w:type="paragraph" w:styleId="33">
    <w:name w:val="header"/>
    <w:basedOn w:val="1"/>
    <w:link w:val="133"/>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pPr>
      <w:spacing w:before="120" w:after="120"/>
      <w:jc w:val="left"/>
    </w:pPr>
    <w:rPr>
      <w:b/>
      <w:bCs/>
      <w:caps/>
      <w:sz w:val="20"/>
      <w:szCs w:val="20"/>
    </w:rPr>
  </w:style>
  <w:style w:type="paragraph" w:styleId="35">
    <w:name w:val="toc 4"/>
    <w:basedOn w:val="1"/>
    <w:next w:val="1"/>
    <w:qFormat/>
    <w:uiPriority w:val="39"/>
    <w:pPr>
      <w:ind w:left="630"/>
      <w:jc w:val="left"/>
    </w:pPr>
    <w:rPr>
      <w:sz w:val="18"/>
      <w:szCs w:val="18"/>
    </w:rPr>
  </w:style>
  <w:style w:type="paragraph" w:styleId="36">
    <w:name w:val="Subtitle"/>
    <w:basedOn w:val="1"/>
    <w:next w:val="1"/>
    <w:link w:val="139"/>
    <w:qFormat/>
    <w:uiPriority w:val="0"/>
    <w:pPr>
      <w:spacing w:line="360" w:lineRule="auto"/>
      <w:jc w:val="center"/>
      <w:outlineLvl w:val="1"/>
    </w:pPr>
    <w:rPr>
      <w:rFonts w:ascii="Cambria" w:hAnsi="Cambria"/>
      <w:b/>
      <w:bCs/>
      <w:kern w:val="28"/>
      <w:sz w:val="32"/>
      <w:szCs w:val="32"/>
    </w:rPr>
  </w:style>
  <w:style w:type="paragraph" w:styleId="37">
    <w:name w:val="footnote text"/>
    <w:basedOn w:val="1"/>
    <w:link w:val="113"/>
    <w:qFormat/>
    <w:uiPriority w:val="0"/>
    <w:pPr>
      <w:snapToGrid w:val="0"/>
      <w:jc w:val="left"/>
    </w:pPr>
    <w:rPr>
      <w:sz w:val="18"/>
      <w:szCs w:val="18"/>
    </w:rPr>
  </w:style>
  <w:style w:type="paragraph" w:styleId="38">
    <w:name w:val="toc 6"/>
    <w:basedOn w:val="1"/>
    <w:next w:val="1"/>
    <w:qFormat/>
    <w:uiPriority w:val="39"/>
    <w:pPr>
      <w:ind w:left="1050"/>
      <w:jc w:val="left"/>
    </w:pPr>
    <w:rPr>
      <w:sz w:val="18"/>
      <w:szCs w:val="18"/>
    </w:rPr>
  </w:style>
  <w:style w:type="paragraph" w:styleId="39">
    <w:name w:val="Body Text Indent 3"/>
    <w:basedOn w:val="1"/>
    <w:link w:val="106"/>
    <w:qFormat/>
    <w:uiPriority w:val="0"/>
    <w:pPr>
      <w:spacing w:line="440" w:lineRule="exact"/>
      <w:ind w:firstLine="480"/>
    </w:pPr>
    <w:rPr>
      <w:rFonts w:ascii="宋体" w:hAnsi="宋体"/>
      <w:kern w:val="0"/>
      <w:sz w:val="24"/>
    </w:rPr>
  </w:style>
  <w:style w:type="paragraph" w:styleId="40">
    <w:name w:val="toc 2"/>
    <w:basedOn w:val="1"/>
    <w:next w:val="1"/>
    <w:qFormat/>
    <w:uiPriority w:val="39"/>
    <w:pPr>
      <w:tabs>
        <w:tab w:val="right" w:leader="dot" w:pos="9282"/>
      </w:tabs>
      <w:spacing w:line="480" w:lineRule="auto"/>
      <w:ind w:left="210"/>
      <w:jc w:val="left"/>
    </w:pPr>
    <w:rPr>
      <w:smallCaps/>
      <w:sz w:val="24"/>
    </w:rPr>
  </w:style>
  <w:style w:type="paragraph" w:styleId="41">
    <w:name w:val="toc 9"/>
    <w:basedOn w:val="1"/>
    <w:next w:val="1"/>
    <w:qFormat/>
    <w:uiPriority w:val="39"/>
    <w:pPr>
      <w:ind w:left="1680"/>
      <w:jc w:val="left"/>
    </w:pPr>
    <w:rPr>
      <w:sz w:val="18"/>
      <w:szCs w:val="18"/>
    </w:rPr>
  </w:style>
  <w:style w:type="paragraph" w:styleId="42">
    <w:name w:val="Body Text 2"/>
    <w:basedOn w:val="1"/>
    <w:link w:val="101"/>
    <w:qFormat/>
    <w:uiPriority w:val="0"/>
    <w:pPr>
      <w:spacing w:line="240" w:lineRule="atLeast"/>
      <w:jc w:val="center"/>
    </w:pPr>
    <w:rPr>
      <w:kern w:val="0"/>
      <w:sz w:val="20"/>
      <w:szCs w:val="20"/>
    </w:rPr>
  </w:style>
  <w:style w:type="paragraph" w:styleId="43">
    <w:name w:val="HTML Preformatted"/>
    <w:basedOn w:val="1"/>
    <w:link w:val="11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4">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45">
    <w:name w:val="index 1"/>
    <w:basedOn w:val="1"/>
    <w:next w:val="1"/>
    <w:qFormat/>
    <w:uiPriority w:val="0"/>
  </w:style>
  <w:style w:type="paragraph" w:styleId="46">
    <w:name w:val="Title"/>
    <w:basedOn w:val="1"/>
    <w:link w:val="87"/>
    <w:qFormat/>
    <w:uiPriority w:val="0"/>
    <w:pPr>
      <w:tabs>
        <w:tab w:val="left" w:pos="360"/>
      </w:tabs>
      <w:spacing w:line="360" w:lineRule="auto"/>
      <w:ind w:left="360" w:hanging="360" w:hangingChars="200"/>
      <w:jc w:val="center"/>
    </w:pPr>
    <w:rPr>
      <w:rFonts w:ascii="宋体" w:hAnsi="宋体" w:eastAsia="楷体"/>
      <w:b/>
      <w:bCs/>
      <w:kern w:val="44"/>
      <w:sz w:val="84"/>
      <w:szCs w:val="44"/>
    </w:rPr>
  </w:style>
  <w:style w:type="paragraph" w:styleId="47">
    <w:name w:val="annotation subject"/>
    <w:basedOn w:val="18"/>
    <w:next w:val="18"/>
    <w:link w:val="93"/>
    <w:qFormat/>
    <w:uiPriority w:val="0"/>
    <w:rPr>
      <w:b/>
      <w:bCs/>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qFormat/>
    <w:uiPriority w:val="0"/>
    <w:rPr>
      <w:b/>
      <w:bCs/>
    </w:rPr>
  </w:style>
  <w:style w:type="character" w:styleId="52">
    <w:name w:val="endnote reference"/>
    <w:qFormat/>
    <w:uiPriority w:val="0"/>
    <w:rPr>
      <w:vertAlign w:val="superscript"/>
    </w:rPr>
  </w:style>
  <w:style w:type="character" w:styleId="53">
    <w:name w:val="page number"/>
    <w:basedOn w:val="50"/>
    <w:qFormat/>
    <w:uiPriority w:val="0"/>
  </w:style>
  <w:style w:type="character" w:styleId="54">
    <w:name w:val="FollowedHyperlink"/>
    <w:qFormat/>
    <w:uiPriority w:val="0"/>
    <w:rPr>
      <w:color w:val="800080"/>
      <w:u w:val="single"/>
    </w:rPr>
  </w:style>
  <w:style w:type="character" w:styleId="55">
    <w:name w:val="Emphasis"/>
    <w:qFormat/>
    <w:uiPriority w:val="0"/>
    <w:rPr>
      <w:rFonts w:ascii="宋体" w:eastAsia="宋体"/>
      <w:i/>
      <w:iCs/>
      <w:sz w:val="24"/>
    </w:rPr>
  </w:style>
  <w:style w:type="character" w:styleId="56">
    <w:name w:val="Hyperlink"/>
    <w:unhideWhenUsed/>
    <w:qFormat/>
    <w:uiPriority w:val="99"/>
    <w:rPr>
      <w:color w:val="0000FF"/>
      <w:u w:val="single"/>
    </w:rPr>
  </w:style>
  <w:style w:type="character" w:styleId="57">
    <w:name w:val="annotation reference"/>
    <w:qFormat/>
    <w:uiPriority w:val="0"/>
    <w:rPr>
      <w:sz w:val="21"/>
      <w:szCs w:val="21"/>
    </w:rPr>
  </w:style>
  <w:style w:type="character" w:styleId="58">
    <w:name w:val="footnote reference"/>
    <w:qFormat/>
    <w:uiPriority w:val="0"/>
    <w:rPr>
      <w:vertAlign w:val="superscript"/>
    </w:rPr>
  </w:style>
  <w:style w:type="character" w:customStyle="1" w:styleId="59">
    <w:name w:val="Char Char15"/>
    <w:qFormat/>
    <w:uiPriority w:val="0"/>
    <w:rPr>
      <w:rFonts w:ascii="Arial" w:hAnsi="Arial" w:eastAsia="黑体"/>
      <w:b/>
      <w:bCs/>
      <w:kern w:val="2"/>
      <w:sz w:val="28"/>
      <w:szCs w:val="28"/>
    </w:rPr>
  </w:style>
  <w:style w:type="character" w:customStyle="1" w:styleId="60">
    <w:name w:val="正文文本缩进 Char1"/>
    <w:link w:val="3"/>
    <w:qFormat/>
    <w:uiPriority w:val="99"/>
    <w:rPr>
      <w:kern w:val="2"/>
      <w:sz w:val="21"/>
      <w:szCs w:val="24"/>
    </w:rPr>
  </w:style>
  <w:style w:type="character" w:customStyle="1" w:styleId="61">
    <w:name w:val="标题 5 Char1"/>
    <w:link w:val="8"/>
    <w:qFormat/>
    <w:uiPriority w:val="0"/>
    <w:rPr>
      <w:b/>
      <w:bCs/>
      <w:kern w:val="2"/>
      <w:sz w:val="28"/>
      <w:szCs w:val="28"/>
    </w:rPr>
  </w:style>
  <w:style w:type="character" w:customStyle="1" w:styleId="62">
    <w:name w:val="文档结构图 Char2"/>
    <w:link w:val="17"/>
    <w:qFormat/>
    <w:uiPriority w:val="0"/>
    <w:rPr>
      <w:kern w:val="2"/>
      <w:sz w:val="21"/>
      <w:szCs w:val="24"/>
      <w:shd w:val="clear" w:color="auto" w:fill="000080"/>
    </w:rPr>
  </w:style>
  <w:style w:type="character" w:customStyle="1" w:styleId="63">
    <w:name w:val="标题 9 Char"/>
    <w:qFormat/>
    <w:uiPriority w:val="0"/>
    <w:rPr>
      <w:rFonts w:ascii="Arial" w:hAnsi="Arial" w:eastAsia="黑体"/>
      <w:kern w:val="2"/>
      <w:sz w:val="21"/>
      <w:szCs w:val="21"/>
    </w:rPr>
  </w:style>
  <w:style w:type="character" w:customStyle="1" w:styleId="64">
    <w:name w:val="正文文本缩进 2 Char"/>
    <w:qFormat/>
    <w:uiPriority w:val="0"/>
    <w:rPr>
      <w:szCs w:val="24"/>
    </w:rPr>
  </w:style>
  <w:style w:type="character" w:customStyle="1" w:styleId="65">
    <w:name w:val="xiaozi01 style46"/>
    <w:basedOn w:val="50"/>
    <w:qFormat/>
    <w:uiPriority w:val="0"/>
  </w:style>
  <w:style w:type="character" w:customStyle="1" w:styleId="66">
    <w:name w:val="Char Char8"/>
    <w:qFormat/>
    <w:uiPriority w:val="0"/>
    <w:rPr>
      <w:kern w:val="2"/>
      <w:sz w:val="21"/>
      <w:szCs w:val="24"/>
    </w:rPr>
  </w:style>
  <w:style w:type="character" w:customStyle="1" w:styleId="67">
    <w:name w:val="ca-4"/>
    <w:qFormat/>
    <w:uiPriority w:val="0"/>
  </w:style>
  <w:style w:type="character" w:customStyle="1" w:styleId="68">
    <w:name w:val="标题 2 Char"/>
    <w:qFormat/>
    <w:uiPriority w:val="0"/>
    <w:rPr>
      <w:rFonts w:ascii="Arial" w:hAnsi="Arial" w:eastAsia="方正兰亭超细黑简体" w:cs="Times New Roman"/>
      <w:b/>
      <w:bCs/>
      <w:sz w:val="28"/>
      <w:szCs w:val="32"/>
    </w:rPr>
  </w:style>
  <w:style w:type="character" w:customStyle="1" w:styleId="69">
    <w:name w:val="纯文本 字符1"/>
    <w:qFormat/>
    <w:uiPriority w:val="0"/>
    <w:rPr>
      <w:rFonts w:ascii="宋体" w:hAnsi="Courier New" w:eastAsia="宋体" w:cs="Courier New"/>
      <w:kern w:val="2"/>
      <w:sz w:val="21"/>
      <w:szCs w:val="21"/>
      <w:lang w:val="en-US" w:eastAsia="zh-CN" w:bidi="ar-SA"/>
    </w:rPr>
  </w:style>
  <w:style w:type="character" w:customStyle="1" w:styleId="70">
    <w:name w:val="Char Char12"/>
    <w:qFormat/>
    <w:uiPriority w:val="0"/>
    <w:rPr>
      <w:rFonts w:ascii="Arial" w:hAnsi="Arial" w:eastAsia="黑体"/>
      <w:sz w:val="24"/>
      <w:szCs w:val="24"/>
    </w:rPr>
  </w:style>
  <w:style w:type="character" w:customStyle="1" w:styleId="71">
    <w:name w:val="标题 1 Char"/>
    <w:qFormat/>
    <w:uiPriority w:val="0"/>
    <w:rPr>
      <w:rFonts w:eastAsia="黑体"/>
      <w:b/>
      <w:bCs/>
      <w:kern w:val="44"/>
      <w:sz w:val="52"/>
      <w:szCs w:val="44"/>
    </w:rPr>
  </w:style>
  <w:style w:type="character" w:customStyle="1" w:styleId="72">
    <w:name w:val="尾注文本 Char1"/>
    <w:link w:val="30"/>
    <w:qFormat/>
    <w:uiPriority w:val="0"/>
    <w:rPr>
      <w:kern w:val="2"/>
      <w:sz w:val="21"/>
      <w:szCs w:val="24"/>
    </w:rPr>
  </w:style>
  <w:style w:type="character" w:customStyle="1" w:styleId="73">
    <w:name w:val="标题 4 Char"/>
    <w:link w:val="7"/>
    <w:qFormat/>
    <w:uiPriority w:val="0"/>
    <w:rPr>
      <w:rFonts w:cs="Times New Roman"/>
      <w:b/>
      <w:bCs/>
      <w:spacing w:val="-2"/>
      <w:sz w:val="24"/>
    </w:rPr>
  </w:style>
  <w:style w:type="character" w:customStyle="1" w:styleId="74">
    <w:name w:val="页脚 Char2"/>
    <w:link w:val="32"/>
    <w:qFormat/>
    <w:uiPriority w:val="99"/>
    <w:rPr>
      <w:kern w:val="2"/>
      <w:sz w:val="18"/>
      <w:szCs w:val="18"/>
    </w:rPr>
  </w:style>
  <w:style w:type="character" w:customStyle="1" w:styleId="75">
    <w:name w:val="标题 1 Char1"/>
    <w:link w:val="4"/>
    <w:qFormat/>
    <w:uiPriority w:val="0"/>
    <w:rPr>
      <w:rFonts w:eastAsia="黑体"/>
      <w:b/>
      <w:bCs/>
      <w:kern w:val="44"/>
      <w:sz w:val="36"/>
      <w:szCs w:val="44"/>
    </w:rPr>
  </w:style>
  <w:style w:type="character" w:customStyle="1" w:styleId="76">
    <w:name w:val="纯文本 Char1"/>
    <w:qFormat/>
    <w:uiPriority w:val="0"/>
    <w:rPr>
      <w:rFonts w:ascii="宋体" w:hAnsi="Courier New" w:eastAsia="宋体" w:cs="Courier New"/>
      <w:kern w:val="2"/>
      <w:sz w:val="21"/>
      <w:szCs w:val="21"/>
      <w:lang w:val="en-US" w:eastAsia="zh-CN" w:bidi="ar-SA"/>
    </w:rPr>
  </w:style>
  <w:style w:type="character" w:customStyle="1" w:styleId="77">
    <w:name w:val="标题 5 Char"/>
    <w:qFormat/>
    <w:uiPriority w:val="0"/>
    <w:rPr>
      <w:b/>
      <w:bCs/>
      <w:kern w:val="2"/>
      <w:sz w:val="28"/>
      <w:szCs w:val="28"/>
    </w:rPr>
  </w:style>
  <w:style w:type="character" w:customStyle="1" w:styleId="78">
    <w:name w:val="副标题 Char"/>
    <w:qFormat/>
    <w:uiPriority w:val="0"/>
    <w:rPr>
      <w:rFonts w:ascii="Cambria" w:hAnsi="Cambria"/>
      <w:b/>
      <w:bCs/>
      <w:kern w:val="28"/>
      <w:sz w:val="32"/>
      <w:szCs w:val="32"/>
    </w:rPr>
  </w:style>
  <w:style w:type="character" w:customStyle="1" w:styleId="79">
    <w:name w:val="标题 Char"/>
    <w:qFormat/>
    <w:uiPriority w:val="0"/>
    <w:rPr>
      <w:rFonts w:ascii="宋体" w:hAnsi="宋体" w:eastAsia="黑体"/>
      <w:b/>
      <w:bCs/>
      <w:kern w:val="44"/>
      <w:sz w:val="52"/>
      <w:szCs w:val="44"/>
    </w:rPr>
  </w:style>
  <w:style w:type="character" w:customStyle="1" w:styleId="80">
    <w:name w:val="标题 6 Char1"/>
    <w:link w:val="9"/>
    <w:qFormat/>
    <w:uiPriority w:val="0"/>
    <w:rPr>
      <w:rFonts w:ascii="Cambria" w:hAnsi="Cambria" w:cs="Times New Roman"/>
      <w:b/>
      <w:bCs/>
      <w:kern w:val="2"/>
      <w:sz w:val="24"/>
      <w:szCs w:val="24"/>
    </w:rPr>
  </w:style>
  <w:style w:type="character" w:customStyle="1" w:styleId="81">
    <w:name w:val="unnamed11"/>
    <w:qFormat/>
    <w:uiPriority w:val="0"/>
    <w:rPr>
      <w:sz w:val="21"/>
      <w:szCs w:val="21"/>
    </w:rPr>
  </w:style>
  <w:style w:type="character" w:customStyle="1" w:styleId="82">
    <w:name w:val="Char Char16"/>
    <w:qFormat/>
    <w:uiPriority w:val="0"/>
    <w:rPr>
      <w:b/>
      <w:bCs/>
      <w:kern w:val="2"/>
      <w:sz w:val="32"/>
      <w:szCs w:val="32"/>
    </w:rPr>
  </w:style>
  <w:style w:type="character" w:customStyle="1" w:styleId="83">
    <w:name w:val="日期 Char1"/>
    <w:link w:val="28"/>
    <w:qFormat/>
    <w:uiPriority w:val="0"/>
    <w:rPr>
      <w:rFonts w:ascii="宋体" w:hAnsi="宋体"/>
      <w:sz w:val="24"/>
      <w:szCs w:val="21"/>
    </w:rPr>
  </w:style>
  <w:style w:type="character" w:customStyle="1" w:styleId="84">
    <w:name w:val="Char Char13"/>
    <w:qFormat/>
    <w:uiPriority w:val="0"/>
    <w:rPr>
      <w:b/>
      <w:bCs/>
      <w:sz w:val="24"/>
      <w:szCs w:val="24"/>
    </w:rPr>
  </w:style>
  <w:style w:type="character" w:customStyle="1" w:styleId="85">
    <w:name w:val="使用正文 Char"/>
    <w:link w:val="86"/>
    <w:qFormat/>
    <w:uiPriority w:val="0"/>
    <w:rPr>
      <w:rFonts w:eastAsia="仿宋_GB2312"/>
      <w:sz w:val="24"/>
      <w:lang w:val="en-US" w:eastAsia="zh-CN" w:bidi="ar-SA"/>
    </w:rPr>
  </w:style>
  <w:style w:type="paragraph" w:customStyle="1" w:styleId="86">
    <w:name w:val="使用正文"/>
    <w:link w:val="85"/>
    <w:qFormat/>
    <w:uiPriority w:val="0"/>
    <w:pPr>
      <w:widowControl w:val="0"/>
      <w:adjustRightInd w:val="0"/>
      <w:snapToGrid w:val="0"/>
      <w:spacing w:line="288" w:lineRule="auto"/>
      <w:ind w:firstLine="482"/>
      <w:jc w:val="both"/>
    </w:pPr>
    <w:rPr>
      <w:rFonts w:ascii="Calibri" w:hAnsi="Calibri" w:eastAsia="仿宋_GB2312" w:cs="Times New Roman"/>
      <w:sz w:val="24"/>
      <w:lang w:val="en-US" w:eastAsia="zh-CN" w:bidi="ar-SA"/>
    </w:rPr>
  </w:style>
  <w:style w:type="character" w:customStyle="1" w:styleId="87">
    <w:name w:val="标题 Char1"/>
    <w:link w:val="46"/>
    <w:qFormat/>
    <w:uiPriority w:val="0"/>
    <w:rPr>
      <w:rFonts w:ascii="宋体" w:hAnsi="宋体" w:eastAsia="楷体" w:cs="Times New Roman"/>
      <w:b/>
      <w:bCs/>
      <w:kern w:val="44"/>
      <w:sz w:val="84"/>
      <w:szCs w:val="44"/>
    </w:rPr>
  </w:style>
  <w:style w:type="character" w:customStyle="1" w:styleId="88">
    <w:name w:val="标题 6 Char"/>
    <w:qFormat/>
    <w:uiPriority w:val="0"/>
    <w:rPr>
      <w:rFonts w:ascii="Cambria" w:hAnsi="Cambria"/>
      <w:b/>
      <w:bCs/>
      <w:kern w:val="2"/>
      <w:sz w:val="24"/>
      <w:szCs w:val="24"/>
    </w:rPr>
  </w:style>
  <w:style w:type="character" w:customStyle="1" w:styleId="89">
    <w:name w:val="正文文本缩进 2 Char1"/>
    <w:link w:val="29"/>
    <w:qFormat/>
    <w:uiPriority w:val="0"/>
    <w:rPr>
      <w:szCs w:val="24"/>
    </w:rPr>
  </w:style>
  <w:style w:type="character" w:customStyle="1" w:styleId="90">
    <w:name w:val="脚注文本 Char"/>
    <w:qFormat/>
    <w:uiPriority w:val="0"/>
    <w:rPr>
      <w:rFonts w:eastAsia="宋体"/>
      <w:kern w:val="2"/>
      <w:sz w:val="18"/>
      <w:szCs w:val="18"/>
      <w:lang w:val="en-US" w:eastAsia="zh-CN" w:bidi="ar-SA"/>
    </w:rPr>
  </w:style>
  <w:style w:type="character" w:customStyle="1" w:styleId="91">
    <w:name w:val="内容 Char"/>
    <w:link w:val="92"/>
    <w:qFormat/>
    <w:uiPriority w:val="0"/>
    <w:rPr>
      <w:szCs w:val="24"/>
    </w:rPr>
  </w:style>
  <w:style w:type="paragraph" w:customStyle="1" w:styleId="92">
    <w:name w:val="内容"/>
    <w:basedOn w:val="1"/>
    <w:link w:val="91"/>
    <w:qFormat/>
    <w:uiPriority w:val="0"/>
    <w:pPr>
      <w:spacing w:line="480" w:lineRule="exact"/>
      <w:ind w:firstLine="200" w:firstLineChars="200"/>
    </w:pPr>
    <w:rPr>
      <w:kern w:val="0"/>
      <w:sz w:val="20"/>
    </w:rPr>
  </w:style>
  <w:style w:type="character" w:customStyle="1" w:styleId="93">
    <w:name w:val="批注主题 Char1"/>
    <w:link w:val="47"/>
    <w:qFormat/>
    <w:uiPriority w:val="0"/>
    <w:rPr>
      <w:b/>
      <w:bCs/>
      <w:kern w:val="2"/>
      <w:sz w:val="21"/>
      <w:szCs w:val="24"/>
    </w:rPr>
  </w:style>
  <w:style w:type="character" w:customStyle="1" w:styleId="94">
    <w:name w:val="正文文本 3 Char"/>
    <w:qFormat/>
    <w:uiPriority w:val="0"/>
    <w:rPr>
      <w:rFonts w:ascii="Calibri" w:hAnsi="Calibri"/>
      <w:kern w:val="2"/>
      <w:sz w:val="16"/>
      <w:szCs w:val="16"/>
    </w:rPr>
  </w:style>
  <w:style w:type="character" w:customStyle="1" w:styleId="95">
    <w:name w:val="标题 8 Char1"/>
    <w:link w:val="11"/>
    <w:qFormat/>
    <w:uiPriority w:val="0"/>
    <w:rPr>
      <w:rFonts w:ascii="Cambria" w:hAnsi="Cambria" w:cs="Times New Roman"/>
      <w:kern w:val="2"/>
      <w:sz w:val="24"/>
      <w:szCs w:val="24"/>
    </w:rPr>
  </w:style>
  <w:style w:type="character" w:customStyle="1" w:styleId="96">
    <w:name w:val="标题 7 Char"/>
    <w:qFormat/>
    <w:uiPriority w:val="0"/>
    <w:rPr>
      <w:b/>
      <w:bCs/>
      <w:sz w:val="24"/>
      <w:szCs w:val="24"/>
    </w:rPr>
  </w:style>
  <w:style w:type="character" w:customStyle="1" w:styleId="97">
    <w:name w:val="Char Char5"/>
    <w:qFormat/>
    <w:uiPriority w:val="0"/>
    <w:rPr>
      <w:kern w:val="2"/>
      <w:sz w:val="18"/>
      <w:szCs w:val="18"/>
    </w:rPr>
  </w:style>
  <w:style w:type="character" w:customStyle="1" w:styleId="98">
    <w:name w:val="正文文本缩进 3 Char"/>
    <w:qFormat/>
    <w:uiPriority w:val="0"/>
    <w:rPr>
      <w:rFonts w:ascii="宋体" w:hAnsi="宋体"/>
      <w:sz w:val="24"/>
      <w:szCs w:val="24"/>
    </w:rPr>
  </w:style>
  <w:style w:type="character" w:customStyle="1" w:styleId="99">
    <w:name w:val="unnamed2"/>
    <w:qFormat/>
    <w:uiPriority w:val="0"/>
  </w:style>
  <w:style w:type="character" w:customStyle="1" w:styleId="100">
    <w:name w:val="尾注文本 Char"/>
    <w:qFormat/>
    <w:uiPriority w:val="99"/>
    <w:rPr>
      <w:kern w:val="2"/>
      <w:sz w:val="21"/>
      <w:szCs w:val="24"/>
    </w:rPr>
  </w:style>
  <w:style w:type="character" w:customStyle="1" w:styleId="101">
    <w:name w:val="正文文本 2 Char1"/>
    <w:basedOn w:val="50"/>
    <w:link w:val="42"/>
    <w:qFormat/>
    <w:uiPriority w:val="0"/>
  </w:style>
  <w:style w:type="character" w:customStyle="1" w:styleId="102">
    <w:name w:val="Char Char11"/>
    <w:qFormat/>
    <w:uiPriority w:val="0"/>
    <w:rPr>
      <w:rFonts w:ascii="Arial" w:hAnsi="Arial" w:eastAsia="黑体"/>
      <w:sz w:val="21"/>
      <w:szCs w:val="21"/>
    </w:rPr>
  </w:style>
  <w:style w:type="character" w:customStyle="1" w:styleId="103">
    <w:name w:val="批注框文本 Char1"/>
    <w:link w:val="31"/>
    <w:qFormat/>
    <w:uiPriority w:val="0"/>
    <w:rPr>
      <w:kern w:val="2"/>
      <w:sz w:val="18"/>
      <w:szCs w:val="18"/>
    </w:rPr>
  </w:style>
  <w:style w:type="character" w:customStyle="1" w:styleId="104">
    <w:name w:val="纯文本 Char2"/>
    <w:qFormat/>
    <w:uiPriority w:val="0"/>
    <w:rPr>
      <w:rFonts w:ascii="宋体" w:hAnsi="Courier New" w:eastAsia="宋体" w:cs="Courier New"/>
      <w:kern w:val="2"/>
      <w:sz w:val="21"/>
      <w:szCs w:val="21"/>
      <w:lang w:val="en-US" w:eastAsia="zh-CN" w:bidi="ar-SA"/>
    </w:rPr>
  </w:style>
  <w:style w:type="character" w:customStyle="1" w:styleId="105">
    <w:name w:val="日期 Char"/>
    <w:qFormat/>
    <w:uiPriority w:val="0"/>
    <w:rPr>
      <w:rFonts w:ascii="宋体" w:hAnsi="宋体"/>
      <w:sz w:val="24"/>
      <w:szCs w:val="21"/>
    </w:rPr>
  </w:style>
  <w:style w:type="character" w:customStyle="1" w:styleId="106">
    <w:name w:val="正文文本缩进 3 Char1"/>
    <w:link w:val="39"/>
    <w:qFormat/>
    <w:uiPriority w:val="0"/>
    <w:rPr>
      <w:rFonts w:ascii="宋体" w:hAnsi="宋体"/>
      <w:sz w:val="24"/>
      <w:szCs w:val="24"/>
    </w:rPr>
  </w:style>
  <w:style w:type="character" w:customStyle="1" w:styleId="107">
    <w:name w:val="Char Char"/>
    <w:qFormat/>
    <w:uiPriority w:val="0"/>
    <w:rPr>
      <w:kern w:val="2"/>
      <w:sz w:val="21"/>
      <w:szCs w:val="24"/>
    </w:rPr>
  </w:style>
  <w:style w:type="character" w:customStyle="1" w:styleId="108">
    <w:name w:val="ca-3"/>
    <w:basedOn w:val="50"/>
    <w:qFormat/>
    <w:uiPriority w:val="0"/>
  </w:style>
  <w:style w:type="character" w:customStyle="1" w:styleId="109">
    <w:name w:val="正文文本 Char1"/>
    <w:link w:val="21"/>
    <w:qFormat/>
    <w:uiPriority w:val="1"/>
    <w:rPr>
      <w:rFonts w:ascii="宋体" w:hAnsi="宋体" w:cs="宋体"/>
      <w:kern w:val="2"/>
      <w:sz w:val="24"/>
      <w:szCs w:val="24"/>
    </w:rPr>
  </w:style>
  <w:style w:type="character" w:customStyle="1" w:styleId="110">
    <w:name w:val="批注主题 Char"/>
    <w:qFormat/>
    <w:uiPriority w:val="0"/>
    <w:rPr>
      <w:b/>
      <w:bCs/>
      <w:kern w:val="2"/>
      <w:sz w:val="21"/>
      <w:szCs w:val="24"/>
    </w:rPr>
  </w:style>
  <w:style w:type="character" w:customStyle="1" w:styleId="111">
    <w:name w:val="标题 3 Char"/>
    <w:link w:val="6"/>
    <w:qFormat/>
    <w:uiPriority w:val="9"/>
    <w:rPr>
      <w:rFonts w:eastAsia="黑体"/>
      <w:b/>
      <w:bCs/>
      <w:sz w:val="28"/>
      <w:szCs w:val="32"/>
    </w:rPr>
  </w:style>
  <w:style w:type="character" w:customStyle="1" w:styleId="112">
    <w:name w:val="正文缩进 Char"/>
    <w:link w:val="15"/>
    <w:qFormat/>
    <w:uiPriority w:val="0"/>
    <w:rPr>
      <w:kern w:val="2"/>
      <w:sz w:val="21"/>
    </w:rPr>
  </w:style>
  <w:style w:type="character" w:customStyle="1" w:styleId="113">
    <w:name w:val="脚注文本 Char2"/>
    <w:link w:val="37"/>
    <w:qFormat/>
    <w:uiPriority w:val="0"/>
    <w:rPr>
      <w:rFonts w:eastAsia="宋体"/>
      <w:kern w:val="2"/>
      <w:sz w:val="18"/>
      <w:szCs w:val="18"/>
      <w:lang w:val="en-US" w:eastAsia="zh-CN" w:bidi="ar-SA"/>
    </w:rPr>
  </w:style>
  <w:style w:type="character" w:customStyle="1" w:styleId="114">
    <w:name w:val="页脚 Char"/>
    <w:qFormat/>
    <w:uiPriority w:val="99"/>
    <w:rPr>
      <w:kern w:val="2"/>
      <w:sz w:val="18"/>
      <w:szCs w:val="18"/>
    </w:rPr>
  </w:style>
  <w:style w:type="character" w:customStyle="1" w:styleId="115">
    <w:name w:val="文档结构图 Char"/>
    <w:qFormat/>
    <w:uiPriority w:val="0"/>
    <w:rPr>
      <w:kern w:val="2"/>
      <w:sz w:val="21"/>
      <w:szCs w:val="24"/>
      <w:shd w:val="clear" w:color="auto" w:fill="000080"/>
    </w:rPr>
  </w:style>
  <w:style w:type="character" w:customStyle="1" w:styleId="116">
    <w:name w:val="Char Char6"/>
    <w:qFormat/>
    <w:uiPriority w:val="0"/>
    <w:rPr>
      <w:kern w:val="2"/>
      <w:sz w:val="16"/>
      <w:szCs w:val="16"/>
    </w:rPr>
  </w:style>
  <w:style w:type="character" w:customStyle="1" w:styleId="117">
    <w:name w:val="fontstyle01"/>
    <w:qFormat/>
    <w:uiPriority w:val="0"/>
    <w:rPr>
      <w:rFonts w:hint="eastAsia" w:ascii="宋体" w:hAnsi="宋体" w:eastAsia="宋体"/>
      <w:color w:val="000000"/>
      <w:sz w:val="28"/>
      <w:szCs w:val="28"/>
    </w:rPr>
  </w:style>
  <w:style w:type="character" w:customStyle="1" w:styleId="118">
    <w:name w:val="纯文本 Char"/>
    <w:link w:val="26"/>
    <w:qFormat/>
    <w:uiPriority w:val="0"/>
    <w:rPr>
      <w:rFonts w:ascii="宋体" w:hAnsi="Courier New" w:cs="Courier New"/>
      <w:kern w:val="2"/>
      <w:sz w:val="21"/>
      <w:szCs w:val="21"/>
    </w:rPr>
  </w:style>
  <w:style w:type="character" w:customStyle="1" w:styleId="119">
    <w:name w:val="HTML 预设格式 Char"/>
    <w:link w:val="43"/>
    <w:qFormat/>
    <w:uiPriority w:val="99"/>
    <w:rPr>
      <w:rFonts w:ascii="宋体" w:hAnsi="宋体" w:cs="宋体"/>
      <w:sz w:val="24"/>
      <w:szCs w:val="24"/>
    </w:rPr>
  </w:style>
  <w:style w:type="character" w:customStyle="1" w:styleId="120">
    <w:name w:val="正文文本缩进 Char"/>
    <w:qFormat/>
    <w:uiPriority w:val="0"/>
    <w:rPr>
      <w:kern w:val="2"/>
      <w:sz w:val="21"/>
      <w:szCs w:val="24"/>
    </w:rPr>
  </w:style>
  <w:style w:type="character" w:customStyle="1" w:styleId="121">
    <w:name w:val="页眉 Char"/>
    <w:qFormat/>
    <w:uiPriority w:val="0"/>
    <w:rPr>
      <w:kern w:val="2"/>
      <w:sz w:val="18"/>
      <w:szCs w:val="18"/>
    </w:rPr>
  </w:style>
  <w:style w:type="character" w:customStyle="1" w:styleId="122">
    <w:name w:val="14-6/6-2题"/>
    <w:qFormat/>
    <w:uiPriority w:val="0"/>
    <w:rPr>
      <w:spacing w:val="0"/>
      <w:kern w:val="28"/>
      <w:position w:val="-4"/>
      <w:sz w:val="15"/>
    </w:rPr>
  </w:style>
  <w:style w:type="character" w:customStyle="1" w:styleId="123">
    <w:name w:val="fontstyle21"/>
    <w:qFormat/>
    <w:uiPriority w:val="0"/>
    <w:rPr>
      <w:rFonts w:hint="default" w:ascii="Calibri-Bold" w:hAnsi="Calibri-Bold"/>
      <w:b/>
      <w:bCs/>
      <w:color w:val="000000"/>
      <w:sz w:val="18"/>
      <w:szCs w:val="18"/>
    </w:rPr>
  </w:style>
  <w:style w:type="character" w:customStyle="1" w:styleId="124">
    <w:name w:val="Char Char3"/>
    <w:qFormat/>
    <w:uiPriority w:val="0"/>
    <w:rPr>
      <w:rFonts w:ascii="仿宋_GB2312" w:eastAsia="仿宋_GB2312"/>
      <w:kern w:val="2"/>
      <w:sz w:val="28"/>
      <w:szCs w:val="24"/>
    </w:rPr>
  </w:style>
  <w:style w:type="character" w:customStyle="1" w:styleId="125">
    <w:name w:val="普通文字 Char Char"/>
    <w:qFormat/>
    <w:uiPriority w:val="0"/>
    <w:rPr>
      <w:rFonts w:ascii="宋体" w:hAnsi="Courier New" w:eastAsia="宋体" w:cs="Courier New"/>
      <w:kern w:val="2"/>
      <w:sz w:val="21"/>
      <w:szCs w:val="21"/>
      <w:lang w:val="en-US" w:eastAsia="zh-CN" w:bidi="ar-SA"/>
    </w:rPr>
  </w:style>
  <w:style w:type="character" w:customStyle="1" w:styleId="126">
    <w:name w:val="标题 8 Char"/>
    <w:qFormat/>
    <w:uiPriority w:val="0"/>
    <w:rPr>
      <w:rFonts w:ascii="Cambria" w:hAnsi="Cambria"/>
      <w:kern w:val="2"/>
      <w:sz w:val="24"/>
      <w:szCs w:val="24"/>
    </w:rPr>
  </w:style>
  <w:style w:type="character" w:customStyle="1" w:styleId="127">
    <w:name w:val="Char Char17"/>
    <w:qFormat/>
    <w:uiPriority w:val="0"/>
    <w:rPr>
      <w:rFonts w:ascii="Arial" w:hAnsi="Arial" w:eastAsia="黑体"/>
      <w:b/>
      <w:bCs/>
      <w:kern w:val="2"/>
      <w:sz w:val="32"/>
      <w:szCs w:val="32"/>
    </w:rPr>
  </w:style>
  <w:style w:type="character" w:customStyle="1" w:styleId="128">
    <w:name w:val="Char Char4"/>
    <w:qFormat/>
    <w:uiPriority w:val="0"/>
    <w:rPr>
      <w:kern w:val="2"/>
      <w:sz w:val="21"/>
      <w:szCs w:val="24"/>
      <w:shd w:val="clear" w:color="auto" w:fill="000080"/>
    </w:rPr>
  </w:style>
  <w:style w:type="character" w:customStyle="1" w:styleId="129">
    <w:name w:val="正文文字4 Char Char"/>
    <w:qFormat/>
    <w:uiPriority w:val="0"/>
    <w:rPr>
      <w:kern w:val="2"/>
      <w:sz w:val="21"/>
      <w:szCs w:val="24"/>
    </w:rPr>
  </w:style>
  <w:style w:type="character" w:customStyle="1" w:styleId="130">
    <w:name w:val="font161"/>
    <w:qFormat/>
    <w:uiPriority w:val="0"/>
    <w:rPr>
      <w:b/>
      <w:bCs/>
      <w:sz w:val="32"/>
      <w:szCs w:val="32"/>
    </w:rPr>
  </w:style>
  <w:style w:type="character" w:customStyle="1" w:styleId="131">
    <w:name w:val="fontstyle31"/>
    <w:qFormat/>
    <w:uiPriority w:val="0"/>
    <w:rPr>
      <w:rFonts w:hint="default" w:ascii="Calibri" w:hAnsi="Calibri"/>
      <w:color w:val="000000"/>
      <w:sz w:val="18"/>
      <w:szCs w:val="18"/>
    </w:rPr>
  </w:style>
  <w:style w:type="character" w:customStyle="1" w:styleId="132">
    <w:name w:val="批注文字 Char"/>
    <w:qFormat/>
    <w:uiPriority w:val="0"/>
    <w:rPr>
      <w:kern w:val="2"/>
      <w:sz w:val="21"/>
      <w:szCs w:val="24"/>
    </w:rPr>
  </w:style>
  <w:style w:type="character" w:customStyle="1" w:styleId="133">
    <w:name w:val="页眉 Char1"/>
    <w:link w:val="33"/>
    <w:qFormat/>
    <w:uiPriority w:val="99"/>
    <w:rPr>
      <w:kern w:val="2"/>
      <w:sz w:val="18"/>
      <w:szCs w:val="18"/>
    </w:rPr>
  </w:style>
  <w:style w:type="character" w:customStyle="1" w:styleId="134">
    <w:name w:val="手改 Char Char"/>
    <w:qFormat/>
    <w:uiPriority w:val="0"/>
    <w:rPr>
      <w:kern w:val="2"/>
      <w:sz w:val="21"/>
      <w:szCs w:val="24"/>
    </w:rPr>
  </w:style>
  <w:style w:type="character" w:customStyle="1" w:styleId="135">
    <w:name w:val="Char Char14"/>
    <w:qFormat/>
    <w:uiPriority w:val="0"/>
    <w:rPr>
      <w:rFonts w:ascii="Arial" w:hAnsi="Arial" w:eastAsia="黑体"/>
      <w:b/>
      <w:bCs/>
      <w:sz w:val="24"/>
      <w:szCs w:val="24"/>
    </w:rPr>
  </w:style>
  <w:style w:type="character" w:customStyle="1" w:styleId="136">
    <w:name w:val="ca-7"/>
    <w:qFormat/>
    <w:uiPriority w:val="0"/>
  </w:style>
  <w:style w:type="character" w:customStyle="1" w:styleId="137">
    <w:name w:val="批注文字 Char1"/>
    <w:link w:val="18"/>
    <w:qFormat/>
    <w:uiPriority w:val="0"/>
    <w:rPr>
      <w:kern w:val="2"/>
      <w:sz w:val="21"/>
      <w:szCs w:val="24"/>
    </w:rPr>
  </w:style>
  <w:style w:type="character" w:customStyle="1" w:styleId="138">
    <w:name w:val="Char Char10"/>
    <w:qFormat/>
    <w:uiPriority w:val="0"/>
    <w:rPr>
      <w:rFonts w:eastAsia="宋体"/>
      <w:b/>
      <w:bCs/>
      <w:kern w:val="2"/>
      <w:sz w:val="32"/>
      <w:szCs w:val="32"/>
      <w:lang w:val="en-US" w:eastAsia="zh-CN" w:bidi="ar-SA"/>
    </w:rPr>
  </w:style>
  <w:style w:type="character" w:customStyle="1" w:styleId="139">
    <w:name w:val="副标题 Char1"/>
    <w:link w:val="36"/>
    <w:qFormat/>
    <w:uiPriority w:val="0"/>
    <w:rPr>
      <w:rFonts w:ascii="Cambria" w:hAnsi="Cambria" w:cs="Times New Roman"/>
      <w:b/>
      <w:bCs/>
      <w:kern w:val="28"/>
      <w:sz w:val="32"/>
      <w:szCs w:val="32"/>
    </w:rPr>
  </w:style>
  <w:style w:type="character" w:customStyle="1" w:styleId="140">
    <w:name w:val="正文首行缩进 2 Char1"/>
    <w:basedOn w:val="60"/>
    <w:link w:val="2"/>
    <w:qFormat/>
    <w:uiPriority w:val="0"/>
    <w:rPr>
      <w:kern w:val="2"/>
      <w:sz w:val="21"/>
      <w:szCs w:val="24"/>
    </w:rPr>
  </w:style>
  <w:style w:type="character" w:customStyle="1" w:styleId="141">
    <w:name w:val="正文文本 + 间距 0 pt"/>
    <w:qFormat/>
    <w:uiPriority w:val="0"/>
    <w:rPr>
      <w:rFonts w:ascii="MingLiU" w:hAnsi="Times New Roman" w:eastAsia="MingLiU" w:cs="MingLiU"/>
      <w:spacing w:val="-10"/>
      <w:kern w:val="0"/>
      <w:sz w:val="21"/>
      <w:szCs w:val="21"/>
      <w:u w:val="none"/>
      <w:lang w:val="en-US" w:eastAsia="en-US"/>
    </w:rPr>
  </w:style>
  <w:style w:type="character" w:customStyle="1" w:styleId="142">
    <w:name w:val="页脚 Char1"/>
    <w:qFormat/>
    <w:uiPriority w:val="99"/>
    <w:rPr>
      <w:rFonts w:ascii="Times New Roman" w:hAnsi="Times New Roman" w:eastAsia="宋体" w:cs="Times New Roman"/>
      <w:sz w:val="18"/>
      <w:szCs w:val="18"/>
    </w:rPr>
  </w:style>
  <w:style w:type="character" w:customStyle="1" w:styleId="143">
    <w:name w:val="标题 9 Char1"/>
    <w:link w:val="12"/>
    <w:qFormat/>
    <w:uiPriority w:val="0"/>
    <w:rPr>
      <w:rFonts w:ascii="Arial" w:hAnsi="Arial" w:eastAsia="黑体" w:cs="Times New Roman"/>
      <w:kern w:val="2"/>
      <w:sz w:val="21"/>
      <w:szCs w:val="21"/>
    </w:rPr>
  </w:style>
  <w:style w:type="character" w:customStyle="1" w:styleId="144">
    <w:name w:val="正文首行缩进 2 Char2"/>
    <w:qFormat/>
    <w:uiPriority w:val="0"/>
    <w:rPr>
      <w:kern w:val="2"/>
      <w:sz w:val="21"/>
    </w:rPr>
  </w:style>
  <w:style w:type="character" w:customStyle="1" w:styleId="145">
    <w:name w:val="正文首行缩进 2 Char"/>
    <w:qFormat/>
    <w:uiPriority w:val="0"/>
    <w:rPr>
      <w:kern w:val="2"/>
      <w:sz w:val="21"/>
    </w:rPr>
  </w:style>
  <w:style w:type="character" w:customStyle="1" w:styleId="146">
    <w:name w:val="标题 2 Char1"/>
    <w:link w:val="5"/>
    <w:qFormat/>
    <w:uiPriority w:val="0"/>
    <w:rPr>
      <w:rFonts w:ascii="Arial" w:hAnsi="Arial" w:eastAsia="黑体" w:cs="Times New Roman"/>
      <w:b/>
      <w:bCs/>
      <w:sz w:val="28"/>
      <w:szCs w:val="32"/>
    </w:rPr>
  </w:style>
  <w:style w:type="character" w:customStyle="1" w:styleId="147">
    <w:name w:val="apple-converted-space"/>
    <w:basedOn w:val="50"/>
    <w:qFormat/>
    <w:uiPriority w:val="0"/>
  </w:style>
  <w:style w:type="character" w:customStyle="1" w:styleId="148">
    <w:name w:val="Char Char2"/>
    <w:qFormat/>
    <w:uiPriority w:val="0"/>
    <w:rPr>
      <w:rFonts w:ascii="宋体" w:hAnsi="Courier New"/>
      <w:color w:val="000000"/>
      <w:kern w:val="2"/>
      <w:sz w:val="21"/>
    </w:rPr>
  </w:style>
  <w:style w:type="character" w:customStyle="1" w:styleId="149">
    <w:name w:val="Char Char9"/>
    <w:qFormat/>
    <w:uiPriority w:val="0"/>
    <w:rPr>
      <w:rFonts w:eastAsia="宋体"/>
      <w:b/>
      <w:bCs/>
      <w:kern w:val="2"/>
      <w:sz w:val="32"/>
      <w:szCs w:val="32"/>
      <w:lang w:val="en-US" w:eastAsia="zh-CN" w:bidi="ar-SA"/>
    </w:rPr>
  </w:style>
  <w:style w:type="character" w:customStyle="1" w:styleId="150">
    <w:name w:val="正文文本 2 Char"/>
    <w:basedOn w:val="50"/>
    <w:qFormat/>
    <w:uiPriority w:val="0"/>
  </w:style>
  <w:style w:type="character" w:customStyle="1" w:styleId="151">
    <w:name w:val="纯文本 字符"/>
    <w:qFormat/>
    <w:uiPriority w:val="0"/>
    <w:rPr>
      <w:rFonts w:ascii="Courier New" w:hAnsi="Courier New"/>
      <w:kern w:val="2"/>
      <w:sz w:val="21"/>
    </w:rPr>
  </w:style>
  <w:style w:type="character" w:customStyle="1" w:styleId="152">
    <w:name w:val="正文文本 3 Char1"/>
    <w:link w:val="20"/>
    <w:qFormat/>
    <w:uiPriority w:val="0"/>
    <w:rPr>
      <w:rFonts w:ascii="Calibri" w:hAnsi="Calibri"/>
      <w:kern w:val="2"/>
      <w:sz w:val="16"/>
      <w:szCs w:val="16"/>
    </w:rPr>
  </w:style>
  <w:style w:type="character" w:customStyle="1" w:styleId="153">
    <w:name w:val="标题 7 Char1"/>
    <w:link w:val="10"/>
    <w:qFormat/>
    <w:uiPriority w:val="0"/>
    <w:rPr>
      <w:b/>
      <w:bCs/>
      <w:sz w:val="24"/>
      <w:szCs w:val="24"/>
    </w:rPr>
  </w:style>
  <w:style w:type="character" w:customStyle="1" w:styleId="154">
    <w:name w:val="文档结构图 Char1"/>
    <w:qFormat/>
    <w:uiPriority w:val="0"/>
    <w:rPr>
      <w:rFonts w:ascii="宋体"/>
      <w:kern w:val="2"/>
      <w:sz w:val="18"/>
      <w:szCs w:val="18"/>
    </w:rPr>
  </w:style>
  <w:style w:type="character" w:customStyle="1" w:styleId="155">
    <w:name w:val="样式1 Char"/>
    <w:basedOn w:val="73"/>
    <w:link w:val="156"/>
    <w:qFormat/>
    <w:uiPriority w:val="0"/>
    <w:rPr>
      <w:rFonts w:cs="Times New Roman"/>
      <w:spacing w:val="-2"/>
      <w:sz w:val="24"/>
    </w:rPr>
  </w:style>
  <w:style w:type="paragraph" w:customStyle="1" w:styleId="156">
    <w:name w:val="样式1"/>
    <w:basedOn w:val="7"/>
    <w:link w:val="155"/>
    <w:qFormat/>
    <w:uiPriority w:val="0"/>
  </w:style>
  <w:style w:type="character" w:customStyle="1" w:styleId="157">
    <w:name w:val="正文文本 Char"/>
    <w:qFormat/>
    <w:uiPriority w:val="0"/>
    <w:rPr>
      <w:rFonts w:ascii="宋体" w:hAnsi="宋体" w:cs="宋体"/>
      <w:kern w:val="2"/>
      <w:sz w:val="24"/>
      <w:szCs w:val="24"/>
    </w:rPr>
  </w:style>
  <w:style w:type="character" w:customStyle="1" w:styleId="158">
    <w:name w:val="普通文字 Char1"/>
    <w:qFormat/>
    <w:uiPriority w:val="0"/>
    <w:rPr>
      <w:rFonts w:ascii="宋体" w:hAnsi="Courier New" w:eastAsia="宋体" w:cs="Courier New"/>
      <w:kern w:val="2"/>
      <w:sz w:val="21"/>
      <w:szCs w:val="21"/>
      <w:lang w:val="en-US" w:eastAsia="zh-CN" w:bidi="ar-SA"/>
    </w:rPr>
  </w:style>
  <w:style w:type="character" w:customStyle="1" w:styleId="159">
    <w:name w:val="脚注文本 Char1"/>
    <w:qFormat/>
    <w:uiPriority w:val="0"/>
    <w:rPr>
      <w:rFonts w:eastAsia="宋体"/>
      <w:kern w:val="2"/>
      <w:sz w:val="18"/>
      <w:szCs w:val="18"/>
      <w:lang w:val="en-US" w:eastAsia="zh-CN" w:bidi="ar-SA"/>
    </w:rPr>
  </w:style>
  <w:style w:type="character" w:customStyle="1" w:styleId="160">
    <w:name w:val="脚注文本 字符"/>
    <w:qFormat/>
    <w:uiPriority w:val="0"/>
    <w:rPr>
      <w:rFonts w:eastAsia="宋体"/>
      <w:kern w:val="2"/>
      <w:sz w:val="18"/>
      <w:szCs w:val="18"/>
      <w:lang w:val="en-US" w:eastAsia="zh-CN" w:bidi="ar-SA"/>
    </w:rPr>
  </w:style>
  <w:style w:type="character" w:customStyle="1" w:styleId="161">
    <w:name w:val="批注框文本 Char"/>
    <w:qFormat/>
    <w:uiPriority w:val="0"/>
    <w:rPr>
      <w:kern w:val="2"/>
      <w:sz w:val="18"/>
      <w:szCs w:val="18"/>
    </w:rPr>
  </w:style>
  <w:style w:type="character" w:customStyle="1" w:styleId="162">
    <w:name w:val="Char Char7"/>
    <w:qFormat/>
    <w:uiPriority w:val="0"/>
    <w:rPr>
      <w:rFonts w:ascii="Arial" w:hAnsi="Arial"/>
      <w:b/>
      <w:bCs/>
      <w:sz w:val="32"/>
    </w:rPr>
  </w:style>
  <w:style w:type="character" w:customStyle="1" w:styleId="163">
    <w:name w:val="Char Char1"/>
    <w:qFormat/>
    <w:uiPriority w:val="0"/>
    <w:rPr>
      <w:rFonts w:hint="eastAsia" w:ascii="宋体" w:hAnsi="宋体" w:eastAsia="宋体"/>
      <w:kern w:val="2"/>
      <w:sz w:val="18"/>
      <w:szCs w:val="18"/>
      <w:lang w:val="en-US" w:eastAsia="zh-CN" w:bidi="ar-SA"/>
    </w:rPr>
  </w:style>
  <w:style w:type="paragraph" w:customStyle="1" w:styleId="164">
    <w:name w:val="CM43"/>
    <w:basedOn w:val="165"/>
    <w:next w:val="165"/>
    <w:qFormat/>
    <w:uiPriority w:val="0"/>
    <w:rPr>
      <w:rFonts w:ascii="HiddenHorzOCl" w:eastAsia="HiddenHorzOCl" w:cs="Times New Roman"/>
      <w:color w:val="auto"/>
    </w:rPr>
  </w:style>
  <w:style w:type="paragraph" w:customStyle="1" w:styleId="16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6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Char Char Char Char Char Char1 Char Char Char Char Char Char Char Char Char Char Char Char Char"/>
    <w:basedOn w:val="1"/>
    <w:qFormat/>
    <w:uiPriority w:val="0"/>
  </w:style>
  <w:style w:type="paragraph" w:customStyle="1" w:styleId="168">
    <w:name w:val="CM9"/>
    <w:basedOn w:val="165"/>
    <w:next w:val="165"/>
    <w:qFormat/>
    <w:uiPriority w:val="0"/>
    <w:rPr>
      <w:rFonts w:ascii="HiddenHorzOCl" w:eastAsia="HiddenHorzOCl" w:cs="Times New Roman"/>
      <w:color w:val="auto"/>
    </w:rPr>
  </w:style>
  <w:style w:type="paragraph" w:customStyle="1" w:styleId="169">
    <w:name w:val="目录 31"/>
    <w:basedOn w:val="1"/>
    <w:qFormat/>
    <w:uiPriority w:val="1"/>
    <w:pPr>
      <w:spacing w:before="178"/>
      <w:ind w:left="428"/>
      <w:jc w:val="left"/>
    </w:pPr>
    <w:rPr>
      <w:rFonts w:ascii="宋体" w:hAnsi="宋体" w:cs="宋体"/>
      <w:kern w:val="0"/>
      <w:sz w:val="20"/>
      <w:szCs w:val="20"/>
      <w:lang w:eastAsia="en-US"/>
    </w:rPr>
  </w:style>
  <w:style w:type="paragraph" w:customStyle="1" w:styleId="170">
    <w:name w:val="xl31"/>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71">
    <w:name w:val="CM4"/>
    <w:basedOn w:val="165"/>
    <w:next w:val="165"/>
    <w:qFormat/>
    <w:uiPriority w:val="0"/>
    <w:pPr>
      <w:spacing w:line="613" w:lineRule="atLeast"/>
    </w:pPr>
    <w:rPr>
      <w:rFonts w:ascii="HiddenHorzOCl" w:eastAsia="HiddenHorzOCl" w:cs="Times New Roman"/>
      <w:color w:val="auto"/>
    </w:rPr>
  </w:style>
  <w:style w:type="paragraph" w:customStyle="1" w:styleId="172">
    <w:name w:val="标题 81"/>
    <w:basedOn w:val="1"/>
    <w:qFormat/>
    <w:uiPriority w:val="1"/>
    <w:pPr>
      <w:spacing w:before="4"/>
      <w:ind w:left="1669"/>
      <w:jc w:val="left"/>
      <w:outlineLvl w:val="8"/>
    </w:pPr>
    <w:rPr>
      <w:rFonts w:ascii="黑体" w:hAnsi="黑体" w:eastAsia="黑体" w:cs="黑体"/>
      <w:kern w:val="0"/>
      <w:sz w:val="31"/>
      <w:szCs w:val="31"/>
      <w:u w:val="single" w:color="000000"/>
      <w:lang w:eastAsia="en-US"/>
    </w:rPr>
  </w:style>
  <w:style w:type="paragraph" w:customStyle="1" w:styleId="173">
    <w:name w:val="条款"/>
    <w:basedOn w:val="1"/>
    <w:qFormat/>
    <w:uiPriority w:val="0"/>
    <w:pPr>
      <w:spacing w:line="480" w:lineRule="exact"/>
    </w:pPr>
    <w:rPr>
      <w:rFonts w:eastAsia="黑体"/>
      <w:sz w:val="24"/>
      <w:szCs w:val="18"/>
    </w:rPr>
  </w:style>
  <w:style w:type="paragraph" w:styleId="174">
    <w:name w:val="List Paragraph"/>
    <w:basedOn w:val="1"/>
    <w:qFormat/>
    <w:uiPriority w:val="34"/>
    <w:pPr>
      <w:spacing w:line="360" w:lineRule="auto"/>
      <w:ind w:firstLine="420"/>
    </w:pPr>
    <w:rPr>
      <w:sz w:val="24"/>
      <w:szCs w:val="20"/>
    </w:rPr>
  </w:style>
  <w:style w:type="paragraph" w:customStyle="1" w:styleId="175">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76">
    <w:name w:val="CM37"/>
    <w:basedOn w:val="165"/>
    <w:next w:val="165"/>
    <w:qFormat/>
    <w:uiPriority w:val="0"/>
    <w:rPr>
      <w:rFonts w:ascii="HiddenHorzOCl" w:eastAsia="HiddenHorzOCl" w:cs="Times New Roman"/>
      <w:color w:val="auto"/>
    </w:rPr>
  </w:style>
  <w:style w:type="paragraph" w:customStyle="1" w:styleId="177">
    <w:name w:val="Char2"/>
    <w:basedOn w:val="1"/>
    <w:qFormat/>
    <w:uiPriority w:val="0"/>
    <w:pPr>
      <w:tabs>
        <w:tab w:val="left" w:pos="360"/>
      </w:tabs>
      <w:spacing w:line="360" w:lineRule="auto"/>
    </w:pPr>
    <w:rPr>
      <w:sz w:val="24"/>
    </w:rPr>
  </w:style>
  <w:style w:type="paragraph" w:customStyle="1" w:styleId="178">
    <w:name w:val="Char Char Char Char1"/>
    <w:basedOn w:val="1"/>
    <w:qFormat/>
    <w:uiPriority w:val="0"/>
    <w:pPr>
      <w:adjustRightInd w:val="0"/>
      <w:snapToGrid w:val="0"/>
      <w:spacing w:line="360" w:lineRule="auto"/>
      <w:ind w:firstLine="200"/>
      <w:jc w:val="left"/>
    </w:pPr>
    <w:rPr>
      <w:rFonts w:ascii="仿宋_GB2312" w:hAnsi="仿宋_GB2312" w:eastAsia="仿宋_GB2312"/>
      <w:sz w:val="24"/>
    </w:rPr>
  </w:style>
  <w:style w:type="paragraph" w:customStyle="1" w:styleId="179">
    <w:name w:val="CM15"/>
    <w:basedOn w:val="165"/>
    <w:next w:val="165"/>
    <w:qFormat/>
    <w:uiPriority w:val="0"/>
    <w:rPr>
      <w:rFonts w:ascii="HiddenHorzOCl" w:eastAsia="HiddenHorzOCl" w:cs="Times New Roman"/>
      <w:color w:val="auto"/>
    </w:rPr>
  </w:style>
  <w:style w:type="paragraph" w:customStyle="1" w:styleId="180">
    <w:name w:val="CM31"/>
    <w:basedOn w:val="165"/>
    <w:next w:val="165"/>
    <w:qFormat/>
    <w:uiPriority w:val="0"/>
    <w:rPr>
      <w:rFonts w:ascii="HiddenHorzOCl" w:eastAsia="HiddenHorzOCl" w:cs="Times New Roman"/>
      <w:color w:val="auto"/>
    </w:rPr>
  </w:style>
  <w:style w:type="paragraph" w:customStyle="1" w:styleId="181">
    <w:name w:val="CM42"/>
    <w:basedOn w:val="165"/>
    <w:next w:val="165"/>
    <w:qFormat/>
    <w:uiPriority w:val="0"/>
    <w:rPr>
      <w:rFonts w:ascii="HiddenHorzOCl" w:eastAsia="HiddenHorzOCl" w:cs="Times New Roman"/>
      <w:color w:val="auto"/>
    </w:rPr>
  </w:style>
  <w:style w:type="paragraph" w:customStyle="1" w:styleId="182">
    <w:name w:val="Char Char Char Char"/>
    <w:basedOn w:val="1"/>
    <w:qFormat/>
    <w:uiPriority w:val="0"/>
    <w:rPr>
      <w:szCs w:val="21"/>
    </w:rPr>
  </w:style>
  <w:style w:type="paragraph" w:customStyle="1" w:styleId="183">
    <w:name w:val="CM1"/>
    <w:basedOn w:val="165"/>
    <w:next w:val="165"/>
    <w:qFormat/>
    <w:uiPriority w:val="0"/>
    <w:rPr>
      <w:rFonts w:ascii="HiddenHorzOCl" w:eastAsia="HiddenHorzOCl" w:cs="Times New Roman"/>
      <w:color w:val="auto"/>
    </w:rPr>
  </w:style>
  <w:style w:type="paragraph" w:customStyle="1" w:styleId="184">
    <w:name w:val="CM5"/>
    <w:basedOn w:val="165"/>
    <w:next w:val="165"/>
    <w:qFormat/>
    <w:uiPriority w:val="0"/>
    <w:rPr>
      <w:rFonts w:ascii="HiddenHorzOCl" w:eastAsia="HiddenHorzOCl" w:cs="Times New Roman"/>
      <w:color w:val="auto"/>
    </w:rPr>
  </w:style>
  <w:style w:type="paragraph" w:customStyle="1" w:styleId="185">
    <w:name w:val="Char Char Char Char Char"/>
    <w:basedOn w:val="1"/>
    <w:qFormat/>
    <w:uiPriority w:val="0"/>
    <w:pPr>
      <w:adjustRightInd w:val="0"/>
      <w:snapToGrid w:val="0"/>
      <w:spacing w:line="360" w:lineRule="auto"/>
      <w:ind w:firstLine="200"/>
      <w:jc w:val="left"/>
    </w:pPr>
    <w:rPr>
      <w:rFonts w:ascii="仿宋_GB2312" w:hAnsi="仿宋_GB2312" w:eastAsia="仿宋_GB2312"/>
      <w:sz w:val="24"/>
    </w:rPr>
  </w:style>
  <w:style w:type="paragraph" w:customStyle="1" w:styleId="186">
    <w:name w:val="CM20"/>
    <w:basedOn w:val="165"/>
    <w:next w:val="165"/>
    <w:qFormat/>
    <w:uiPriority w:val="0"/>
    <w:pPr>
      <w:spacing w:line="576" w:lineRule="atLeast"/>
    </w:pPr>
    <w:rPr>
      <w:rFonts w:ascii="HiddenHorzOCl" w:eastAsia="HiddenHorzOCl" w:cs="Times New Roman"/>
      <w:color w:val="auto"/>
    </w:rPr>
  </w:style>
  <w:style w:type="paragraph" w:customStyle="1" w:styleId="187">
    <w:name w:val="CM8"/>
    <w:basedOn w:val="165"/>
    <w:next w:val="165"/>
    <w:qFormat/>
    <w:uiPriority w:val="0"/>
    <w:rPr>
      <w:rFonts w:ascii="HiddenHorzOCl" w:eastAsia="HiddenHorzOCl" w:cs="Times New Roman"/>
      <w:color w:val="auto"/>
    </w:rPr>
  </w:style>
  <w:style w:type="paragraph" w:customStyle="1" w:styleId="18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
    <w:name w:val="表格文字"/>
    <w:basedOn w:val="1"/>
    <w:qFormat/>
    <w:uiPriority w:val="0"/>
    <w:pPr>
      <w:adjustRightInd w:val="0"/>
      <w:spacing w:line="420" w:lineRule="atLeast"/>
      <w:jc w:val="left"/>
      <w:textAlignment w:val="baseline"/>
    </w:pPr>
    <w:rPr>
      <w:kern w:val="0"/>
      <w:szCs w:val="20"/>
    </w:rPr>
  </w:style>
  <w:style w:type="paragraph" w:customStyle="1" w:styleId="190">
    <w:name w:val="片头题目"/>
    <w:basedOn w:val="26"/>
    <w:next w:val="46"/>
    <w:qFormat/>
    <w:uiPriority w:val="0"/>
    <w:pPr>
      <w:spacing w:line="360" w:lineRule="auto"/>
      <w:ind w:left="495"/>
      <w:jc w:val="center"/>
    </w:pPr>
    <w:rPr>
      <w:rFonts w:hAnsi="宋体"/>
      <w:b/>
      <w:kern w:val="0"/>
      <w:sz w:val="32"/>
    </w:rPr>
  </w:style>
  <w:style w:type="paragraph" w:customStyle="1" w:styleId="191">
    <w:name w:val="Char Char Char Char Char Char1 Char Char Char Char Char Char Char"/>
    <w:basedOn w:val="1"/>
    <w:qFormat/>
    <w:uiPriority w:val="0"/>
  </w:style>
  <w:style w:type="paragraph" w:customStyle="1" w:styleId="192">
    <w:name w:val="CM29"/>
    <w:basedOn w:val="165"/>
    <w:next w:val="165"/>
    <w:qFormat/>
    <w:uiPriority w:val="0"/>
    <w:rPr>
      <w:rFonts w:ascii="HiddenHorzOCl" w:eastAsia="HiddenHorzOCl" w:cs="Times New Roman"/>
      <w:color w:val="auto"/>
    </w:rPr>
  </w:style>
  <w:style w:type="paragraph" w:customStyle="1" w:styleId="193">
    <w:name w:val="样式4"/>
    <w:basedOn w:val="33"/>
    <w:qFormat/>
    <w:uiPriority w:val="0"/>
    <w:pPr>
      <w:jc w:val="both"/>
    </w:pPr>
    <w:rPr>
      <w:sz w:val="21"/>
    </w:rPr>
  </w:style>
  <w:style w:type="paragraph" w:customStyle="1" w:styleId="194">
    <w:name w:val="Char Char5 Char Char Char Char"/>
    <w:basedOn w:val="1"/>
    <w:qFormat/>
    <w:uiPriority w:val="0"/>
  </w:style>
  <w:style w:type="paragraph" w:customStyle="1" w:styleId="195">
    <w:name w:val="zh正文"/>
    <w:basedOn w:val="1"/>
    <w:qFormat/>
    <w:uiPriority w:val="0"/>
    <w:pPr>
      <w:spacing w:line="360" w:lineRule="exact"/>
      <w:ind w:firstLine="560" w:firstLineChars="200"/>
    </w:pPr>
    <w:rPr>
      <w:rFonts w:ascii="宋体" w:hAnsi="宋体"/>
      <w:sz w:val="28"/>
      <w:szCs w:val="20"/>
    </w:rPr>
  </w:style>
  <w:style w:type="paragraph" w:customStyle="1" w:styleId="196">
    <w:name w:val="2"/>
    <w:basedOn w:val="1"/>
    <w:next w:val="26"/>
    <w:qFormat/>
    <w:uiPriority w:val="0"/>
    <w:rPr>
      <w:rFonts w:ascii="宋体" w:hAnsi="Roman 10cpi"/>
      <w:szCs w:val="20"/>
    </w:rPr>
  </w:style>
  <w:style w:type="paragraph" w:customStyle="1" w:styleId="197">
    <w:name w:val="修订1"/>
    <w:qFormat/>
    <w:uiPriority w:val="0"/>
    <w:rPr>
      <w:rFonts w:ascii="Calibri" w:hAnsi="Calibri" w:eastAsia="宋体" w:cs="Times New Roman"/>
      <w:kern w:val="2"/>
      <w:sz w:val="21"/>
      <w:szCs w:val="24"/>
      <w:lang w:val="en-US" w:eastAsia="zh-CN" w:bidi="ar-SA"/>
    </w:rPr>
  </w:style>
  <w:style w:type="paragraph" w:customStyle="1" w:styleId="198">
    <w:name w:val="标题 31"/>
    <w:basedOn w:val="1"/>
    <w:qFormat/>
    <w:uiPriority w:val="1"/>
    <w:pPr>
      <w:spacing w:line="661" w:lineRule="exact"/>
      <w:ind w:left="57"/>
      <w:jc w:val="left"/>
      <w:outlineLvl w:val="3"/>
    </w:pPr>
    <w:rPr>
      <w:rFonts w:ascii="黑体" w:hAnsi="黑体" w:eastAsia="黑体" w:cs="黑体"/>
      <w:kern w:val="0"/>
      <w:sz w:val="56"/>
      <w:szCs w:val="56"/>
      <w:lang w:eastAsia="en-US"/>
    </w:rPr>
  </w:style>
  <w:style w:type="paragraph" w:customStyle="1" w:styleId="199">
    <w:name w:val="标题二"/>
    <w:basedOn w:val="5"/>
    <w:qFormat/>
    <w:uiPriority w:val="0"/>
    <w:pPr>
      <w:keepLines w:val="0"/>
      <w:jc w:val="center"/>
    </w:pPr>
    <w:rPr>
      <w:rFonts w:ascii="Cambria" w:hAnsi="Cambria" w:eastAsia="宋体"/>
      <w:b w:val="0"/>
      <w:kern w:val="2"/>
      <w:sz w:val="44"/>
      <w:szCs w:val="24"/>
    </w:rPr>
  </w:style>
  <w:style w:type="paragraph" w:customStyle="1" w:styleId="200">
    <w:name w:val="样式2"/>
    <w:basedOn w:val="2"/>
    <w:qFormat/>
    <w:uiPriority w:val="0"/>
    <w:pPr>
      <w:tabs>
        <w:tab w:val="left" w:pos="360"/>
      </w:tabs>
      <w:spacing w:after="0" w:line="480" w:lineRule="exact"/>
      <w:ind w:left="360" w:leftChars="0" w:hanging="360" w:hangingChars="200"/>
    </w:pPr>
    <w:rPr>
      <w:rFonts w:eastAsia="黑体"/>
      <w:kern w:val="0"/>
      <w:sz w:val="24"/>
      <w:szCs w:val="18"/>
    </w:rPr>
  </w:style>
  <w:style w:type="paragraph" w:customStyle="1" w:styleId="201">
    <w:name w:val="Char Char Char Char Char Char2 Char"/>
    <w:basedOn w:val="1"/>
    <w:qFormat/>
    <w:uiPriority w:val="0"/>
    <w:pPr>
      <w:spacing w:line="360" w:lineRule="auto"/>
      <w:ind w:firstLine="200" w:firstLineChars="200"/>
    </w:pPr>
    <w:rPr>
      <w:rFonts w:ascii="宋体" w:hAnsi="宋体" w:cs="宋体"/>
      <w:sz w:val="24"/>
    </w:rPr>
  </w:style>
  <w:style w:type="paragraph" w:customStyle="1" w:styleId="202">
    <w:name w:val="CM39"/>
    <w:basedOn w:val="165"/>
    <w:next w:val="165"/>
    <w:qFormat/>
    <w:uiPriority w:val="0"/>
    <w:rPr>
      <w:rFonts w:ascii="HiddenHorzOCl" w:eastAsia="HiddenHorzOCl" w:cs="Times New Roman"/>
      <w:color w:val="auto"/>
    </w:rPr>
  </w:style>
  <w:style w:type="paragraph" w:customStyle="1" w:styleId="203">
    <w:name w:val="CM19"/>
    <w:basedOn w:val="165"/>
    <w:next w:val="165"/>
    <w:qFormat/>
    <w:uiPriority w:val="0"/>
    <w:pPr>
      <w:spacing w:line="588" w:lineRule="atLeast"/>
    </w:pPr>
    <w:rPr>
      <w:rFonts w:ascii="HiddenHorzOCl" w:eastAsia="HiddenHorzOCl" w:cs="Times New Roman"/>
      <w:color w:val="auto"/>
    </w:rPr>
  </w:style>
  <w:style w:type="paragraph" w:customStyle="1" w:styleId="204">
    <w:name w:val="CM17"/>
    <w:basedOn w:val="165"/>
    <w:next w:val="165"/>
    <w:qFormat/>
    <w:uiPriority w:val="0"/>
    <w:pPr>
      <w:spacing w:line="573" w:lineRule="atLeast"/>
    </w:pPr>
    <w:rPr>
      <w:rFonts w:ascii="HiddenHorzOCl" w:eastAsia="HiddenHorzOCl" w:cs="Times New Roman"/>
      <w:color w:val="auto"/>
    </w:rPr>
  </w:style>
  <w:style w:type="paragraph" w:customStyle="1" w:styleId="205">
    <w:name w:val="CM13"/>
    <w:basedOn w:val="165"/>
    <w:next w:val="165"/>
    <w:qFormat/>
    <w:uiPriority w:val="0"/>
    <w:pPr>
      <w:spacing w:line="583" w:lineRule="atLeast"/>
    </w:pPr>
    <w:rPr>
      <w:rFonts w:ascii="HiddenHorzOCl" w:eastAsia="HiddenHorzOCl" w:cs="Times New Roman"/>
      <w:color w:val="auto"/>
    </w:rPr>
  </w:style>
  <w:style w:type="paragraph" w:customStyle="1" w:styleId="206">
    <w:name w:val="CM41"/>
    <w:basedOn w:val="165"/>
    <w:next w:val="165"/>
    <w:qFormat/>
    <w:uiPriority w:val="0"/>
    <w:rPr>
      <w:rFonts w:ascii="HiddenHorzOCl" w:eastAsia="HiddenHorzOCl" w:cs="Times New Roman"/>
      <w:color w:val="auto"/>
    </w:rPr>
  </w:style>
  <w:style w:type="paragraph" w:customStyle="1" w:styleId="207">
    <w:name w:val="目录 11"/>
    <w:basedOn w:val="1"/>
    <w:qFormat/>
    <w:uiPriority w:val="1"/>
    <w:pPr>
      <w:spacing w:before="162"/>
      <w:ind w:left="29"/>
      <w:jc w:val="center"/>
    </w:pPr>
    <w:rPr>
      <w:rFonts w:ascii="黑体" w:hAnsi="黑体" w:eastAsia="黑体" w:cs="黑体"/>
      <w:kern w:val="0"/>
      <w:sz w:val="20"/>
      <w:szCs w:val="20"/>
      <w:lang w:eastAsia="en-US"/>
    </w:rPr>
  </w:style>
  <w:style w:type="paragraph" w:customStyle="1" w:styleId="208">
    <w:name w:val="CM27"/>
    <w:basedOn w:val="165"/>
    <w:next w:val="165"/>
    <w:qFormat/>
    <w:uiPriority w:val="0"/>
    <w:rPr>
      <w:rFonts w:ascii="HiddenHorzOCl" w:eastAsia="HiddenHorzOCl" w:cs="Times New Roman"/>
      <w:color w:val="auto"/>
    </w:rPr>
  </w:style>
  <w:style w:type="paragraph" w:customStyle="1" w:styleId="209">
    <w:name w:val="Revision"/>
    <w:unhideWhenUsed/>
    <w:qFormat/>
    <w:uiPriority w:val="99"/>
    <w:rPr>
      <w:rFonts w:ascii="Calibri" w:hAnsi="Calibri" w:eastAsia="宋体" w:cs="Times New Roman"/>
      <w:kern w:val="2"/>
      <w:sz w:val="21"/>
      <w:szCs w:val="24"/>
      <w:lang w:val="en-US" w:eastAsia="zh-CN" w:bidi="ar-SA"/>
    </w:rPr>
  </w:style>
  <w:style w:type="paragraph" w:customStyle="1" w:styleId="210">
    <w:name w:val="样式 标题 1 + 黑体 三号 非加粗 居中 段前: 6 磅 段后: 6 磅 行距: 固定值 20 磅"/>
    <w:basedOn w:val="4"/>
    <w:qFormat/>
    <w:uiPriority w:val="0"/>
    <w:pPr>
      <w:spacing w:before="120" w:after="120" w:line="400" w:lineRule="exact"/>
    </w:pPr>
    <w:rPr>
      <w:rFonts w:ascii="黑体" w:hAnsi="黑体"/>
      <w:b w:val="0"/>
      <w:bCs w:val="0"/>
      <w:szCs w:val="20"/>
    </w:rPr>
  </w:style>
  <w:style w:type="paragraph" w:customStyle="1" w:styleId="211">
    <w:name w:val="CM38"/>
    <w:basedOn w:val="165"/>
    <w:next w:val="165"/>
    <w:qFormat/>
    <w:uiPriority w:val="0"/>
    <w:rPr>
      <w:rFonts w:ascii="HiddenHorzOCl" w:eastAsia="HiddenHorzOCl" w:cs="Times New Roman"/>
      <w:color w:val="auto"/>
    </w:rPr>
  </w:style>
  <w:style w:type="paragraph" w:customStyle="1" w:styleId="212">
    <w:name w:val="CM16"/>
    <w:basedOn w:val="165"/>
    <w:next w:val="165"/>
    <w:qFormat/>
    <w:uiPriority w:val="0"/>
    <w:rPr>
      <w:rFonts w:ascii="HiddenHorzOCl" w:eastAsia="HiddenHorzOCl" w:cs="Times New Roman"/>
      <w:color w:val="auto"/>
    </w:rPr>
  </w:style>
  <w:style w:type="paragraph" w:customStyle="1" w:styleId="213">
    <w:name w:val="样式 悬挂缩进: 2.07 字符 行距: 固定值 20 磅"/>
    <w:basedOn w:val="1"/>
    <w:qFormat/>
    <w:uiPriority w:val="0"/>
    <w:pPr>
      <w:spacing w:line="400" w:lineRule="exact"/>
    </w:pPr>
    <w:rPr>
      <w:rFonts w:ascii="宋体" w:hAnsi="宋体"/>
      <w:color w:val="FF0000"/>
      <w:sz w:val="24"/>
    </w:rPr>
  </w:style>
  <w:style w:type="paragraph" w:customStyle="1" w:styleId="214">
    <w:name w:val="CM36"/>
    <w:basedOn w:val="165"/>
    <w:next w:val="165"/>
    <w:qFormat/>
    <w:uiPriority w:val="0"/>
    <w:rPr>
      <w:rFonts w:ascii="HiddenHorzOCl" w:eastAsia="HiddenHorzOCl" w:cs="Times New Roman"/>
      <w:color w:val="auto"/>
    </w:rPr>
  </w:style>
  <w:style w:type="paragraph" w:customStyle="1" w:styleId="215">
    <w:name w:val="CM28"/>
    <w:basedOn w:val="165"/>
    <w:next w:val="165"/>
    <w:qFormat/>
    <w:uiPriority w:val="0"/>
    <w:rPr>
      <w:rFonts w:ascii="HiddenHorzOCl" w:eastAsia="HiddenHorzOCl" w:cs="Times New Roman"/>
      <w:color w:val="auto"/>
    </w:rPr>
  </w:style>
  <w:style w:type="paragraph" w:customStyle="1" w:styleId="216">
    <w:name w:val="超级链接"/>
    <w:basedOn w:val="1"/>
    <w:qFormat/>
    <w:uiPriority w:val="0"/>
  </w:style>
  <w:style w:type="paragraph" w:customStyle="1" w:styleId="217">
    <w:name w:val="Char1"/>
    <w:basedOn w:val="14"/>
    <w:qFormat/>
    <w:uiPriority w:val="0"/>
    <w:pPr>
      <w:tabs>
        <w:tab w:val="right" w:pos="-2120"/>
      </w:tabs>
      <w:snapToGrid w:val="0"/>
    </w:pPr>
    <w:rPr>
      <w:rFonts w:ascii="Tahoma" w:hAnsi="Tahoma" w:eastAsia="仿宋_GB2312"/>
      <w:spacing w:val="6"/>
      <w:sz w:val="28"/>
    </w:rPr>
  </w:style>
  <w:style w:type="paragraph" w:customStyle="1" w:styleId="218">
    <w:name w:val="CM14"/>
    <w:basedOn w:val="165"/>
    <w:next w:val="165"/>
    <w:qFormat/>
    <w:uiPriority w:val="0"/>
    <w:pPr>
      <w:spacing w:line="573" w:lineRule="atLeast"/>
    </w:pPr>
    <w:rPr>
      <w:rFonts w:ascii="HiddenHorzOCl" w:eastAsia="HiddenHorzOCl" w:cs="Times New Roman"/>
      <w:color w:val="auto"/>
    </w:rPr>
  </w:style>
  <w:style w:type="paragraph" w:customStyle="1" w:styleId="219">
    <w:name w:val="标题一"/>
    <w:basedOn w:val="4"/>
    <w:qFormat/>
    <w:uiPriority w:val="0"/>
    <w:pPr>
      <w:keepLines w:val="0"/>
      <w:spacing w:before="100" w:beforeAutospacing="1" w:after="100" w:afterAutospacing="1" w:line="360" w:lineRule="auto"/>
    </w:pPr>
    <w:rPr>
      <w:kern w:val="2"/>
      <w:szCs w:val="72"/>
    </w:rPr>
  </w:style>
  <w:style w:type="paragraph" w:customStyle="1" w:styleId="220">
    <w:name w:val="标题 61"/>
    <w:basedOn w:val="1"/>
    <w:qFormat/>
    <w:uiPriority w:val="1"/>
    <w:pPr>
      <w:spacing w:line="530" w:lineRule="exact"/>
      <w:ind w:left="2380"/>
      <w:jc w:val="left"/>
      <w:outlineLvl w:val="6"/>
    </w:pPr>
    <w:rPr>
      <w:rFonts w:ascii="黑体" w:hAnsi="黑体" w:eastAsia="黑体" w:cs="黑体"/>
      <w:kern w:val="0"/>
      <w:sz w:val="42"/>
      <w:szCs w:val="42"/>
      <w:lang w:eastAsia="en-US"/>
    </w:rPr>
  </w:style>
  <w:style w:type="paragraph" w:customStyle="1" w:styleId="221">
    <w:name w:val="Char Char Char Char Char Char Char Char Char Char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222">
    <w:name w:val="p0"/>
    <w:basedOn w:val="1"/>
    <w:qFormat/>
    <w:uiPriority w:val="0"/>
    <w:pPr>
      <w:widowControl/>
    </w:pPr>
    <w:rPr>
      <w:kern w:val="0"/>
      <w:szCs w:val="21"/>
    </w:rPr>
  </w:style>
  <w:style w:type="paragraph" w:customStyle="1" w:styleId="223">
    <w:name w:val="CM30"/>
    <w:basedOn w:val="165"/>
    <w:next w:val="165"/>
    <w:qFormat/>
    <w:uiPriority w:val="0"/>
    <w:rPr>
      <w:rFonts w:ascii="HiddenHorzOCl" w:eastAsia="HiddenHorzOCl" w:cs="Times New Roman"/>
      <w:color w:val="auto"/>
    </w:rPr>
  </w:style>
  <w:style w:type="paragraph" w:customStyle="1" w:styleId="224">
    <w:name w:val="样式3"/>
    <w:basedOn w:val="33"/>
    <w:qFormat/>
    <w:uiPriority w:val="0"/>
    <w:pPr>
      <w:jc w:val="both"/>
    </w:pPr>
    <w:rPr>
      <w:sz w:val="21"/>
    </w:rPr>
  </w:style>
  <w:style w:type="paragraph" w:customStyle="1" w:styleId="225">
    <w:name w:val="CM7"/>
    <w:basedOn w:val="165"/>
    <w:next w:val="165"/>
    <w:qFormat/>
    <w:uiPriority w:val="0"/>
    <w:rPr>
      <w:rFonts w:ascii="HiddenHorzOCl" w:eastAsia="HiddenHorzOCl" w:cs="Times New Roman"/>
      <w:color w:val="auto"/>
    </w:rPr>
  </w:style>
  <w:style w:type="paragraph" w:customStyle="1" w:styleId="226">
    <w:name w:val="图标"/>
    <w:basedOn w:val="16"/>
    <w:qFormat/>
    <w:uiPriority w:val="0"/>
    <w:pPr>
      <w:adjustRightInd w:val="0"/>
      <w:spacing w:beforeLines="100" w:line="400" w:lineRule="exact"/>
      <w:ind w:firstLine="200"/>
      <w:jc w:val="center"/>
    </w:pPr>
    <w:rPr>
      <w:rFonts w:ascii="Times New Roman" w:hAnsi="Times New Roman" w:eastAsia="宋体" w:cs="Times New Roman"/>
      <w:b/>
      <w:sz w:val="24"/>
    </w:rPr>
  </w:style>
  <w:style w:type="paragraph" w:customStyle="1" w:styleId="227">
    <w:name w:val="Char6"/>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28">
    <w:name w:val="默认段落字体 Para Char"/>
    <w:basedOn w:val="1"/>
    <w:qFormat/>
    <w:uiPriority w:val="0"/>
    <w:pPr>
      <w:spacing w:line="360" w:lineRule="auto"/>
      <w:ind w:firstLine="200" w:firstLineChars="200"/>
    </w:pPr>
    <w:rPr>
      <w:rFonts w:ascii="宋体" w:hAnsi="宋体" w:cs="宋体"/>
      <w:sz w:val="24"/>
    </w:rPr>
  </w:style>
  <w:style w:type="paragraph" w:customStyle="1" w:styleId="229">
    <w:name w:val="CM45"/>
    <w:basedOn w:val="165"/>
    <w:next w:val="165"/>
    <w:qFormat/>
    <w:uiPriority w:val="0"/>
    <w:rPr>
      <w:rFonts w:ascii="HiddenHorzOCl" w:eastAsia="HiddenHorzOCl" w:cs="Times New Roman"/>
      <w:color w:val="auto"/>
    </w:rPr>
  </w:style>
  <w:style w:type="paragraph" w:customStyle="1" w:styleId="230">
    <w:name w:val="CM35"/>
    <w:basedOn w:val="165"/>
    <w:next w:val="165"/>
    <w:qFormat/>
    <w:uiPriority w:val="0"/>
    <w:rPr>
      <w:rFonts w:ascii="HiddenHorzOCl" w:eastAsia="HiddenHorzOCl" w:cs="Times New Roman"/>
      <w:color w:val="auto"/>
    </w:rPr>
  </w:style>
  <w:style w:type="paragraph" w:customStyle="1" w:styleId="231">
    <w:name w:val="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32">
    <w:name w:val="CM23"/>
    <w:basedOn w:val="165"/>
    <w:next w:val="165"/>
    <w:qFormat/>
    <w:uiPriority w:val="0"/>
    <w:rPr>
      <w:rFonts w:ascii="HiddenHorzOCl" w:eastAsia="HiddenHorzOCl" w:cs="Times New Roman"/>
      <w:color w:val="auto"/>
    </w:rPr>
  </w:style>
  <w:style w:type="paragraph" w:customStyle="1" w:styleId="233">
    <w:name w:val="样式 宋体 二号 加粗 居中"/>
    <w:basedOn w:val="4"/>
    <w:qFormat/>
    <w:uiPriority w:val="0"/>
    <w:pPr>
      <w:keepLines w:val="0"/>
      <w:spacing w:before="100" w:beforeAutospacing="1" w:after="100" w:afterAutospacing="1" w:line="360" w:lineRule="auto"/>
    </w:pPr>
    <w:rPr>
      <w:rFonts w:ascii="宋体" w:hAnsi="宋体"/>
      <w:kern w:val="2"/>
      <w:szCs w:val="72"/>
    </w:rPr>
  </w:style>
  <w:style w:type="paragraph" w:customStyle="1" w:styleId="234">
    <w:name w:val="CM40"/>
    <w:basedOn w:val="165"/>
    <w:next w:val="165"/>
    <w:qFormat/>
    <w:uiPriority w:val="0"/>
    <w:rPr>
      <w:rFonts w:ascii="HiddenHorzOCl" w:eastAsia="HiddenHorzOCl" w:cs="Times New Roman"/>
      <w:color w:val="auto"/>
    </w:rPr>
  </w:style>
  <w:style w:type="paragraph" w:customStyle="1" w:styleId="235">
    <w:name w:val="CM24"/>
    <w:basedOn w:val="165"/>
    <w:next w:val="165"/>
    <w:qFormat/>
    <w:uiPriority w:val="0"/>
    <w:rPr>
      <w:rFonts w:ascii="HiddenHorzOCl" w:eastAsia="HiddenHorzOCl" w:cs="Times New Roman"/>
      <w:color w:val="auto"/>
    </w:rPr>
  </w:style>
  <w:style w:type="paragraph" w:customStyle="1" w:styleId="236">
    <w:name w:val="Char"/>
    <w:basedOn w:val="1"/>
    <w:qFormat/>
    <w:uiPriority w:val="0"/>
    <w:rPr>
      <w:szCs w:val="21"/>
    </w:rPr>
  </w:style>
  <w:style w:type="paragraph" w:customStyle="1" w:styleId="237">
    <w:name w:val="CM32"/>
    <w:basedOn w:val="165"/>
    <w:next w:val="165"/>
    <w:qFormat/>
    <w:uiPriority w:val="0"/>
    <w:rPr>
      <w:rFonts w:ascii="HiddenHorzOCl" w:eastAsia="HiddenHorzOCl" w:cs="Times New Roman"/>
      <w:color w:val="auto"/>
    </w:rPr>
  </w:style>
  <w:style w:type="paragraph" w:customStyle="1" w:styleId="238">
    <w:name w:val="CM3"/>
    <w:basedOn w:val="165"/>
    <w:next w:val="165"/>
    <w:qFormat/>
    <w:uiPriority w:val="0"/>
    <w:pPr>
      <w:spacing w:line="578" w:lineRule="atLeast"/>
    </w:pPr>
    <w:rPr>
      <w:rFonts w:ascii="HiddenHorzOCl" w:eastAsia="HiddenHorzOCl" w:cs="Times New Roman"/>
      <w:color w:val="auto"/>
    </w:rPr>
  </w:style>
  <w:style w:type="paragraph" w:customStyle="1" w:styleId="239">
    <w:name w:val="标题 51"/>
    <w:basedOn w:val="1"/>
    <w:qFormat/>
    <w:uiPriority w:val="1"/>
    <w:pPr>
      <w:spacing w:line="530" w:lineRule="exact"/>
      <w:ind w:left="105" w:right="104"/>
      <w:jc w:val="left"/>
      <w:outlineLvl w:val="5"/>
    </w:pPr>
    <w:rPr>
      <w:rFonts w:ascii="黑体" w:hAnsi="黑体" w:eastAsia="黑体" w:cs="黑体"/>
      <w:b/>
      <w:bCs/>
      <w:kern w:val="0"/>
      <w:sz w:val="42"/>
      <w:szCs w:val="42"/>
      <w:lang w:eastAsia="en-US"/>
    </w:rPr>
  </w:style>
  <w:style w:type="paragraph" w:customStyle="1" w:styleId="240">
    <w:name w:val="3级"/>
    <w:basedOn w:val="1"/>
    <w:qFormat/>
    <w:uiPriority w:val="0"/>
    <w:pPr>
      <w:spacing w:line="360" w:lineRule="auto"/>
      <w:outlineLvl w:val="2"/>
    </w:pPr>
    <w:rPr>
      <w:rFonts w:ascii="黑体" w:hAnsi="宋体" w:eastAsia="黑体" w:cs="宋体"/>
      <w:kern w:val="0"/>
      <w:sz w:val="28"/>
      <w:szCs w:val="44"/>
    </w:rPr>
  </w:style>
  <w:style w:type="paragraph" w:customStyle="1" w:styleId="241">
    <w:name w:val="标题 11"/>
    <w:basedOn w:val="1"/>
    <w:qFormat/>
    <w:uiPriority w:val="1"/>
    <w:pPr>
      <w:spacing w:line="860" w:lineRule="exact"/>
      <w:ind w:left="2401"/>
      <w:jc w:val="left"/>
      <w:outlineLvl w:val="1"/>
    </w:pPr>
    <w:rPr>
      <w:rFonts w:ascii="黑体" w:hAnsi="黑体" w:eastAsia="黑体" w:cs="黑体"/>
      <w:kern w:val="0"/>
      <w:sz w:val="76"/>
      <w:szCs w:val="76"/>
      <w:lang w:eastAsia="en-US"/>
    </w:rPr>
  </w:style>
  <w:style w:type="paragraph" w:customStyle="1" w:styleId="242">
    <w:name w:val="Char Char Char Char Char Char1 Char Char Char Char"/>
    <w:basedOn w:val="1"/>
    <w:qFormat/>
    <w:uiPriority w:val="0"/>
  </w:style>
  <w:style w:type="paragraph" w:customStyle="1" w:styleId="243">
    <w:name w:val="Char Char Char Char Char Char3 Char Char Char Char"/>
    <w:basedOn w:val="1"/>
    <w:next w:val="1"/>
    <w:qFormat/>
    <w:uiPriority w:val="0"/>
    <w:pPr>
      <w:spacing w:line="360" w:lineRule="auto"/>
    </w:pPr>
    <w:rPr>
      <w:rFonts w:eastAsia="黑体"/>
      <w:sz w:val="28"/>
    </w:rPr>
  </w:style>
  <w:style w:type="paragraph" w:customStyle="1" w:styleId="244">
    <w:name w:val="目录 21"/>
    <w:basedOn w:val="1"/>
    <w:qFormat/>
    <w:uiPriority w:val="1"/>
    <w:pPr>
      <w:spacing w:before="178"/>
      <w:ind w:left="144"/>
      <w:jc w:val="left"/>
    </w:pPr>
    <w:rPr>
      <w:rFonts w:ascii="黑体" w:hAnsi="黑体" w:eastAsia="黑体" w:cs="黑体"/>
      <w:kern w:val="0"/>
      <w:sz w:val="20"/>
      <w:szCs w:val="20"/>
      <w:lang w:eastAsia="en-US"/>
    </w:rPr>
  </w:style>
  <w:style w:type="paragraph" w:customStyle="1" w:styleId="245">
    <w:name w:val="目录 41"/>
    <w:basedOn w:val="1"/>
    <w:qFormat/>
    <w:uiPriority w:val="1"/>
    <w:pPr>
      <w:spacing w:before="178"/>
      <w:ind w:left="710"/>
      <w:jc w:val="left"/>
    </w:pPr>
    <w:rPr>
      <w:rFonts w:ascii="宋体" w:hAnsi="宋体" w:cs="宋体"/>
      <w:kern w:val="0"/>
      <w:sz w:val="20"/>
      <w:szCs w:val="20"/>
      <w:lang w:eastAsia="en-US"/>
    </w:rPr>
  </w:style>
  <w:style w:type="paragraph" w:customStyle="1" w:styleId="246">
    <w:name w:val="CM25"/>
    <w:basedOn w:val="165"/>
    <w:next w:val="165"/>
    <w:qFormat/>
    <w:uiPriority w:val="0"/>
    <w:rPr>
      <w:rFonts w:ascii="HiddenHorzOCl" w:eastAsia="HiddenHorzOCl" w:cs="Times New Roman"/>
      <w:color w:val="auto"/>
    </w:rPr>
  </w:style>
  <w:style w:type="paragraph" w:customStyle="1" w:styleId="247">
    <w:name w:val="xl22"/>
    <w:basedOn w:val="1"/>
    <w:qFormat/>
    <w:uiPriority w:val="0"/>
    <w:pPr>
      <w:widowControl/>
      <w:spacing w:line="360" w:lineRule="auto"/>
      <w:jc w:val="center"/>
    </w:pPr>
    <w:rPr>
      <w:rFonts w:ascii="宋体" w:hAnsi="宋体"/>
      <w:kern w:val="0"/>
      <w:sz w:val="24"/>
    </w:rPr>
  </w:style>
  <w:style w:type="paragraph" w:customStyle="1" w:styleId="248">
    <w:name w:val="1"/>
    <w:basedOn w:val="1"/>
    <w:next w:val="216"/>
    <w:qFormat/>
    <w:uiPriority w:val="0"/>
  </w:style>
  <w:style w:type="paragraph" w:customStyle="1" w:styleId="249">
    <w:name w:val="CM6"/>
    <w:basedOn w:val="165"/>
    <w:next w:val="165"/>
    <w:qFormat/>
    <w:uiPriority w:val="0"/>
    <w:rPr>
      <w:rFonts w:ascii="HiddenHorzOCl" w:eastAsia="HiddenHorzOCl" w:cs="Times New Roman"/>
      <w:color w:val="auto"/>
    </w:rPr>
  </w:style>
  <w:style w:type="paragraph" w:customStyle="1" w:styleId="250">
    <w:name w:val="样式5"/>
    <w:basedOn w:val="193"/>
    <w:next w:val="193"/>
    <w:qFormat/>
    <w:uiPriority w:val="0"/>
    <w:pPr>
      <w:pBdr>
        <w:bottom w:val="thinThickSmallGap" w:color="auto" w:sz="12" w:space="1"/>
      </w:pBdr>
    </w:pPr>
  </w:style>
  <w:style w:type="paragraph" w:customStyle="1" w:styleId="251">
    <w:name w:val="TOC Heading"/>
    <w:basedOn w:val="4"/>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52">
    <w:name w:val="正文缩进（自定义）"/>
    <w:basedOn w:val="1"/>
    <w:qFormat/>
    <w:uiPriority w:val="0"/>
    <w:pPr>
      <w:spacing w:before="120" w:after="120" w:line="360" w:lineRule="auto"/>
      <w:ind w:firstLine="480" w:firstLineChars="200"/>
    </w:pPr>
    <w:rPr>
      <w:rFonts w:ascii="Century Gothic" w:hAnsi="Century Gothic"/>
      <w:kern w:val="0"/>
      <w:sz w:val="24"/>
    </w:rPr>
  </w:style>
  <w:style w:type="paragraph" w:customStyle="1" w:styleId="253">
    <w:name w:val="Char Char Char Char Char Char Char Char Char Char Char Char Char Char Char Char Char Char1 Char Char Char Char"/>
    <w:basedOn w:val="1"/>
    <w:qFormat/>
    <w:uiPriority w:val="0"/>
  </w:style>
  <w:style w:type="paragraph" w:customStyle="1" w:styleId="254">
    <w:name w:val="TOC 标题1"/>
    <w:basedOn w:val="4"/>
    <w:next w:val="1"/>
    <w:qFormat/>
    <w:uiPriority w:val="39"/>
    <w:pPr>
      <w:widowControl/>
      <w:spacing w:before="480" w:after="0" w:line="276" w:lineRule="auto"/>
      <w:jc w:val="left"/>
      <w:outlineLvl w:val="9"/>
    </w:pPr>
    <w:rPr>
      <w:rFonts w:ascii="Cambria" w:hAnsi="Cambria"/>
      <w:color w:val="365F91"/>
      <w:kern w:val="0"/>
      <w:sz w:val="28"/>
      <w:szCs w:val="48"/>
    </w:rPr>
  </w:style>
  <w:style w:type="paragraph" w:customStyle="1" w:styleId="255">
    <w:name w:val="xl25"/>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256">
    <w:name w:val="CM12"/>
    <w:basedOn w:val="165"/>
    <w:next w:val="165"/>
    <w:qFormat/>
    <w:uiPriority w:val="0"/>
    <w:rPr>
      <w:rFonts w:ascii="HiddenHorzOCl" w:eastAsia="HiddenHorzOCl" w:cs="Times New Roman"/>
      <w:color w:val="auto"/>
    </w:rPr>
  </w:style>
  <w:style w:type="paragraph" w:customStyle="1" w:styleId="257">
    <w:name w:val="样式 标题 2 + Times New Roman 四号 非加粗 段前: 5 磅 段后: 0 磅 行距: 固定值 20..."/>
    <w:basedOn w:val="5"/>
    <w:qFormat/>
    <w:uiPriority w:val="0"/>
    <w:pPr>
      <w:spacing w:before="100" w:line="400" w:lineRule="exact"/>
    </w:pPr>
    <w:rPr>
      <w:rFonts w:ascii="Times New Roman" w:hAnsi="Times New Roman"/>
      <w:b w:val="0"/>
      <w:bCs w:val="0"/>
      <w:kern w:val="2"/>
      <w:szCs w:val="20"/>
    </w:rPr>
  </w:style>
  <w:style w:type="paragraph" w:customStyle="1" w:styleId="258">
    <w:name w:val="内容 Char Char"/>
    <w:basedOn w:val="1"/>
    <w:qFormat/>
    <w:uiPriority w:val="0"/>
    <w:pPr>
      <w:spacing w:line="480" w:lineRule="exact"/>
      <w:ind w:firstLine="200" w:firstLineChars="200"/>
    </w:pPr>
    <w:rPr>
      <w:sz w:val="24"/>
    </w:rPr>
  </w:style>
  <w:style w:type="paragraph" w:customStyle="1" w:styleId="259">
    <w:name w:val="规范文本"/>
    <w:basedOn w:val="1"/>
    <w:qFormat/>
    <w:uiPriority w:val="0"/>
    <w:pPr>
      <w:adjustRightInd w:val="0"/>
      <w:snapToGrid w:val="0"/>
      <w:spacing w:line="360" w:lineRule="atLeast"/>
      <w:ind w:firstLine="420"/>
    </w:pPr>
    <w:rPr>
      <w:rFonts w:ascii="宋体" w:hAnsi="Courier New"/>
      <w:kern w:val="0"/>
      <w:sz w:val="24"/>
      <w:szCs w:val="20"/>
    </w:rPr>
  </w:style>
  <w:style w:type="paragraph" w:customStyle="1" w:styleId="260">
    <w:name w:val="样式 标题 2 + Times New Roman 四号 非加粗 行距: 单倍行距"/>
    <w:basedOn w:val="5"/>
    <w:qFormat/>
    <w:uiPriority w:val="0"/>
    <w:pPr>
      <w:spacing w:line="240" w:lineRule="auto"/>
    </w:pPr>
    <w:rPr>
      <w:rFonts w:ascii="Times New Roman" w:hAnsi="Times New Roman" w:cs="宋体"/>
      <w:b w:val="0"/>
      <w:bCs w:val="0"/>
      <w:kern w:val="44"/>
      <w:szCs w:val="20"/>
    </w:rPr>
  </w:style>
  <w:style w:type="paragraph" w:customStyle="1" w:styleId="261">
    <w:name w:val="表格"/>
    <w:basedOn w:val="1"/>
    <w:qFormat/>
    <w:uiPriority w:val="0"/>
    <w:pPr>
      <w:jc w:val="center"/>
    </w:pPr>
    <w:rPr>
      <w:rFonts w:ascii="华文细黑" w:hAnsi="华文细黑"/>
      <w:kern w:val="0"/>
      <w:szCs w:val="20"/>
    </w:rPr>
  </w:style>
  <w:style w:type="paragraph" w:customStyle="1" w:styleId="262">
    <w:name w:val="标题 21"/>
    <w:basedOn w:val="1"/>
    <w:qFormat/>
    <w:uiPriority w:val="1"/>
    <w:pPr>
      <w:ind w:left="37"/>
      <w:jc w:val="center"/>
      <w:outlineLvl w:val="2"/>
    </w:pPr>
    <w:rPr>
      <w:rFonts w:ascii="黑体" w:hAnsi="黑体" w:eastAsia="黑体" w:cs="黑体"/>
      <w:kern w:val="0"/>
      <w:sz w:val="72"/>
      <w:szCs w:val="72"/>
      <w:lang w:eastAsia="en-US"/>
    </w:rPr>
  </w:style>
  <w:style w:type="paragraph" w:customStyle="1" w:styleId="263">
    <w:name w:val="公文编号（中）"/>
    <w:qFormat/>
    <w:uiPriority w:val="0"/>
    <w:pPr>
      <w:jc w:val="center"/>
    </w:pPr>
    <w:rPr>
      <w:rFonts w:ascii="Calibri" w:hAnsi="Calibri" w:eastAsia="仿宋_GB2312" w:cs="Times New Roman"/>
      <w:sz w:val="32"/>
      <w:lang w:val="en-US" w:eastAsia="zh-CN" w:bidi="ar-SA"/>
    </w:rPr>
  </w:style>
  <w:style w:type="paragraph" w:customStyle="1" w:styleId="264">
    <w:name w:val="CM18"/>
    <w:basedOn w:val="165"/>
    <w:next w:val="165"/>
    <w:qFormat/>
    <w:uiPriority w:val="0"/>
    <w:rPr>
      <w:rFonts w:ascii="HiddenHorzOCl" w:eastAsia="HiddenHorzOCl" w:cs="Times New Roman"/>
      <w:color w:val="auto"/>
    </w:rPr>
  </w:style>
  <w:style w:type="paragraph" w:customStyle="1" w:styleId="265">
    <w:name w:val="CM2"/>
    <w:basedOn w:val="165"/>
    <w:next w:val="165"/>
    <w:qFormat/>
    <w:uiPriority w:val="0"/>
    <w:rPr>
      <w:rFonts w:ascii="HiddenHorzOCl" w:eastAsia="HiddenHorzOCl" w:cs="Times New Roman"/>
      <w:color w:val="auto"/>
    </w:rPr>
  </w:style>
  <w:style w:type="paragraph" w:customStyle="1" w:styleId="266">
    <w:name w:val="CM33"/>
    <w:basedOn w:val="165"/>
    <w:next w:val="165"/>
    <w:qFormat/>
    <w:uiPriority w:val="0"/>
    <w:rPr>
      <w:rFonts w:ascii="HiddenHorzOCl" w:eastAsia="HiddenHorzOCl" w:cs="Times New Roman"/>
      <w:color w:val="auto"/>
    </w:rPr>
  </w:style>
  <w:style w:type="paragraph" w:customStyle="1" w:styleId="267">
    <w:name w:val="Table Paragraph"/>
    <w:basedOn w:val="1"/>
    <w:qFormat/>
    <w:uiPriority w:val="1"/>
    <w:rPr>
      <w:rFonts w:ascii="宋体" w:hAnsi="宋体" w:cs="宋体"/>
    </w:rPr>
  </w:style>
  <w:style w:type="paragraph" w:customStyle="1" w:styleId="268">
    <w:name w:val="样式1-正文"/>
    <w:basedOn w:val="1"/>
    <w:qFormat/>
    <w:uiPriority w:val="0"/>
    <w:pPr>
      <w:adjustRightInd w:val="0"/>
      <w:snapToGrid w:val="0"/>
      <w:spacing w:line="500" w:lineRule="exact"/>
      <w:ind w:left="680" w:firstLine="454"/>
    </w:pPr>
    <w:rPr>
      <w:sz w:val="24"/>
    </w:rPr>
  </w:style>
  <w:style w:type="paragraph" w:customStyle="1" w:styleId="269">
    <w:name w:val="标题 41"/>
    <w:basedOn w:val="1"/>
    <w:qFormat/>
    <w:uiPriority w:val="1"/>
    <w:pPr>
      <w:spacing w:line="541" w:lineRule="exact"/>
      <w:ind w:right="250"/>
      <w:jc w:val="left"/>
      <w:outlineLvl w:val="4"/>
    </w:pPr>
    <w:rPr>
      <w:rFonts w:ascii="黑体" w:hAnsi="黑体" w:eastAsia="黑体" w:cs="黑体"/>
      <w:kern w:val="0"/>
      <w:sz w:val="44"/>
      <w:szCs w:val="44"/>
      <w:lang w:eastAsia="en-US"/>
    </w:rPr>
  </w:style>
  <w:style w:type="paragraph" w:customStyle="1" w:styleId="270">
    <w:name w:val="标题 71"/>
    <w:basedOn w:val="1"/>
    <w:qFormat/>
    <w:uiPriority w:val="1"/>
    <w:pPr>
      <w:spacing w:before="2"/>
      <w:jc w:val="center"/>
      <w:outlineLvl w:val="7"/>
    </w:pPr>
    <w:rPr>
      <w:rFonts w:ascii="黑体" w:hAnsi="黑体" w:eastAsia="黑体" w:cs="黑体"/>
      <w:kern w:val="0"/>
      <w:sz w:val="32"/>
      <w:szCs w:val="32"/>
      <w:lang w:eastAsia="en-US"/>
    </w:rPr>
  </w:style>
  <w:style w:type="paragraph" w:customStyle="1" w:styleId="271">
    <w:name w:val="标准 4"/>
    <w:basedOn w:val="1"/>
    <w:qFormat/>
    <w:uiPriority w:val="0"/>
    <w:pPr>
      <w:spacing w:line="540" w:lineRule="exact"/>
      <w:ind w:firstLine="240" w:firstLineChars="100"/>
    </w:pPr>
    <w:rPr>
      <w:rFonts w:ascii="宋体" w:hAnsi="宋体"/>
      <w:color w:val="000000"/>
      <w:sz w:val="24"/>
    </w:rPr>
  </w:style>
  <w:style w:type="paragraph" w:customStyle="1" w:styleId="272">
    <w:name w:val="CM34"/>
    <w:basedOn w:val="165"/>
    <w:next w:val="165"/>
    <w:qFormat/>
    <w:uiPriority w:val="0"/>
    <w:rPr>
      <w:rFonts w:ascii="HiddenHorzOCl" w:eastAsia="HiddenHorzOCl" w:cs="Times New Roman"/>
      <w:color w:val="auto"/>
    </w:rPr>
  </w:style>
  <w:style w:type="paragraph" w:customStyle="1" w:styleId="273">
    <w:name w:val="CM44"/>
    <w:basedOn w:val="165"/>
    <w:next w:val="165"/>
    <w:qFormat/>
    <w:uiPriority w:val="0"/>
    <w:rPr>
      <w:rFonts w:ascii="HiddenHorzOCl" w:eastAsia="HiddenHorzOCl" w:cs="Times New Roman"/>
      <w:color w:val="auto"/>
    </w:rPr>
  </w:style>
  <w:style w:type="paragraph" w:customStyle="1" w:styleId="274">
    <w:name w:val="目录 51"/>
    <w:basedOn w:val="1"/>
    <w:qFormat/>
    <w:uiPriority w:val="1"/>
    <w:pPr>
      <w:spacing w:before="178"/>
      <w:ind w:left="993"/>
      <w:jc w:val="left"/>
    </w:pPr>
    <w:rPr>
      <w:rFonts w:ascii="宋体" w:hAnsi="宋体" w:cs="宋体"/>
      <w:kern w:val="0"/>
      <w:sz w:val="20"/>
      <w:szCs w:val="20"/>
      <w:lang w:eastAsia="en-US"/>
    </w:rPr>
  </w:style>
  <w:style w:type="paragraph" w:customStyle="1" w:styleId="275">
    <w:name w:val="CM10"/>
    <w:basedOn w:val="165"/>
    <w:next w:val="165"/>
    <w:qFormat/>
    <w:uiPriority w:val="0"/>
    <w:rPr>
      <w:rFonts w:ascii="HiddenHorzOCl" w:eastAsia="HiddenHorzOCl" w:cs="Times New Roman"/>
      <w:color w:val="auto"/>
    </w:rPr>
  </w:style>
  <w:style w:type="paragraph" w:customStyle="1" w:styleId="276">
    <w:name w:val="样式王"/>
    <w:basedOn w:val="1"/>
    <w:qFormat/>
    <w:uiPriority w:val="0"/>
  </w:style>
  <w:style w:type="paragraph" w:customStyle="1" w:styleId="277">
    <w:name w:val="CM26"/>
    <w:basedOn w:val="1"/>
    <w:next w:val="1"/>
    <w:qFormat/>
    <w:uiPriority w:val="0"/>
    <w:pPr>
      <w:autoSpaceDE w:val="0"/>
      <w:autoSpaceDN w:val="0"/>
      <w:adjustRightInd w:val="0"/>
      <w:jc w:val="left"/>
    </w:pPr>
    <w:rPr>
      <w:rFonts w:ascii="HiddenHorzOCl" w:eastAsia="HiddenHorzOCl"/>
      <w:kern w:val="0"/>
      <w:sz w:val="24"/>
    </w:rPr>
  </w:style>
  <w:style w:type="paragraph" w:customStyle="1" w:styleId="278">
    <w:name w:val="小标题"/>
    <w:basedOn w:val="46"/>
    <w:qFormat/>
    <w:uiPriority w:val="0"/>
    <w:pPr>
      <w:tabs>
        <w:tab w:val="clear" w:pos="360"/>
      </w:tabs>
      <w:spacing w:before="120" w:after="60"/>
      <w:ind w:left="0" w:firstLine="0" w:firstLineChars="0"/>
      <w:jc w:val="left"/>
      <w:outlineLvl w:val="0"/>
    </w:pPr>
    <w:rPr>
      <w:rFonts w:ascii="Arial" w:hAnsi="Arial" w:cs="Arial"/>
      <w:b w:val="0"/>
      <w:kern w:val="2"/>
      <w:sz w:val="24"/>
      <w:szCs w:val="24"/>
    </w:rPr>
  </w:style>
  <w:style w:type="paragraph" w:customStyle="1" w:styleId="279">
    <w:name w:val="标题 91"/>
    <w:basedOn w:val="1"/>
    <w:qFormat/>
    <w:uiPriority w:val="1"/>
    <w:pPr>
      <w:spacing w:before="7"/>
      <w:ind w:right="488"/>
      <w:jc w:val="center"/>
    </w:pPr>
    <w:rPr>
      <w:rFonts w:ascii="宋体" w:hAnsi="宋体" w:cs="宋体"/>
      <w:b/>
      <w:bCs/>
      <w:kern w:val="0"/>
      <w:sz w:val="30"/>
      <w:szCs w:val="30"/>
      <w:lang w:eastAsia="en-US"/>
    </w:rPr>
  </w:style>
  <w:style w:type="paragraph" w:customStyle="1" w:styleId="280">
    <w:name w:val="CM21"/>
    <w:basedOn w:val="165"/>
    <w:next w:val="165"/>
    <w:qFormat/>
    <w:uiPriority w:val="0"/>
    <w:pPr>
      <w:spacing w:line="588" w:lineRule="atLeast"/>
    </w:pPr>
    <w:rPr>
      <w:rFonts w:ascii="HiddenHorzOCl" w:eastAsia="HiddenHorzOCl" w:cs="Times New Roman"/>
      <w:color w:val="auto"/>
    </w:rPr>
  </w:style>
  <w:style w:type="paragraph" w:customStyle="1" w:styleId="281">
    <w:name w:val="6'"/>
    <w:basedOn w:val="1"/>
    <w:qFormat/>
    <w:uiPriority w:val="0"/>
    <w:pPr>
      <w:autoSpaceDE w:val="0"/>
      <w:autoSpaceDN w:val="0"/>
      <w:adjustRightInd w:val="0"/>
      <w:snapToGrid w:val="0"/>
      <w:spacing w:line="320" w:lineRule="exact"/>
      <w:jc w:val="center"/>
    </w:pPr>
    <w:rPr>
      <w:spacing w:val="20"/>
      <w:kern w:val="28"/>
      <w:szCs w:val="20"/>
    </w:rPr>
  </w:style>
  <w:style w:type="paragraph" w:customStyle="1" w:styleId="282">
    <w:name w:val="Char Char Char Char Char Char1 Char"/>
    <w:basedOn w:val="1"/>
    <w:qFormat/>
    <w:uiPriority w:val="0"/>
  </w:style>
  <w:style w:type="paragraph" w:customStyle="1" w:styleId="283">
    <w:name w:val="CM22"/>
    <w:basedOn w:val="165"/>
    <w:next w:val="165"/>
    <w:qFormat/>
    <w:uiPriority w:val="0"/>
    <w:pPr>
      <w:spacing w:line="586" w:lineRule="atLeast"/>
    </w:pPr>
    <w:rPr>
      <w:rFonts w:ascii="HiddenHorzOCl" w:eastAsia="HiddenHorzOCl" w:cs="Times New Roman"/>
      <w:color w:val="auto"/>
    </w:rPr>
  </w:style>
  <w:style w:type="paragraph" w:customStyle="1" w:styleId="284">
    <w:name w:val="Section VII Header2"/>
    <w:basedOn w:val="4"/>
    <w:qFormat/>
    <w:uiPriority w:val="0"/>
    <w:pPr>
      <w:keepNext w:val="0"/>
      <w:keepLines w:val="0"/>
      <w:spacing w:before="120" w:after="120" w:line="360" w:lineRule="auto"/>
      <w:jc w:val="left"/>
      <w:outlineLvl w:val="9"/>
    </w:pPr>
    <w:rPr>
      <w:rFonts w:ascii="Arial" w:hAnsi="Arial" w:cs="Arial"/>
      <w:kern w:val="0"/>
      <w:sz w:val="20"/>
      <w:szCs w:val="20"/>
      <w:lang w:eastAsia="en-US"/>
    </w:rPr>
  </w:style>
  <w:style w:type="paragraph" w:customStyle="1" w:styleId="285">
    <w:name w:val="CM11"/>
    <w:basedOn w:val="165"/>
    <w:next w:val="165"/>
    <w:qFormat/>
    <w:uiPriority w:val="0"/>
    <w:pPr>
      <w:spacing w:line="600" w:lineRule="atLeast"/>
    </w:pPr>
    <w:rPr>
      <w:rFonts w:ascii="HiddenHorzOCl" w:eastAsia="HiddenHorzOCl" w:cs="Times New Roman"/>
      <w:color w:val="auto"/>
    </w:rPr>
  </w:style>
  <w:style w:type="paragraph" w:customStyle="1" w:styleId="286">
    <w:name w:val="样式 (符号) Times New Roman 小四 非加粗 行距: 1.5 倍行距"/>
    <w:basedOn w:val="1"/>
    <w:next w:val="287"/>
    <w:qFormat/>
    <w:uiPriority w:val="0"/>
    <w:pPr>
      <w:spacing w:line="360" w:lineRule="auto"/>
    </w:pPr>
    <w:rPr>
      <w:rFonts w:ascii="楷体_GB2312" w:eastAsia="楷体_GB2312"/>
      <w:sz w:val="24"/>
      <w:szCs w:val="20"/>
    </w:rPr>
  </w:style>
  <w:style w:type="paragraph" w:customStyle="1" w:styleId="287">
    <w:name w:val="文字块"/>
    <w:basedOn w:val="1"/>
    <w:qFormat/>
    <w:uiPriority w:val="0"/>
  </w:style>
  <w:style w:type="paragraph" w:customStyle="1" w:styleId="288">
    <w:name w:val="正文文字缩进"/>
    <w:basedOn w:val="1"/>
    <w:qFormat/>
    <w:uiPriority w:val="0"/>
    <w:pPr>
      <w:widowControl/>
      <w:spacing w:before="100" w:beforeAutospacing="1" w:after="100" w:afterAutospacing="1"/>
      <w:jc w:val="left"/>
    </w:pPr>
    <w:rPr>
      <w:rFonts w:ascii="宋体" w:hAnsi="宋体" w:cs="宋体"/>
      <w:kern w:val="0"/>
      <w:sz w:val="24"/>
    </w:rPr>
  </w:style>
  <w:style w:type="table" w:customStyle="1" w:styleId="289">
    <w:name w:val="Table Normal"/>
    <w:unhideWhenUsed/>
    <w:qFormat/>
    <w:uiPriority w:val="2"/>
    <w:pPr>
      <w:widowControl w:val="0"/>
    </w:pPr>
    <w:rPr>
      <w:sz w:val="22"/>
      <w:szCs w:val="22"/>
      <w:lang w:eastAsia="en-US"/>
    </w:rPr>
    <w:tblPr>
      <w:tblCellMar>
        <w:top w:w="0" w:type="dxa"/>
        <w:left w:w="0" w:type="dxa"/>
        <w:bottom w:w="0" w:type="dxa"/>
        <w:right w:w="0" w:type="dxa"/>
      </w:tblCellMar>
    </w:tblPr>
  </w:style>
  <w:style w:type="character" w:customStyle="1" w:styleId="290">
    <w:name w:val="脚注文本 字符1"/>
    <w:qFormat/>
    <w:uiPriority w:val="0"/>
    <w:rPr>
      <w:rFonts w:eastAsia="宋体"/>
      <w:kern w:val="2"/>
      <w:sz w:val="18"/>
      <w:szCs w:val="18"/>
      <w:lang w:val="en-US" w:eastAsia="zh-CN" w:bidi="ar-SA"/>
    </w:rPr>
  </w:style>
  <w:style w:type="character" w:customStyle="1" w:styleId="291">
    <w:name w:val="脚注文本 Char3"/>
    <w:qFormat/>
    <w:uiPriority w:val="0"/>
    <w:rPr>
      <w:rFonts w:eastAsia="宋体"/>
      <w:kern w:val="2"/>
      <w:sz w:val="18"/>
      <w:szCs w:val="18"/>
      <w:lang w:val="en-US" w:eastAsia="zh-CN" w:bidi="ar-SA"/>
    </w:rPr>
  </w:style>
  <w:style w:type="paragraph" w:customStyle="1" w:styleId="292">
    <w:name w:val="纯文本4"/>
    <w:basedOn w:val="1"/>
    <w:qFormat/>
    <w:uiPriority w:val="0"/>
    <w:rPr>
      <w:rFonts w:ascii="宋体" w:hAnsi="Courier New"/>
      <w:szCs w:val="21"/>
    </w:rPr>
  </w:style>
  <w:style w:type="paragraph" w:customStyle="1" w:styleId="293">
    <w:name w:val="正文_0_0_0"/>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4">
    <w:name w:val="Normal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5">
    <w:name w:val="纯文本2"/>
    <w:basedOn w:val="294"/>
    <w:qFormat/>
    <w:uiPriority w:val="0"/>
    <w:rPr>
      <w:rFonts w:ascii="宋体" w:hAnsi="Courier New"/>
      <w:szCs w:val="21"/>
    </w:rPr>
  </w:style>
  <w:style w:type="paragraph" w:customStyle="1" w:styleId="296">
    <w:name w:val="_Style 435"/>
    <w:basedOn w:val="294"/>
    <w:next w:val="1"/>
    <w:qFormat/>
    <w:uiPriority w:val="34"/>
    <w:pPr>
      <w:spacing w:line="360" w:lineRule="auto"/>
      <w:ind w:firstLine="420"/>
    </w:pPr>
    <w:rPr>
      <w:sz w:val="24"/>
      <w:szCs w:val="20"/>
    </w:rPr>
  </w:style>
  <w:style w:type="paragraph" w:customStyle="1" w:styleId="297">
    <w:name w:val="正文_0_0_0_1"/>
    <w:next w:val="29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8">
    <w:name w:val="正文首行缩进 2_0"/>
    <w:basedOn w:val="299"/>
    <w:qFormat/>
    <w:uiPriority w:val="0"/>
    <w:pPr>
      <w:ind w:firstLine="420" w:firstLineChars="200"/>
    </w:pPr>
    <w:rPr>
      <w:szCs w:val="20"/>
    </w:rPr>
  </w:style>
  <w:style w:type="paragraph" w:customStyle="1" w:styleId="299">
    <w:name w:val="正文文本缩进_0"/>
    <w:basedOn w:val="300"/>
    <w:qFormat/>
    <w:uiPriority w:val="99"/>
    <w:pPr>
      <w:spacing w:after="120"/>
      <w:ind w:left="420" w:leftChars="200"/>
    </w:pPr>
  </w:style>
  <w:style w:type="paragraph" w:customStyle="1" w:styleId="300">
    <w:name w:val="正文_0_0"/>
    <w:next w:val="298"/>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1">
    <w:name w:val="样式王_7"/>
    <w:basedOn w:val="302"/>
    <w:qFormat/>
    <w:uiPriority w:val="0"/>
  </w:style>
  <w:style w:type="paragraph" w:customStyle="1" w:styleId="302">
    <w:name w:val="Normal_22_0"/>
    <w:next w:val="303"/>
    <w:qFormat/>
    <w:uiPriority w:val="0"/>
    <w:pPr>
      <w:widowControl w:val="0"/>
      <w:jc w:val="both"/>
    </w:pPr>
    <w:rPr>
      <w:rFonts w:ascii="Calibri" w:hAnsi="Calibri" w:eastAsia="宋体" w:cs="Times New Roman"/>
      <w:kern w:val="2"/>
      <w:sz w:val="21"/>
      <w:szCs w:val="24"/>
      <w:lang w:val="en-US" w:eastAsia="zh-CN" w:bidi="ar-SA"/>
    </w:rPr>
  </w:style>
  <w:style w:type="paragraph" w:customStyle="1" w:styleId="303">
    <w:name w:val="Body Text First Indent 2"/>
    <w:basedOn w:val="304"/>
    <w:unhideWhenUsed/>
    <w:qFormat/>
    <w:uiPriority w:val="0"/>
    <w:pPr>
      <w:ind w:firstLine="420" w:firstLineChars="200"/>
    </w:pPr>
  </w:style>
  <w:style w:type="paragraph" w:customStyle="1" w:styleId="304">
    <w:name w:val="正文_0_0_4_0"/>
    <w:next w:val="30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5">
    <w:name w:val="正文文本_0_0_2"/>
    <w:basedOn w:val="306"/>
    <w:unhideWhenUsed/>
    <w:qFormat/>
    <w:uiPriority w:val="99"/>
    <w:pPr>
      <w:spacing w:after="120"/>
    </w:pPr>
  </w:style>
  <w:style w:type="paragraph" w:customStyle="1" w:styleId="306">
    <w:name w:val="正文_0_1_2"/>
    <w:next w:val="305"/>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D9F67A-9D85-4791-9DBE-D085A4DF8A53}">
  <ds:schemaRefs/>
</ds:datastoreItem>
</file>

<file path=docProps/app.xml><?xml version="1.0" encoding="utf-8"?>
<Properties xmlns="http://schemas.openxmlformats.org/officeDocument/2006/extended-properties" xmlns:vt="http://schemas.openxmlformats.org/officeDocument/2006/docPropsVTypes">
  <Template>Normal.dotm</Template>
  <Pages>159</Pages>
  <Words>64685</Words>
  <Characters>67575</Characters>
  <Lines>512</Lines>
  <Paragraphs>144</Paragraphs>
  <TotalTime>13</TotalTime>
  <ScaleCrop>false</ScaleCrop>
  <LinksUpToDate>false</LinksUpToDate>
  <CharactersWithSpaces>77567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2021-10-20T04:50:00Z</dcterms:created>
  <dc:creator>pc</dc:creator>
  <cp:lastModifiedBy>王爱梅</cp:lastModifiedBy>
  <cp:lastPrinted>2022-07-29T08:59:00Z</cp:lastPrinted>
  <dcterms:modified xsi:type="dcterms:W3CDTF">2024-09-13T08:50:15Z</dcterms:modified>
  <dc:title>四川省交通运输厅</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FD8F8357D1A54FF2AB2121A3CC8E1216</vt:lpwstr>
  </property>
</Properties>
</file>