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81DC5">
      <w:pPr>
        <w:spacing w:line="640" w:lineRule="exact"/>
        <w:ind w:left="2640" w:hanging="2640" w:hangingChars="600"/>
        <w:rPr>
          <w:rFonts w:hint="eastAsia" w:ascii="方正小标宋简体" w:hAnsi="方正小标宋简体" w:eastAsia="方正小标宋简体" w:cs="方正小标宋简体"/>
          <w:sz w:val="44"/>
          <w:szCs w:val="44"/>
        </w:rPr>
      </w:pPr>
    </w:p>
    <w:p w14:paraId="59F0AA53">
      <w:pPr>
        <w:spacing w:line="640" w:lineRule="exact"/>
        <w:ind w:left="2640" w:hanging="2640" w:hangingChars="6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四川省政府政务服务和公共资源交易服务中心</w:t>
      </w:r>
    </w:p>
    <w:p w14:paraId="2C4AE28E">
      <w:pPr>
        <w:spacing w:line="640" w:lineRule="exact"/>
        <w:ind w:left="2640" w:hanging="2640" w:hangingChars="6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工程建设项目进场交易告知书</w:t>
      </w:r>
    </w:p>
    <w:p w14:paraId="588B2520">
      <w:pPr>
        <w:pStyle w:val="3"/>
        <w:ind w:firstLine="640"/>
        <w:rPr>
          <w:rFonts w:hint="eastAsia" w:ascii="黑体" w:hAnsi="黑体" w:eastAsia="黑体" w:cs="黑体"/>
          <w:szCs w:val="32"/>
        </w:rPr>
      </w:pPr>
    </w:p>
    <w:p w14:paraId="3812A6B2">
      <w:pPr>
        <w:ind w:firstLine="0" w:firstLineChars="0"/>
        <w:rPr>
          <w:rFonts w:hint="eastAsia" w:ascii="仿宋" w:hAnsi="仿宋" w:cs="仿宋"/>
          <w:szCs w:val="32"/>
        </w:rPr>
      </w:pPr>
      <w:r>
        <w:rPr>
          <w:rFonts w:hint="eastAsia" w:ascii="仿宋" w:hAnsi="仿宋" w:cs="仿宋"/>
          <w:szCs w:val="32"/>
        </w:rPr>
        <w:t>各招标人（招标代理机构）：</w:t>
      </w:r>
    </w:p>
    <w:p w14:paraId="348C082D">
      <w:pPr>
        <w:ind w:firstLine="640"/>
        <w:rPr>
          <w:rFonts w:hint="eastAsia" w:ascii="黑体" w:hAnsi="黑体" w:eastAsia="黑体" w:cs="黑体"/>
          <w:szCs w:val="32"/>
        </w:rPr>
      </w:pPr>
      <w:r>
        <w:rPr>
          <w:rFonts w:hint="eastAsia" w:ascii="仿宋" w:hAnsi="仿宋" w:cs="仿宋"/>
          <w:szCs w:val="32"/>
        </w:rPr>
        <w:t>欢迎进入四川省政府政务服务和公共资源交易服务中心（以下简称“省中心”）组织实施交易活动。为确保交易活动规范有序、公平公正开展，我们将交易各环节注意事项告知如下，请仔细阅读，并在阅读后点击“</w:t>
      </w:r>
      <w:r>
        <w:rPr>
          <w:rFonts w:hint="eastAsia" w:ascii="黑体" w:hAnsi="黑体" w:eastAsia="黑体" w:cs="黑体"/>
          <w:szCs w:val="32"/>
        </w:rPr>
        <w:t>已知晓，同意按告知书内容进行后续操作</w:t>
      </w:r>
      <w:r>
        <w:rPr>
          <w:rFonts w:hint="eastAsia" w:ascii="仿宋" w:hAnsi="仿宋" w:cs="仿宋"/>
          <w:szCs w:val="32"/>
        </w:rPr>
        <w:t>”。</w:t>
      </w:r>
    </w:p>
    <w:p w14:paraId="581D518C">
      <w:pPr>
        <w:widowControl/>
        <w:shd w:val="clear" w:color="auto" w:fill="FFFFFF"/>
        <w:ind w:firstLine="640"/>
        <w:jc w:val="left"/>
        <w:rPr>
          <w:rStyle w:val="16"/>
          <w:rFonts w:hint="eastAsia"/>
        </w:rPr>
      </w:pPr>
      <w:r>
        <w:rPr>
          <w:rStyle w:val="16"/>
        </w:rPr>
        <w:t>一、项目注册</w:t>
      </w:r>
    </w:p>
    <w:p w14:paraId="1611A18B">
      <w:pPr>
        <w:widowControl/>
        <w:shd w:val="clear" w:color="auto" w:fill="FFFFFF"/>
        <w:ind w:firstLine="640"/>
        <w:jc w:val="left"/>
        <w:rPr>
          <w:rFonts w:hint="eastAsia" w:ascii="仿宋" w:hAnsi="仿宋" w:cs="仿宋"/>
          <w:szCs w:val="32"/>
        </w:rPr>
      </w:pPr>
      <w:r>
        <w:t>请按</w:t>
      </w:r>
      <w:r>
        <w:rPr>
          <w:rFonts w:hint="eastAsia" w:ascii="仿宋" w:hAnsi="仿宋" w:cs="仿宋"/>
          <w:szCs w:val="32"/>
          <w:shd w:val="clear" w:color="auto" w:fill="FFFFFF"/>
        </w:rPr>
        <w:t>国家投资建设工程类项目系统或其他类别项目系统</w:t>
      </w:r>
      <w:r>
        <w:t>指引完整准确填写项目的基本信息。对进入省中心交易的工程建设项目，无法使用行业主管部门制定的电子招标标准文件的，原则上使用</w:t>
      </w:r>
      <w:r>
        <w:rPr>
          <w:rFonts w:hint="eastAsia"/>
        </w:rPr>
        <w:t>“</w:t>
      </w:r>
      <w:r>
        <w:t>非范本</w:t>
      </w:r>
      <w:r>
        <w:rPr>
          <w:rFonts w:hint="eastAsia"/>
        </w:rPr>
        <w:t>”</w:t>
      </w:r>
      <w:r>
        <w:t>电子招标投标通用功能模块开展电子招投标。如因涉密等特殊原因无法开展电子招投标的，应线下提交情况说明。</w:t>
      </w:r>
      <w:r>
        <w:rPr>
          <w:rFonts w:hint="eastAsia"/>
        </w:rPr>
        <w:t>“</w:t>
      </w:r>
      <w:r>
        <w:t>非范本</w:t>
      </w:r>
      <w:r>
        <w:rPr>
          <w:rFonts w:hint="eastAsia"/>
        </w:rPr>
        <w:t>”</w:t>
      </w:r>
      <w:r>
        <w:t>电子招投标操作注意事项详见办事指南。</w:t>
      </w:r>
      <w:r>
        <w:rPr>
          <w:rFonts w:hint="eastAsia"/>
        </w:rPr>
        <w:t xml:space="preserve">  </w:t>
      </w:r>
      <w:r>
        <w:rPr>
          <w:rFonts w:hint="eastAsia" w:ascii="仿宋" w:hAnsi="仿宋" w:cs="仿宋"/>
          <w:szCs w:val="32"/>
        </w:rPr>
        <w:t xml:space="preserve"> </w:t>
      </w:r>
    </w:p>
    <w:p w14:paraId="783D8049">
      <w:pPr>
        <w:pStyle w:val="10"/>
        <w:shd w:val="clear" w:color="auto" w:fill="FFFFFF"/>
        <w:ind w:left="640" w:leftChars="200" w:firstLine="0" w:firstLineChars="0"/>
        <w:rPr>
          <w:rStyle w:val="16"/>
          <w:rFonts w:hint="eastAsia"/>
        </w:rPr>
      </w:pPr>
      <w:r>
        <w:rPr>
          <w:rStyle w:val="16"/>
        </w:rPr>
        <w:t>二、场地预约</w:t>
      </w:r>
    </w:p>
    <w:p w14:paraId="7ACB538E">
      <w:pPr>
        <w:pStyle w:val="10"/>
        <w:shd w:val="clear" w:color="auto" w:fill="FFFFFF"/>
        <w:ind w:firstLine="640"/>
        <w:rPr>
          <w:rFonts w:hint="eastAsia" w:ascii="仿宋" w:hAnsi="仿宋" w:cs="仿宋"/>
          <w:szCs w:val="32"/>
        </w:rPr>
      </w:pPr>
      <w:r>
        <w:rPr>
          <w:rFonts w:hint="eastAsia" w:ascii="仿宋" w:hAnsi="仿宋" w:cs="仿宋"/>
          <w:kern w:val="2"/>
          <w:szCs w:val="32"/>
        </w:rPr>
        <w:t>完成注册的项目</w:t>
      </w:r>
      <w:r>
        <w:rPr>
          <w:rFonts w:hint="eastAsia" w:ascii="仿宋" w:hAnsi="仿宋" w:cs="仿宋"/>
          <w:szCs w:val="32"/>
        </w:rPr>
        <w:t>，应先按照法律法规的规定预约交易（开标、评标等）时间或定标时间，预约场地时需上传立项批复、代理合同（自行招标的除外）、招标</w:t>
      </w:r>
      <w:r>
        <w:rPr>
          <w:rFonts w:hint="eastAsia"/>
          <w:kern w:val="2"/>
        </w:rPr>
        <w:t>文件、</w:t>
      </w:r>
      <w:r>
        <w:rPr>
          <w:kern w:val="2"/>
        </w:rPr>
        <w:t>省级工程建设项目进场交易公平竞争审查自查表</w:t>
      </w:r>
      <w:r>
        <w:rPr>
          <w:rFonts w:hint="eastAsia"/>
          <w:kern w:val="2"/>
        </w:rPr>
        <w:t>（见附件）等材料。申请</w:t>
      </w:r>
      <w:r>
        <w:rPr>
          <w:rFonts w:hint="eastAsia" w:ascii="仿宋" w:hAnsi="仿宋" w:cs="仿宋"/>
          <w:szCs w:val="32"/>
        </w:rPr>
        <w:t>进场项目还需提供进场申请函及受理回执。</w:t>
      </w:r>
      <w:r>
        <w:rPr>
          <w:rFonts w:hint="eastAsia" w:ascii="仿宋" w:hAnsi="仿宋" w:cs="仿宋"/>
          <w:kern w:val="2"/>
          <w:szCs w:val="32"/>
        </w:rPr>
        <w:t>能预判需要隔夜评标的，提交“隔夜评标申请函”。场地预约通过后方能发布交易信息。</w:t>
      </w:r>
      <w:r>
        <w:rPr>
          <w:rFonts w:hint="eastAsia" w:ascii="仿宋" w:hAnsi="仿宋" w:cs="仿宋"/>
          <w:szCs w:val="32"/>
        </w:rPr>
        <w:t>项目交易时间发生变更的，先进行场地变更，通过后，再发补遗或澄清。</w:t>
      </w:r>
    </w:p>
    <w:p w14:paraId="4FA0A373">
      <w:pPr>
        <w:pStyle w:val="4"/>
        <w:rPr>
          <w:rStyle w:val="16"/>
          <w:rFonts w:hint="eastAsia"/>
        </w:rPr>
      </w:pPr>
      <w:r>
        <w:rPr>
          <w:rStyle w:val="16"/>
        </w:rPr>
        <w:t>三、信息发布</w:t>
      </w:r>
    </w:p>
    <w:p w14:paraId="3555E458">
      <w:pPr>
        <w:pStyle w:val="10"/>
        <w:ind w:firstLine="640"/>
        <w:jc w:val="both"/>
        <w:rPr>
          <w:rFonts w:hint="eastAsia" w:ascii="仿宋" w:hAnsi="仿宋" w:cs="仿宋"/>
          <w:szCs w:val="32"/>
        </w:rPr>
      </w:pPr>
      <w:r>
        <w:rPr>
          <w:rStyle w:val="18"/>
          <w:bCs w:val="0"/>
          <w:color w:val="auto"/>
        </w:rPr>
        <w:t>（一）交易信息公告、招标文件发布。</w:t>
      </w:r>
      <w:r>
        <w:rPr>
          <w:rFonts w:hint="eastAsia" w:ascii="仿宋" w:hAnsi="仿宋" w:cs="仿宋"/>
          <w:szCs w:val="32"/>
        </w:rPr>
        <w:t>完成场地预约的项目，及时在全国公共资源交易平台（四川省）（https://ggzyjy.sc.gov.cn）发布交易信息公告及招标文件。</w:t>
      </w:r>
    </w:p>
    <w:p w14:paraId="5222CFD5">
      <w:pPr>
        <w:pStyle w:val="10"/>
        <w:ind w:firstLine="640"/>
        <w:jc w:val="both"/>
        <w:rPr>
          <w:rFonts w:hint="eastAsia" w:ascii="仿宋" w:hAnsi="仿宋" w:cs="仿宋"/>
          <w:szCs w:val="32"/>
        </w:rPr>
      </w:pPr>
      <w:r>
        <w:rPr>
          <w:rFonts w:hint="eastAsia" w:ascii="仿宋" w:hAnsi="仿宋" w:cs="仿宋"/>
          <w:szCs w:val="32"/>
        </w:rPr>
        <w:t>若项目因涉密等原因采取线下获取招标文件的，需由招标人在省中心交易受理现场提交书面申请，通过审核流程后，发布交易信息。</w:t>
      </w:r>
    </w:p>
    <w:p w14:paraId="06BCE17D">
      <w:pPr>
        <w:pStyle w:val="10"/>
        <w:ind w:firstLine="640"/>
        <w:jc w:val="both"/>
        <w:rPr>
          <w:rFonts w:hint="eastAsia" w:ascii="仿宋" w:hAnsi="仿宋" w:cs="仿宋"/>
          <w:szCs w:val="32"/>
        </w:rPr>
      </w:pPr>
      <w:r>
        <w:rPr>
          <w:rFonts w:hint="eastAsia" w:ascii="仿宋" w:hAnsi="仿宋" w:cs="仿宋"/>
          <w:szCs w:val="32"/>
        </w:rPr>
        <w:t>资格预审公告、资格预审文件、招标公告和招标文件一经发布不得撤销或屏蔽。确需修改的，应当发布更正（补遗）公告。</w:t>
      </w:r>
    </w:p>
    <w:p w14:paraId="3CA973DC">
      <w:pPr>
        <w:ind w:firstLine="640"/>
        <w:rPr>
          <w:rFonts w:hint="eastAsia" w:ascii="仿宋" w:hAnsi="仿宋" w:cs="仿宋"/>
          <w:szCs w:val="32"/>
        </w:rPr>
      </w:pPr>
      <w:r>
        <w:rPr>
          <w:rStyle w:val="18"/>
          <w:bCs w:val="0"/>
          <w:color w:val="auto"/>
        </w:rPr>
        <w:t>（二）更正（补遗）公告的发布。</w:t>
      </w:r>
      <w:r>
        <w:rPr>
          <w:rFonts w:hint="eastAsia" w:ascii="仿宋" w:hAnsi="仿宋" w:cs="仿宋"/>
          <w:szCs w:val="32"/>
        </w:rPr>
        <w:t>已发布的信息公告如有错误、遗漏需更正的，应通过原媒介发布更正（补遗）公告并注明更正原因（涉及开标时间变更的，应先进行场地变更，通过后，再发更正或补遗公告）。</w:t>
      </w:r>
    </w:p>
    <w:p w14:paraId="3989F24D">
      <w:pPr>
        <w:ind w:firstLine="640"/>
        <w:rPr>
          <w:rFonts w:hint="eastAsia" w:ascii="仿宋" w:hAnsi="仿宋" w:cs="仿宋"/>
          <w:szCs w:val="32"/>
        </w:rPr>
      </w:pPr>
      <w:r>
        <w:rPr>
          <w:rStyle w:val="18"/>
          <w:bCs w:val="0"/>
          <w:color w:val="auto"/>
        </w:rPr>
        <w:t>（三）中标候选人公示及中标结果发布。</w:t>
      </w:r>
      <w:r>
        <w:rPr>
          <w:rFonts w:hint="eastAsia" w:ascii="仿宋" w:hAnsi="仿宋" w:cs="仿宋"/>
          <w:szCs w:val="32"/>
        </w:rPr>
        <w:t>编制依法必须进行招标项目的中标候选人公示，应当使用项目所属行业行政主管部门统一制定的中标候选人公示标准文本。公示期结束（定标）后，应发布中标结果公告。</w:t>
      </w:r>
    </w:p>
    <w:p w14:paraId="7B4E91C0">
      <w:pPr>
        <w:ind w:firstLine="640"/>
        <w:rPr>
          <w:rFonts w:hint="eastAsia" w:ascii="仿宋" w:hAnsi="仿宋" w:cs="仿宋"/>
          <w:szCs w:val="32"/>
        </w:rPr>
      </w:pPr>
      <w:r>
        <w:rPr>
          <w:rStyle w:val="18"/>
          <w:bCs w:val="0"/>
          <w:color w:val="auto"/>
        </w:rPr>
        <w:t>（四）合同公告的发布。</w:t>
      </w:r>
      <w:r>
        <w:rPr>
          <w:rFonts w:hint="eastAsia" w:ascii="仿宋" w:hAnsi="仿宋" w:cs="仿宋"/>
          <w:szCs w:val="32"/>
        </w:rPr>
        <w:t>合同签订后，应按相关行政主管部门要求，在法定时限内公告，合同公告的内容应严格按规定执行。但合同中涉及国家秘密、商业秘密内容的，由招标人依据《中华人民共和国保守国家秘密法》等法律制度规定确定。</w:t>
      </w:r>
    </w:p>
    <w:p w14:paraId="515FB3CF">
      <w:pPr>
        <w:pStyle w:val="4"/>
        <w:rPr>
          <w:rFonts w:hint="eastAsia"/>
          <w:shd w:val="clear" w:color="auto" w:fill="FFFFFF"/>
        </w:rPr>
      </w:pPr>
      <w:r>
        <w:rPr>
          <w:rFonts w:hint="eastAsia"/>
          <w:shd w:val="clear" w:color="auto" w:fill="FFFFFF"/>
        </w:rPr>
        <w:t>四、招标文件获取方式表述</w:t>
      </w:r>
    </w:p>
    <w:p w14:paraId="392A05BB">
      <w:pPr>
        <w:pStyle w:val="10"/>
        <w:widowControl/>
        <w:shd w:val="clear" w:color="auto" w:fill="FFFFFF"/>
        <w:ind w:firstLine="640"/>
        <w:rPr>
          <w:rFonts w:hint="eastAsia" w:ascii="仿宋" w:hAnsi="仿宋" w:cs="仿宋"/>
          <w:szCs w:val="32"/>
        </w:rPr>
      </w:pPr>
      <w:r>
        <w:rPr>
          <w:rFonts w:hint="eastAsia" w:ascii="仿宋" w:hAnsi="仿宋" w:cs="仿宋"/>
          <w:szCs w:val="32"/>
          <w:shd w:val="clear" w:color="auto" w:fill="FFFFFF"/>
        </w:rPr>
        <w:t>在编制招标公告及招标文件时，应按以下表述明确招标文件的获取方式：</w:t>
      </w:r>
    </w:p>
    <w:p w14:paraId="417D355F">
      <w:pPr>
        <w:pStyle w:val="10"/>
        <w:widowControl/>
        <w:shd w:val="clear" w:color="auto" w:fill="FFFFFF"/>
        <w:ind w:firstLine="640"/>
        <w:rPr>
          <w:rFonts w:hint="eastAsia" w:ascii="仿宋" w:hAnsi="仿宋" w:cs="仿宋"/>
          <w:szCs w:val="32"/>
          <w:shd w:val="clear" w:color="auto" w:fill="FFFFFF"/>
        </w:rPr>
      </w:pPr>
      <w:r>
        <w:rPr>
          <w:rStyle w:val="18"/>
          <w:bCs w:val="0"/>
          <w:color w:val="auto"/>
        </w:rPr>
        <w:t>（一）国家投资建设工程类表述为：</w:t>
      </w:r>
      <w:r>
        <w:rPr>
          <w:rFonts w:hint="eastAsia" w:ascii="仿宋" w:hAnsi="仿宋" w:cs="仿宋"/>
          <w:szCs w:val="32"/>
          <w:shd w:val="clear" w:color="auto" w:fill="FFFFFF"/>
        </w:rPr>
        <w:t>凡有意参加投标者，请于___年___月___日开始通过数字证书登录“全国公共资源交易平台（四川省）”（网址https://ggzyjy.sc.gov.cn/）</w:t>
      </w:r>
      <w:r>
        <w:rPr>
          <w:rFonts w:hint="eastAsia" w:ascii="仿宋" w:hAnsi="仿宋" w:cs="仿宋"/>
          <w:szCs w:val="32"/>
        </w:rPr>
        <w:t>—“登录”——“CA登录”—“四川省国家投资建设工程类项目系统”，</w:t>
      </w:r>
      <w:r>
        <w:rPr>
          <w:rFonts w:hint="eastAsia" w:ascii="仿宋" w:hAnsi="仿宋" w:cs="仿宋"/>
          <w:szCs w:val="32"/>
          <w:shd w:val="clear" w:color="auto" w:fill="FFFFFF"/>
        </w:rPr>
        <w:t>通过数字证书免费下载招标资料（招标文件、工程量清单、施工图纸等）。</w:t>
      </w:r>
    </w:p>
    <w:p w14:paraId="58147EE8">
      <w:pPr>
        <w:pStyle w:val="10"/>
        <w:widowControl/>
        <w:shd w:val="clear" w:color="auto" w:fill="FFFFFF"/>
        <w:ind w:firstLine="640"/>
        <w:rPr>
          <w:rFonts w:hint="eastAsia" w:ascii="仿宋" w:hAnsi="仿宋" w:cs="仿宋"/>
          <w:szCs w:val="32"/>
          <w:shd w:val="clear" w:color="auto" w:fill="FFFFFF"/>
        </w:rPr>
      </w:pPr>
      <w:bookmarkStart w:id="0" w:name="OLE_LINK2"/>
      <w:r>
        <w:rPr>
          <w:rStyle w:val="18"/>
          <w:bCs w:val="0"/>
          <w:color w:val="auto"/>
        </w:rPr>
        <w:t>（二）</w:t>
      </w:r>
      <w:r>
        <w:rPr>
          <w:rStyle w:val="18"/>
          <w:rFonts w:hint="eastAsia"/>
          <w:bCs w:val="0"/>
          <w:color w:val="auto"/>
        </w:rPr>
        <w:t>其他类别</w:t>
      </w:r>
      <w:r>
        <w:rPr>
          <w:rStyle w:val="18"/>
          <w:bCs w:val="0"/>
          <w:color w:val="auto"/>
        </w:rPr>
        <w:t>表述为</w:t>
      </w:r>
      <w:bookmarkEnd w:id="0"/>
      <w:r>
        <w:rPr>
          <w:rStyle w:val="18"/>
          <w:bCs w:val="0"/>
          <w:color w:val="auto"/>
        </w:rPr>
        <w:t>：</w:t>
      </w:r>
      <w:r>
        <w:rPr>
          <w:rFonts w:hint="eastAsia" w:ascii="仿宋" w:hAnsi="仿宋" w:cs="仿宋"/>
          <w:szCs w:val="32"/>
          <w:shd w:val="clear" w:color="auto" w:fill="FFFFFF"/>
        </w:rPr>
        <w:t>凡有意参加投标者，请于年_月_日开始通过数字证书登录“全国公共资源交易平台（四川省）”（网址https://ggzyjy.sc.gov.cn/）一“登录”一“CA登录”一“其他类别项目系统”，免费下载招标文件及其它招标资料电子版。</w:t>
      </w:r>
    </w:p>
    <w:p w14:paraId="35639938">
      <w:pPr>
        <w:pStyle w:val="4"/>
        <w:rPr>
          <w:rFonts w:hint="eastAsia"/>
          <w:shd w:val="clear" w:color="auto" w:fill="FFFFFF"/>
        </w:rPr>
      </w:pPr>
      <w:r>
        <w:rPr>
          <w:rFonts w:hint="eastAsia"/>
          <w:shd w:val="clear" w:color="auto" w:fill="FFFFFF"/>
        </w:rPr>
        <w:t>五、投标文件递交方式表述</w:t>
      </w:r>
    </w:p>
    <w:p w14:paraId="0B22AB17">
      <w:pPr>
        <w:pStyle w:val="10"/>
        <w:widowControl/>
        <w:shd w:val="clear" w:color="auto" w:fill="FFFFFF"/>
        <w:ind w:firstLine="640"/>
        <w:rPr>
          <w:rFonts w:hint="eastAsia" w:ascii="仿宋" w:hAnsi="仿宋" w:cs="仿宋"/>
          <w:szCs w:val="32"/>
          <w:shd w:val="clear" w:color="auto" w:fill="FFFFFF"/>
        </w:rPr>
      </w:pPr>
      <w:r>
        <w:rPr>
          <w:rStyle w:val="18"/>
          <w:bCs w:val="0"/>
          <w:color w:val="auto"/>
        </w:rPr>
        <w:t>（一）国家投资建设工程类表述为：</w:t>
      </w:r>
      <w:r>
        <w:rPr>
          <w:rFonts w:hint="eastAsia" w:ascii="仿宋" w:hAnsi="仿宋" w:cs="仿宋"/>
          <w:szCs w:val="32"/>
          <w:shd w:val="clear" w:color="auto" w:fill="FFFFFF"/>
        </w:rPr>
        <w:t>凡有意参加投标者，请登录“全国公共资源交易平台（四川省）”（网址https://ggzyjy.sc.gov.cn/）中“四川省国家投资建设工程类项目系统”，投标文件递交的截止时间（投标截止时间，下同）为___年___月___日___时___分，投标人应在投标截止时间前在线递交经投标人数字证书加密的数据电文形式投标文件，不接受现场递交。并在投标截止时间前授权解密（如未授权解密，开标时该投标文件将无法解密）。</w:t>
      </w:r>
    </w:p>
    <w:p w14:paraId="12DD815D">
      <w:pPr>
        <w:pStyle w:val="10"/>
        <w:widowControl/>
        <w:shd w:val="clear" w:color="auto" w:fill="FFFFFF"/>
        <w:ind w:firstLine="640"/>
        <w:rPr>
          <w:rFonts w:hint="eastAsia" w:ascii="仿宋" w:hAnsi="仿宋" w:cs="仿宋"/>
          <w:szCs w:val="32"/>
          <w:shd w:val="clear" w:color="auto" w:fill="FFFFFF"/>
        </w:rPr>
      </w:pPr>
      <w:r>
        <w:rPr>
          <w:rStyle w:val="18"/>
          <w:bCs w:val="0"/>
          <w:color w:val="auto"/>
        </w:rPr>
        <w:t>（二）</w:t>
      </w:r>
      <w:r>
        <w:rPr>
          <w:rStyle w:val="18"/>
          <w:rFonts w:hint="eastAsia"/>
          <w:bCs w:val="0"/>
          <w:color w:val="auto"/>
        </w:rPr>
        <w:t>其他类别</w:t>
      </w:r>
      <w:r>
        <w:rPr>
          <w:rStyle w:val="18"/>
          <w:bCs w:val="0"/>
          <w:color w:val="auto"/>
        </w:rPr>
        <w:t>表述为：</w:t>
      </w:r>
      <w:r>
        <w:rPr>
          <w:rFonts w:hint="eastAsia" w:ascii="仿宋" w:hAnsi="仿宋" w:cs="仿宋"/>
          <w:szCs w:val="32"/>
          <w:shd w:val="clear" w:color="auto" w:fill="FFFFFF"/>
        </w:rPr>
        <w:t>凡有意参加投标者，请登录“全国公共资源交易平台（四川省）”（网址https://ggzyjy.sc.gov.cn/）中“其他类别项目系统”，投标文件递交的截止时间（投标截止时间，下同）为___年___月___日___时___分，投标人应在投标截止时间前在线递交经投标人数字证书加密的数据电文形式投标文件，不接受现场递交。</w:t>
      </w:r>
    </w:p>
    <w:p w14:paraId="4A3E1EF8">
      <w:pPr>
        <w:pStyle w:val="10"/>
        <w:widowControl/>
        <w:shd w:val="clear" w:color="auto" w:fill="FFFFFF"/>
        <w:ind w:firstLine="640"/>
        <w:rPr>
          <w:rStyle w:val="16"/>
          <w:rFonts w:hint="eastAsia"/>
        </w:rPr>
      </w:pPr>
      <w:r>
        <w:rPr>
          <w:rStyle w:val="16"/>
        </w:rPr>
        <w:t>六、涉及样品评审注意事项</w:t>
      </w:r>
    </w:p>
    <w:p w14:paraId="003986C4">
      <w:pPr>
        <w:pStyle w:val="10"/>
        <w:widowControl/>
        <w:shd w:val="clear" w:color="auto" w:fill="FFFFFF"/>
        <w:ind w:firstLine="640"/>
        <w:rPr>
          <w:rFonts w:hint="eastAsia" w:ascii="仿宋" w:hAnsi="仿宋" w:cs="仿宋"/>
          <w:szCs w:val="32"/>
          <w:shd w:val="clear" w:color="auto" w:fill="FFFFFF"/>
        </w:rPr>
      </w:pPr>
      <w:r>
        <w:rPr>
          <w:rFonts w:hint="eastAsia" w:ascii="仿宋" w:hAnsi="仿宋" w:cs="仿宋"/>
          <w:szCs w:val="32"/>
          <w:shd w:val="clear" w:color="auto" w:fill="FFFFFF"/>
        </w:rPr>
        <w:t>若招标采购中涉及样品评审，原则上只送样品小样，递交地点须在招标文件中明确，若样品体积较大或数量较多的，须提前与省中心交易组织处联系确定样品递交地点。评标结束后，应立即将样品搬离样品摆放区。确因特殊情况不能立即搬离的，在征得省中心同意后，在约定时间内搬离。</w:t>
      </w:r>
    </w:p>
    <w:p w14:paraId="415A7DC8">
      <w:pPr>
        <w:pStyle w:val="4"/>
        <w:rPr>
          <w:rFonts w:hint="eastAsia"/>
        </w:rPr>
      </w:pPr>
      <w:r>
        <w:rPr>
          <w:rFonts w:hint="eastAsia"/>
        </w:rPr>
        <w:t>七、保证金收取及退还</w:t>
      </w:r>
    </w:p>
    <w:p w14:paraId="0850D46B">
      <w:pPr>
        <w:pStyle w:val="5"/>
        <w:rPr>
          <w:rFonts w:hint="eastAsia" w:ascii="仿宋" w:hAnsi="仿宋" w:eastAsia="仿宋" w:cs="仿宋"/>
          <w:bCs w:val="0"/>
          <w:color w:val="auto"/>
          <w:shd w:val="clear" w:color="auto" w:fill="FFFFFF"/>
          <w:lang w:bidi="ar"/>
        </w:rPr>
      </w:pPr>
      <w:r>
        <w:rPr>
          <w:rFonts w:hint="eastAsia" w:ascii="仿宋" w:hAnsi="仿宋" w:eastAsia="仿宋" w:cs="仿宋"/>
          <w:bCs w:val="0"/>
          <w:color w:val="auto"/>
          <w:shd w:val="clear" w:color="auto" w:fill="FFFFFF"/>
          <w:lang w:bidi="ar"/>
        </w:rPr>
        <w:t>依据《中华人民共和国招标投标法实施条例》等规定，招标人（招标代理机构）应依法合规设置保证金收取和退还的机制，并对保证金的收取和退还承担主体责任；依据《四川省公共资源交易平台管理实施细则》有关规定，</w:t>
      </w:r>
      <w:bookmarkStart w:id="3" w:name="_GoBack"/>
      <w:r>
        <w:rPr>
          <w:rFonts w:hint="eastAsia" w:ascii="仿宋" w:hAnsi="仿宋" w:eastAsia="仿宋" w:cs="仿宋"/>
          <w:bCs w:val="0"/>
          <w:color w:val="auto"/>
          <w:shd w:val="clear" w:color="auto" w:fill="FFFFFF"/>
          <w:lang w:bidi="ar"/>
        </w:rPr>
        <w:t>省中心</w:t>
      </w:r>
      <w:r>
        <w:rPr>
          <w:rFonts w:hint="eastAsia" w:ascii="仿宋" w:hAnsi="仿宋" w:eastAsia="仿宋" w:cs="仿宋"/>
          <w:bCs w:val="0"/>
          <w:color w:val="auto"/>
          <w:shd w:val="clear" w:color="auto" w:fill="FFFFFF"/>
          <w:lang w:val="en-US" w:eastAsia="zh-CN" w:bidi="ar"/>
        </w:rPr>
        <w:t>受招标人</w:t>
      </w:r>
      <w:r>
        <w:rPr>
          <w:rFonts w:hint="eastAsia" w:ascii="仿宋" w:hAnsi="仿宋" w:eastAsia="仿宋" w:cs="仿宋"/>
          <w:bCs w:val="0"/>
          <w:color w:val="auto"/>
          <w:shd w:val="clear" w:color="auto" w:fill="FFFFFF"/>
          <w:lang w:bidi="ar"/>
        </w:rPr>
        <w:t>（招标代理机构）</w:t>
      </w:r>
      <w:r>
        <w:rPr>
          <w:rFonts w:hint="eastAsia" w:ascii="仿宋" w:hAnsi="仿宋" w:eastAsia="仿宋" w:cs="仿宋"/>
          <w:bCs w:val="0"/>
          <w:color w:val="auto"/>
          <w:shd w:val="clear" w:color="auto" w:fill="FFFFFF"/>
          <w:lang w:val="en-US" w:eastAsia="zh-CN" w:bidi="ar"/>
        </w:rPr>
        <w:t>委托</w:t>
      </w:r>
      <w:r>
        <w:rPr>
          <w:rFonts w:hint="eastAsia" w:ascii="仿宋" w:hAnsi="仿宋" w:eastAsia="仿宋" w:cs="仿宋"/>
          <w:bCs w:val="0"/>
          <w:color w:val="auto"/>
          <w:shd w:val="clear" w:color="auto" w:fill="FFFFFF"/>
          <w:lang w:bidi="ar"/>
        </w:rPr>
        <w:t>履行保证金代收、代退</w:t>
      </w:r>
      <w:r>
        <w:rPr>
          <w:rFonts w:hint="eastAsia" w:ascii="仿宋" w:hAnsi="仿宋" w:eastAsia="仿宋" w:cs="仿宋"/>
          <w:bCs w:val="0"/>
          <w:color w:val="auto"/>
          <w:shd w:val="clear" w:color="auto" w:fill="FFFFFF"/>
          <w:lang w:val="en-US" w:eastAsia="zh-CN" w:bidi="ar"/>
        </w:rPr>
        <w:t>等相应</w:t>
      </w:r>
      <w:r>
        <w:rPr>
          <w:rFonts w:hint="eastAsia" w:ascii="仿宋" w:hAnsi="仿宋" w:eastAsia="仿宋" w:cs="仿宋"/>
          <w:bCs w:val="0"/>
          <w:color w:val="auto"/>
          <w:shd w:val="clear" w:color="auto" w:fill="FFFFFF"/>
          <w:lang w:bidi="ar"/>
        </w:rPr>
        <w:t>职能，</w:t>
      </w:r>
      <w:bookmarkEnd w:id="3"/>
      <w:r>
        <w:rPr>
          <w:rFonts w:hint="eastAsia" w:ascii="仿宋" w:hAnsi="仿宋" w:eastAsia="仿宋" w:cs="仿宋"/>
          <w:bCs w:val="0"/>
          <w:color w:val="auto"/>
          <w:shd w:val="clear" w:color="auto" w:fill="FFFFFF"/>
          <w:lang w:bidi="ar"/>
        </w:rPr>
        <w:t>接受财政、审计监督。招标人（招标代理机构）及省中心均应严格执行交易保密有关规定，不得泄露应当保密的与交易活动有关的情况和资料。</w:t>
      </w:r>
    </w:p>
    <w:p w14:paraId="515B93BC">
      <w:pPr>
        <w:pStyle w:val="5"/>
        <w:rPr>
          <w:rFonts w:hint="eastAsia"/>
          <w:bCs w:val="0"/>
          <w:color w:val="auto"/>
        </w:rPr>
      </w:pPr>
      <w:r>
        <w:rPr>
          <w:rFonts w:hint="eastAsia"/>
          <w:bCs w:val="0"/>
          <w:color w:val="auto"/>
        </w:rPr>
        <w:t>（一）保证金收取</w:t>
      </w:r>
    </w:p>
    <w:p w14:paraId="6D42DFBA">
      <w:pPr>
        <w:pStyle w:val="5"/>
        <w:shd w:val="clear" w:color="auto" w:fill="FFFFFF"/>
        <w:rPr>
          <w:rFonts w:hint="eastAsia" w:ascii="仿宋" w:hAnsi="仿宋" w:eastAsia="仿宋" w:cs="仿宋"/>
          <w:bCs w:val="0"/>
          <w:color w:val="auto"/>
          <w:shd w:val="clear" w:color="auto" w:fill="FFFFFF"/>
          <w:lang w:bidi="ar"/>
        </w:rPr>
      </w:pPr>
      <w:r>
        <w:rPr>
          <w:rFonts w:hint="eastAsia" w:ascii="仿宋" w:hAnsi="仿宋" w:eastAsia="仿宋" w:cs="仿宋"/>
          <w:bCs w:val="0"/>
          <w:color w:val="auto"/>
          <w:shd w:val="clear" w:color="auto" w:fill="FFFFFF"/>
          <w:lang w:bidi="ar"/>
        </w:rPr>
        <w:t>保证金收取有以下三种方式，招标人（招标代理机构）可自主选择，在编制招标文件时予以明确。</w:t>
      </w:r>
    </w:p>
    <w:p w14:paraId="1DF7531D">
      <w:pPr>
        <w:pStyle w:val="10"/>
        <w:widowControl/>
        <w:numPr>
          <w:ilvl w:val="255"/>
          <w:numId w:val="0"/>
        </w:numPr>
        <w:shd w:val="clear" w:color="auto" w:fill="FFFFFF"/>
        <w:ind w:firstLine="640" w:firstLineChars="200"/>
        <w:rPr>
          <w:rFonts w:hint="eastAsia" w:ascii="仿宋" w:hAnsi="仿宋" w:cs="仿宋"/>
          <w:szCs w:val="32"/>
          <w:shd w:val="clear" w:color="auto" w:fill="FFFFFF"/>
        </w:rPr>
      </w:pPr>
      <w:r>
        <w:rPr>
          <w:rFonts w:hint="eastAsia" w:ascii="仿宋" w:hAnsi="仿宋" w:cs="仿宋"/>
          <w:szCs w:val="32"/>
          <w:shd w:val="clear" w:color="auto" w:fill="FFFFFF"/>
        </w:rPr>
        <w:t>1.转账方式。投标人登录《全国公共资源交易平台（四川省）》的国家投资建设工程类项目系统或其他类别项目系统（以下统称“交易系统”），选择参与的项目生成保证金虚拟子账号，通过投标人的基本账户转账支付，投标保证金应在投标截止时间前到账至指定账户（以收款银行到账时间为准）。投标人需将保证金交纳凭证附入投标文件。</w:t>
      </w:r>
    </w:p>
    <w:p w14:paraId="0ED55F2E">
      <w:pPr>
        <w:pStyle w:val="10"/>
        <w:widowControl/>
        <w:numPr>
          <w:ilvl w:val="255"/>
          <w:numId w:val="0"/>
        </w:numPr>
        <w:shd w:val="clear" w:color="auto" w:fill="FFFFFF"/>
        <w:ind w:firstLine="640" w:firstLineChars="200"/>
        <w:rPr>
          <w:rFonts w:hint="eastAsia" w:ascii="仿宋" w:hAnsi="仿宋" w:cs="仿宋"/>
          <w:szCs w:val="32"/>
          <w:shd w:val="clear" w:color="auto" w:fill="FFFFFF"/>
        </w:rPr>
      </w:pPr>
      <w:r>
        <w:rPr>
          <w:rFonts w:hint="eastAsia" w:ascii="仿宋" w:hAnsi="仿宋" w:cs="仿宋"/>
          <w:szCs w:val="32"/>
          <w:shd w:val="clear" w:color="auto" w:fill="FFFFFF"/>
        </w:rPr>
        <w:t>针对涉密项目，投标人登录《全国公共资源交易平台（四川省）》的其他类别项目系统，进入“其他交易——投标保证金”栏目，获取保证金虚拟子账号，完成保证金交纳。</w:t>
      </w:r>
    </w:p>
    <w:p w14:paraId="04B6E87B">
      <w:pPr>
        <w:pStyle w:val="10"/>
        <w:widowControl/>
        <w:numPr>
          <w:ilvl w:val="255"/>
          <w:numId w:val="0"/>
        </w:numPr>
        <w:shd w:val="clear" w:color="auto" w:fill="FFFFFF"/>
        <w:ind w:firstLine="640" w:firstLineChars="200"/>
        <w:rPr>
          <w:rFonts w:hint="eastAsia" w:ascii="仿宋" w:hAnsi="仿宋" w:cs="仿宋"/>
          <w:szCs w:val="32"/>
          <w:shd w:val="clear" w:color="auto" w:fill="FFFFFF"/>
        </w:rPr>
      </w:pPr>
      <w:r>
        <w:rPr>
          <w:rFonts w:hint="eastAsia" w:ascii="仿宋" w:hAnsi="仿宋" w:cs="仿宋"/>
          <w:szCs w:val="32"/>
          <w:shd w:val="clear" w:color="auto" w:fill="FFFFFF"/>
        </w:rPr>
        <w:t>2.电子保函（保险保单）。投标人登录《全国公共资源交易平台（四川省）》的交易系统，申办电子保函（保险保单）。生效时间最迟不晚于投标截止时间，在投标有效期内保持有效。投标人需将加密的电子保函（保险保单）扫描件附入投标文件。</w:t>
      </w:r>
    </w:p>
    <w:p w14:paraId="162C192F">
      <w:pPr>
        <w:pStyle w:val="10"/>
        <w:widowControl/>
        <w:shd w:val="clear" w:color="auto" w:fill="FFFFFF"/>
        <w:ind w:firstLine="640"/>
        <w:rPr>
          <w:rStyle w:val="18"/>
          <w:rFonts w:hint="eastAsia"/>
          <w:bCs w:val="0"/>
          <w:color w:val="auto"/>
        </w:rPr>
      </w:pPr>
      <w:r>
        <w:rPr>
          <w:rFonts w:hint="eastAsia" w:ascii="仿宋" w:hAnsi="仿宋" w:cs="仿宋"/>
          <w:szCs w:val="32"/>
          <w:shd w:val="clear" w:color="auto" w:fill="FFFFFF"/>
        </w:rPr>
        <w:t>3.纸质保函（保险保单）。纸质保函（保险保单）生效时间最迟不晚于投标截止时间，在投标有效期内保持有效。投标人需将保函或保险合同扫描件附入投标文件中，并在投标截止时间前，在开标现场将原件递交给招标人（招标代理机构）。</w:t>
      </w:r>
    </w:p>
    <w:p w14:paraId="32BA3346">
      <w:pPr>
        <w:pStyle w:val="10"/>
        <w:widowControl/>
        <w:shd w:val="clear" w:color="auto" w:fill="FFFFFF"/>
        <w:ind w:firstLine="640"/>
        <w:rPr>
          <w:rStyle w:val="18"/>
          <w:rFonts w:hint="eastAsia"/>
          <w:bCs w:val="0"/>
          <w:color w:val="auto"/>
        </w:rPr>
      </w:pPr>
      <w:r>
        <w:rPr>
          <w:rStyle w:val="18"/>
          <w:bCs w:val="0"/>
          <w:color w:val="auto"/>
        </w:rPr>
        <w:t>（二）保证金退还</w:t>
      </w:r>
    </w:p>
    <w:p w14:paraId="49E4D64E">
      <w:pPr>
        <w:pStyle w:val="10"/>
        <w:widowControl/>
        <w:shd w:val="clear" w:color="auto" w:fill="FFFFFF"/>
        <w:ind w:firstLine="640"/>
        <w:rPr>
          <w:rFonts w:hint="eastAsia" w:ascii="仿宋" w:hAnsi="仿宋" w:cs="仿宋"/>
          <w:szCs w:val="32"/>
          <w:shd w:val="clear" w:color="auto" w:fill="FFFFFF"/>
        </w:rPr>
      </w:pPr>
      <w:r>
        <w:rPr>
          <w:rFonts w:hint="eastAsia" w:ascii="仿宋" w:hAnsi="仿宋" w:cs="仿宋"/>
          <w:szCs w:val="32"/>
          <w:shd w:val="clear" w:color="auto" w:fill="FFFFFF"/>
        </w:rPr>
        <w:t>1.正常退付。招标人（招标代理机构）须在中标结果公示后</w:t>
      </w:r>
      <w:r>
        <w:rPr>
          <w:rFonts w:hint="eastAsia" w:ascii="仿宋" w:hAnsi="仿宋" w:cs="仿宋"/>
          <w:szCs w:val="32"/>
          <w:shd w:val="clear" w:color="auto" w:fill="FFFFFF"/>
          <w:lang w:val="en-US" w:eastAsia="zh-CN"/>
        </w:rPr>
        <w:t>及时</w:t>
      </w:r>
      <w:r>
        <w:rPr>
          <w:rFonts w:hint="eastAsia" w:ascii="仿宋" w:hAnsi="仿宋" w:cs="仿宋"/>
          <w:szCs w:val="32"/>
          <w:shd w:val="clear" w:color="auto" w:fill="FFFFFF"/>
        </w:rPr>
        <w:t>登录交易系统，发起非中标候选人保证金退还申请；最迟应在正式合同签订后5日内，发起中标候选人保证金退还申请。</w:t>
      </w:r>
    </w:p>
    <w:p w14:paraId="3A7B8A2B">
      <w:pPr>
        <w:pStyle w:val="10"/>
        <w:widowControl/>
        <w:shd w:val="clear" w:color="auto" w:fill="FFFFFF"/>
        <w:ind w:firstLine="640"/>
        <w:rPr>
          <w:rFonts w:hint="eastAsia" w:ascii="仿宋" w:hAnsi="仿宋" w:cs="仿宋"/>
          <w:szCs w:val="32"/>
          <w:shd w:val="clear" w:color="auto" w:fill="FFFFFF"/>
        </w:rPr>
      </w:pPr>
      <w:r>
        <w:rPr>
          <w:rFonts w:hint="eastAsia" w:ascii="仿宋" w:hAnsi="仿宋" w:cs="仿宋"/>
          <w:szCs w:val="32"/>
          <w:shd w:val="clear" w:color="auto" w:fill="FFFFFF"/>
        </w:rPr>
        <w:t>投标人在提交保证金后，因企业注销、破产、涉诉等原因导致无法原路径退还的，招标人（招标代理机构）应对投标人提交的书面变更申请和相关有效证明材料确认签章后，省中心方可办理。</w:t>
      </w:r>
    </w:p>
    <w:p w14:paraId="265A3190">
      <w:pPr>
        <w:pStyle w:val="10"/>
        <w:widowControl/>
        <w:numPr>
          <w:ilvl w:val="255"/>
          <w:numId w:val="0"/>
        </w:numPr>
        <w:shd w:val="clear" w:color="auto" w:fill="FFFFFF"/>
        <w:ind w:firstLine="640" w:firstLineChars="200"/>
        <w:rPr>
          <w:rFonts w:hint="eastAsia" w:ascii="仿宋" w:hAnsi="仿宋" w:cs="仿宋"/>
          <w:szCs w:val="32"/>
          <w:shd w:val="clear" w:color="auto" w:fill="FFFFFF"/>
        </w:rPr>
      </w:pPr>
      <w:r>
        <w:rPr>
          <w:rFonts w:hint="eastAsia" w:ascii="仿宋" w:hAnsi="仿宋" w:cs="仿宋"/>
          <w:szCs w:val="32"/>
          <w:shd w:val="clear" w:color="auto" w:fill="FFFFFF"/>
        </w:rPr>
        <w:t>2.超期保证金退付。超过</w:t>
      </w:r>
      <w:r>
        <w:rPr>
          <w:rFonts w:hint="eastAsia"/>
          <w:spacing w:val="9"/>
          <w:szCs w:val="32"/>
        </w:rPr>
        <w:t>招标人（招标代理机构）录入</w:t>
      </w:r>
      <w:r>
        <w:rPr>
          <w:rFonts w:hint="eastAsia" w:ascii="仿宋" w:hAnsi="仿宋" w:cs="仿宋"/>
          <w:szCs w:val="32"/>
          <w:shd w:val="clear" w:color="auto" w:fill="FFFFFF"/>
        </w:rPr>
        <w:t>交易系统</w:t>
      </w:r>
      <w:r>
        <w:rPr>
          <w:rFonts w:hint="eastAsia"/>
          <w:spacing w:val="9"/>
          <w:szCs w:val="32"/>
        </w:rPr>
        <w:t>的</w:t>
      </w:r>
      <w:r>
        <w:rPr>
          <w:rFonts w:hint="eastAsia" w:ascii="仿宋" w:hAnsi="仿宋" w:cs="仿宋"/>
          <w:szCs w:val="32"/>
          <w:shd w:val="clear" w:color="auto" w:fill="FFFFFF"/>
        </w:rPr>
        <w:t>投标有效期且招标人（招标代理机构）未发起退还申请的，省中心将在投标有效期届满后按原路径自动退回。</w:t>
      </w:r>
    </w:p>
    <w:p w14:paraId="168C8EAF">
      <w:pPr>
        <w:pStyle w:val="10"/>
        <w:widowControl/>
        <w:numPr>
          <w:ilvl w:val="255"/>
          <w:numId w:val="0"/>
        </w:numPr>
        <w:shd w:val="clear" w:color="auto" w:fill="FFFFFF"/>
        <w:ind w:firstLine="640" w:firstLineChars="200"/>
        <w:rPr>
          <w:rFonts w:hint="eastAsia" w:ascii="仿宋" w:hAnsi="仿宋" w:cs="仿宋"/>
          <w:szCs w:val="32"/>
          <w:shd w:val="clear" w:color="auto" w:fill="FFFFFF"/>
        </w:rPr>
      </w:pPr>
      <w:r>
        <w:rPr>
          <w:rFonts w:hint="eastAsia" w:ascii="仿宋" w:hAnsi="仿宋" w:cs="仿宋"/>
          <w:szCs w:val="32"/>
          <w:shd w:val="clear" w:color="auto" w:fill="FFFFFF"/>
        </w:rPr>
        <w:t>若</w:t>
      </w:r>
      <w:r>
        <w:rPr>
          <w:rFonts w:hint="eastAsia" w:ascii="Times New Roman" w:hAnsi="Times New Roman" w:eastAsia="方正仿宋_GBK"/>
          <w:szCs w:val="32"/>
        </w:rPr>
        <w:t>有特殊情况需暂缓退还（或不予退还）的，招标人（招标代理机构）应当在投标有效期内通过</w:t>
      </w:r>
      <w:r>
        <w:rPr>
          <w:rFonts w:hint="eastAsia" w:ascii="仿宋" w:hAnsi="仿宋" w:cs="仿宋"/>
          <w:szCs w:val="32"/>
          <w:shd w:val="clear" w:color="auto" w:fill="FFFFFF"/>
        </w:rPr>
        <w:t>交易系统</w:t>
      </w:r>
      <w:r>
        <w:rPr>
          <w:rFonts w:hint="eastAsia" w:ascii="Times New Roman" w:hAnsi="Times New Roman" w:eastAsia="方正仿宋_GBK"/>
          <w:szCs w:val="32"/>
        </w:rPr>
        <w:t>发起暂缓退还（或不予退还）申请；</w:t>
      </w:r>
      <w:r>
        <w:rPr>
          <w:rFonts w:hint="eastAsia" w:ascii="仿宋" w:hAnsi="仿宋" w:cs="仿宋"/>
          <w:szCs w:val="32"/>
          <w:shd w:val="clear" w:color="auto" w:fill="FFFFFF"/>
        </w:rPr>
        <w:t>未及时提交暂缓退还（或不予退还）申请，超期保证金退还的，后果由招标人（招标代理机构）承担。</w:t>
      </w:r>
    </w:p>
    <w:p w14:paraId="3A7633EE">
      <w:pPr>
        <w:pStyle w:val="10"/>
        <w:widowControl/>
        <w:shd w:val="clear" w:color="auto" w:fill="FFFFFF"/>
        <w:ind w:firstLine="708"/>
        <w:rPr>
          <w:rFonts w:hint="eastAsia" w:ascii="仿宋" w:hAnsi="仿宋" w:cs="仿宋"/>
          <w:szCs w:val="32"/>
          <w:shd w:val="clear" w:color="auto" w:fill="FFFFFF"/>
        </w:rPr>
      </w:pPr>
      <w:r>
        <w:rPr>
          <w:spacing w:val="17"/>
        </w:rPr>
        <w:t>暂缓退还保证金事项消除后，</w:t>
      </w:r>
      <w:r>
        <w:rPr>
          <w:rFonts w:hint="eastAsia"/>
          <w:spacing w:val="17"/>
        </w:rPr>
        <w:t>招标人（招标代理机构）</w:t>
      </w:r>
      <w:r>
        <w:rPr>
          <w:spacing w:val="17"/>
        </w:rPr>
        <w:t>应提</w:t>
      </w:r>
      <w:r>
        <w:rPr>
          <w:spacing w:val="7"/>
        </w:rPr>
        <w:t>交解除暂缓退还保证金申请，并重新发起退还申请</w:t>
      </w:r>
      <w:r>
        <w:rPr>
          <w:spacing w:val="6"/>
        </w:rPr>
        <w:t>。</w:t>
      </w:r>
    </w:p>
    <w:p w14:paraId="57E5F0BE">
      <w:pPr>
        <w:pStyle w:val="10"/>
        <w:widowControl/>
        <w:shd w:val="clear" w:color="auto" w:fill="FFFFFF"/>
        <w:ind w:firstLine="640"/>
        <w:rPr>
          <w:rFonts w:hint="eastAsia" w:ascii="仿宋" w:hAnsi="仿宋" w:cs="仿宋"/>
          <w:szCs w:val="32"/>
          <w:shd w:val="clear" w:color="auto" w:fill="FFFFFF"/>
        </w:rPr>
      </w:pPr>
      <w:r>
        <w:rPr>
          <w:rFonts w:hint="eastAsia" w:ascii="仿宋" w:hAnsi="仿宋" w:cs="仿宋"/>
          <w:szCs w:val="32"/>
          <w:shd w:val="clear" w:color="auto" w:fill="FFFFFF"/>
        </w:rPr>
        <w:t>3.沉淀保证金处理。超过投标有效期（招标人或招标代理机构在交易系统录入的投标有效期）90日仍未退还的保证金为沉淀保证金，省中心将在省平台发布沉淀保证金明细公告。公告发布90日内，招标人（招标代理机构）应提交投标保证金移送申请，省中心根据移送申请将沉淀保证金移送招标人。公告发布90日后，仍未提交移送申请的，省中心按照《民法典》有关规定办理提存公证，提存公证期满后由公证</w:t>
      </w:r>
      <w:r>
        <w:rPr>
          <w:rFonts w:hint="eastAsia" w:ascii="仿宋" w:hAnsi="仿宋" w:cs="仿宋"/>
          <w:color w:val="auto"/>
          <w:szCs w:val="32"/>
          <w:shd w:val="clear" w:color="auto" w:fill="FFFFFF"/>
        </w:rPr>
        <w:t>处</w:t>
      </w:r>
      <w:r>
        <w:rPr>
          <w:rFonts w:hint="eastAsia" w:ascii="仿宋" w:hAnsi="仿宋" w:cs="仿宋"/>
          <w:color w:val="auto"/>
          <w:szCs w:val="32"/>
          <w:shd w:val="clear" w:color="auto" w:fill="FFFFFF"/>
          <w:lang w:val="en-US" w:eastAsia="zh-CN"/>
        </w:rPr>
        <w:t>扣除提存费用</w:t>
      </w:r>
      <w:r>
        <w:rPr>
          <w:rFonts w:hint="eastAsia" w:ascii="仿宋" w:hAnsi="仿宋" w:cs="仿宋"/>
          <w:szCs w:val="32"/>
          <w:shd w:val="clear" w:color="auto" w:fill="FFFFFF"/>
          <w:lang w:val="en-US" w:eastAsia="zh-CN"/>
        </w:rPr>
        <w:t>后将其余额</w:t>
      </w:r>
      <w:r>
        <w:rPr>
          <w:rFonts w:hint="eastAsia" w:ascii="仿宋" w:hAnsi="仿宋" w:cs="仿宋"/>
          <w:szCs w:val="32"/>
          <w:shd w:val="clear" w:color="auto" w:fill="FFFFFF"/>
        </w:rPr>
        <w:t>上缴国库。</w:t>
      </w:r>
    </w:p>
    <w:p w14:paraId="75817DE2">
      <w:pPr>
        <w:pStyle w:val="10"/>
        <w:widowControl/>
        <w:shd w:val="clear" w:color="auto" w:fill="FFFFFF"/>
        <w:ind w:firstLine="640"/>
        <w:rPr>
          <w:rFonts w:hint="eastAsia" w:ascii="仿宋" w:hAnsi="仿宋" w:cs="仿宋"/>
          <w:szCs w:val="32"/>
          <w:shd w:val="clear" w:color="auto" w:fill="FFFFFF"/>
        </w:rPr>
      </w:pPr>
      <w:r>
        <w:rPr>
          <w:rFonts w:hint="eastAsia" w:ascii="仿宋" w:hAnsi="仿宋" w:cs="仿宋"/>
          <w:szCs w:val="32"/>
          <w:shd w:val="clear" w:color="auto" w:fill="FFFFFF"/>
        </w:rPr>
        <w:t>4.电子保函、电子保单到期自动失效。纸质保函由招标人（招标代理机构）按规定处理。</w:t>
      </w:r>
    </w:p>
    <w:p w14:paraId="6D32EBFE">
      <w:pPr>
        <w:pStyle w:val="4"/>
        <w:rPr>
          <w:rFonts w:hint="eastAsia"/>
        </w:rPr>
      </w:pPr>
      <w:r>
        <w:rPr>
          <w:rFonts w:hint="eastAsia"/>
        </w:rPr>
        <w:t>八、开标环节。</w:t>
      </w:r>
    </w:p>
    <w:p w14:paraId="591B8DE4">
      <w:pPr>
        <w:pStyle w:val="5"/>
        <w:rPr>
          <w:rFonts w:hint="eastAsia"/>
          <w:bCs w:val="0"/>
          <w:color w:val="auto"/>
        </w:rPr>
      </w:pPr>
      <w:r>
        <w:rPr>
          <w:rFonts w:hint="eastAsia"/>
          <w:bCs w:val="0"/>
          <w:color w:val="auto"/>
        </w:rPr>
        <w:t>（一）身份核验</w:t>
      </w:r>
    </w:p>
    <w:p w14:paraId="7C641857">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1.招标人（招标代理机构）应在开标前登录系统通过【场地预约】-【开标人员信息录入】菜单录入开标人员信息并上传相应证明材料，并于开标当日投标截止时间前30分钟办理进场手续。录入系统的所有参与开标人员需带身份证原件进行身份核验</w:t>
      </w:r>
      <w:r>
        <w:rPr>
          <w:rFonts w:hint="eastAsia" w:ascii="黑体" w:hAnsi="黑体" w:eastAsia="黑体" w:cs="黑体"/>
          <w:kern w:val="0"/>
          <w:szCs w:val="32"/>
          <w:shd w:val="clear" w:color="auto" w:fill="FFFFFF"/>
          <w:lang w:bidi="ar"/>
        </w:rPr>
        <w:t>。</w:t>
      </w:r>
      <w:r>
        <w:rPr>
          <w:rFonts w:hint="eastAsia" w:ascii="仿宋" w:hAnsi="仿宋" w:cs="仿宋"/>
          <w:kern w:val="0"/>
          <w:szCs w:val="32"/>
          <w:shd w:val="clear" w:color="auto" w:fill="FFFFFF"/>
          <w:lang w:bidi="ar"/>
        </w:rPr>
        <w:t>（1）自主招标的项目，由招标人录入开标人员信息（含招标人、项目监督人员）并上传业主单位介绍信及其身份证复印件、监督单位介绍信及其身份证复印件。</w:t>
      </w:r>
    </w:p>
    <w:p w14:paraId="2330E8E1">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2）委托招标的项目，由招标代理机构项目录入开标人员信息（含招标人、项目监督人员、招标代理机构项目负责人和技术人员）并上传业主单位介绍信及其身份证复印件、监督单位介绍信及其身份证复印件、招标代理机构介绍信及其身份证复印件、招标代理服务委托合同（含补充协议等）。</w:t>
      </w:r>
    </w:p>
    <w:p w14:paraId="23F1076A">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rPr>
        <w:t>（3）</w:t>
      </w:r>
      <w:r>
        <w:rPr>
          <w:rFonts w:hint="eastAsia" w:ascii="仿宋" w:hAnsi="仿宋" w:cs="仿宋"/>
          <w:kern w:val="0"/>
          <w:szCs w:val="32"/>
          <w:shd w:val="clear" w:color="auto" w:fill="FFFFFF"/>
          <w:lang w:bidi="ar"/>
        </w:rPr>
        <w:t>若为依法必须招标的项目，需关联选择招标代理机构比选平台信息，录入招标代理机构人员时直接挑选人员。若为非依法必须招标的项目，录入招标代理机构人员时直接新增。</w:t>
      </w:r>
    </w:p>
    <w:p w14:paraId="4D7A83AC">
      <w:pPr>
        <w:widowControl/>
        <w:numPr>
          <w:ilvl w:val="0"/>
          <w:numId w:val="1"/>
        </w:numPr>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若涉及特殊情况不能在系统录入开标人员信息的，请持介绍信原件、身份证原件及复印件、招标代理服务委托合同等证明材料，在规定时间前核验身份并办理进场手续。</w:t>
      </w:r>
    </w:p>
    <w:p w14:paraId="4D48DDC0">
      <w:pPr>
        <w:pStyle w:val="5"/>
        <w:rPr>
          <w:rFonts w:hint="eastAsia"/>
          <w:bCs w:val="0"/>
          <w:color w:val="auto"/>
        </w:rPr>
      </w:pPr>
      <w:r>
        <w:rPr>
          <w:rFonts w:hint="eastAsia"/>
          <w:bCs w:val="0"/>
          <w:color w:val="auto"/>
        </w:rPr>
        <w:t>（二）组织开标</w:t>
      </w:r>
    </w:p>
    <w:p w14:paraId="75750513">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1.招标人（招标代理机构）应提前做好开标人员安排及通知、开标资料及工具准备、熟悉开评标及系统操作流程等准备工作。</w:t>
      </w:r>
    </w:p>
    <w:p w14:paraId="501BF5C1">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2.招标人（招标代理机构）应准备好下列开标资料及工具：</w:t>
      </w:r>
    </w:p>
    <w:p w14:paraId="3ABE682A">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（1）非电子招投标的，应提前准备开标记录表、投标文件签收登记表、编制招标文件时使用的CA数字证书（如有）等；电子招投标的，应提前准备编制招标文件时使用的CA数字证书等。</w:t>
      </w:r>
    </w:p>
    <w:p w14:paraId="2AA72977">
      <w:pPr>
        <w:widowControl/>
        <w:shd w:val="clear" w:color="auto" w:fill="FFFFFF"/>
        <w:ind w:firstLine="640"/>
        <w:jc w:val="left"/>
        <w:rPr>
          <w:rFonts w:hint="eastAsia" w:ascii="仿宋" w:hAnsi="仿宋" w:cs="仿宋"/>
          <w:kern w:val="0"/>
          <w:szCs w:val="32"/>
          <w:shd w:val="clear" w:color="auto" w:fill="FFFFFF"/>
          <w:lang w:bidi="ar"/>
        </w:rPr>
      </w:pPr>
      <w:r>
        <w:rPr>
          <w:rFonts w:hint="eastAsia" w:ascii="仿宋" w:hAnsi="仿宋" w:cs="仿宋"/>
          <w:kern w:val="0"/>
          <w:szCs w:val="32"/>
          <w:shd w:val="clear" w:color="auto" w:fill="FFFFFF"/>
          <w:lang w:bidi="ar"/>
        </w:rPr>
        <w:t>（2）根据招标项目实际情况准备标书开启工具、电子文档存储工具、开评标所需文具等。</w:t>
      </w:r>
    </w:p>
    <w:p w14:paraId="095F9BF2">
      <w:pPr>
        <w:pStyle w:val="10"/>
        <w:widowControl/>
        <w:ind w:firstLine="640"/>
        <w:rPr>
          <w:rFonts w:hint="eastAsia" w:ascii="仿宋" w:hAnsi="仿宋" w:cs="仿宋"/>
          <w:szCs w:val="32"/>
          <w:shd w:val="clear" w:color="auto" w:fill="FFFFFF"/>
          <w:lang w:bidi="ar"/>
        </w:rPr>
      </w:pPr>
      <w:r>
        <w:rPr>
          <w:rFonts w:hint="eastAsia" w:ascii="仿宋" w:hAnsi="仿宋" w:cs="仿宋"/>
          <w:szCs w:val="32"/>
          <w:shd w:val="clear" w:color="auto" w:fill="FFFFFF"/>
          <w:lang w:bidi="ar"/>
        </w:rPr>
        <w:t>3.采用“双信封”模式开评标的交通项目【即：第一信封（商务及技术文件）和第二信封（报价文件）】，开标活动结束后，招标人（招标代理机构）须将第二信封文件单独封装好再移送至评审区。</w:t>
      </w:r>
    </w:p>
    <w:p w14:paraId="6AF74A52">
      <w:pPr>
        <w:pStyle w:val="4"/>
        <w:rPr>
          <w:rFonts w:hint="eastAsia"/>
        </w:rPr>
      </w:pPr>
      <w:r>
        <w:rPr>
          <w:rFonts w:hint="eastAsia"/>
        </w:rPr>
        <w:t>九、评标环节</w:t>
      </w:r>
    </w:p>
    <w:p w14:paraId="5881FAC9">
      <w:pPr>
        <w:pStyle w:val="5"/>
        <w:rPr>
          <w:rFonts w:hint="eastAsia" w:ascii="仿宋" w:hAnsi="仿宋" w:eastAsia="仿宋" w:cs="仿宋"/>
        </w:rPr>
      </w:pPr>
      <w:r>
        <w:rPr>
          <w:rFonts w:hint="eastAsia" w:ascii="仿宋" w:hAnsi="仿宋" w:eastAsia="仿宋" w:cs="仿宋"/>
        </w:rPr>
        <w:t>（一）</w:t>
      </w:r>
      <w:r>
        <w:rPr>
          <w:rFonts w:hint="eastAsia"/>
        </w:rPr>
        <w:t>评标专家抽取。</w:t>
      </w:r>
    </w:p>
    <w:p w14:paraId="60003A2E">
      <w:pPr>
        <w:adjustRightInd w:val="0"/>
        <w:ind w:firstLine="640"/>
        <w:rPr>
          <w:rFonts w:hint="eastAsia" w:ascii="仿宋" w:hAnsi="仿宋" w:cs="仿宋"/>
          <w:szCs w:val="32"/>
        </w:rPr>
      </w:pPr>
      <w:r>
        <w:rPr>
          <w:rFonts w:hint="eastAsia" w:ascii="仿宋" w:hAnsi="仿宋" w:cs="仿宋"/>
          <w:szCs w:val="32"/>
        </w:rPr>
        <w:t>1.进场交易并在四川省综合评标专家库抽取评标专家的工程建设类项目，应在省中心专家抽取终端抽取</w:t>
      </w:r>
      <w:r>
        <w:rPr>
          <w:rFonts w:hint="eastAsia" w:ascii="仿宋" w:hAnsi="仿宋" w:cs="仿宋"/>
          <w:color w:val="0000FF"/>
          <w:szCs w:val="32"/>
        </w:rPr>
        <w:t>。</w:t>
      </w:r>
    </w:p>
    <w:p w14:paraId="055A9C1C">
      <w:pPr>
        <w:adjustRightInd w:val="0"/>
        <w:ind w:firstLine="640"/>
        <w:rPr>
          <w:rFonts w:hint="eastAsia" w:ascii="仿宋" w:hAnsi="仿宋" w:cs="仿宋"/>
          <w:szCs w:val="32"/>
        </w:rPr>
      </w:pPr>
      <w:r>
        <w:rPr>
          <w:rFonts w:hint="eastAsia" w:ascii="仿宋" w:hAnsi="仿宋" w:cs="仿宋"/>
          <w:szCs w:val="32"/>
        </w:rPr>
        <w:t>2.抽取评标专家原则上应在投标截止时间后一小时内进行。</w:t>
      </w:r>
    </w:p>
    <w:p w14:paraId="6BF6D96E">
      <w:pPr>
        <w:numPr>
          <w:ilvl w:val="255"/>
          <w:numId w:val="0"/>
        </w:numPr>
        <w:adjustRightInd w:val="0"/>
        <w:ind w:firstLine="640" w:firstLineChars="200"/>
        <w:jc w:val="left"/>
        <w:rPr>
          <w:rFonts w:hint="eastAsia" w:ascii="仿宋" w:hAnsi="仿宋" w:cs="仿宋"/>
          <w:szCs w:val="32"/>
        </w:rPr>
      </w:pPr>
      <w:r>
        <w:rPr>
          <w:rFonts w:hint="eastAsia" w:ascii="仿宋" w:hAnsi="仿宋" w:cs="仿宋"/>
          <w:szCs w:val="32"/>
        </w:rPr>
        <w:t>3.专家抽取相关资料准备：参加抽取评标专家的招标人（中介服务机构）按照公共资源交易信息网的“综合评标专家库”中“资料下载—评标专家抽取指南”要求准备资料。网址为：（https://ggzyjy.sc.gov.cn/）。</w:t>
      </w:r>
    </w:p>
    <w:p w14:paraId="76DEA119">
      <w:pPr>
        <w:numPr>
          <w:ilvl w:val="255"/>
          <w:numId w:val="0"/>
        </w:numPr>
        <w:adjustRightInd w:val="0"/>
        <w:ind w:firstLine="640" w:firstLineChars="200"/>
        <w:jc w:val="left"/>
        <w:rPr>
          <w:rFonts w:hint="eastAsia" w:ascii="仿宋" w:hAnsi="仿宋" w:cs="仿宋"/>
          <w:szCs w:val="32"/>
        </w:rPr>
      </w:pPr>
      <w:r>
        <w:rPr>
          <w:rFonts w:hint="eastAsia" w:ascii="仿宋" w:hAnsi="仿宋" w:cs="仿宋"/>
          <w:szCs w:val="32"/>
        </w:rPr>
        <w:t>4.我省国家机关、事业单位和团体组织实施的依法必须招标项目评标委员会中的招标人代表需要按以下要求提供资料：</w:t>
      </w:r>
    </w:p>
    <w:p w14:paraId="7F9962C9">
      <w:pPr>
        <w:numPr>
          <w:ilvl w:val="255"/>
          <w:numId w:val="0"/>
        </w:numPr>
        <w:adjustRightInd w:val="0"/>
        <w:ind w:firstLine="640" w:firstLineChars="200"/>
        <w:jc w:val="left"/>
        <w:rPr>
          <w:rFonts w:hint="eastAsia" w:ascii="仿宋" w:hAnsi="仿宋" w:cs="仿宋"/>
          <w:szCs w:val="32"/>
        </w:rPr>
      </w:pPr>
      <w:r>
        <w:rPr>
          <w:rFonts w:hint="eastAsia" w:ascii="仿宋" w:hAnsi="仿宋" w:cs="仿宋"/>
          <w:szCs w:val="32"/>
        </w:rPr>
        <w:t>（1）评标委员会中的招标人代表属招标人本单位的，提供授权委托书+身份证（复印件）。</w:t>
      </w:r>
    </w:p>
    <w:p w14:paraId="51AE1544">
      <w:pPr>
        <w:numPr>
          <w:ilvl w:val="255"/>
          <w:numId w:val="0"/>
        </w:numPr>
        <w:adjustRightInd w:val="0"/>
        <w:ind w:firstLine="640" w:firstLineChars="200"/>
        <w:jc w:val="left"/>
        <w:rPr>
          <w:rFonts w:hint="eastAsia" w:ascii="仿宋" w:hAnsi="仿宋" w:cs="仿宋"/>
          <w:szCs w:val="32"/>
        </w:rPr>
      </w:pPr>
      <w:r>
        <w:rPr>
          <w:rFonts w:hint="eastAsia" w:ascii="仿宋" w:hAnsi="仿宋" w:cs="仿宋"/>
          <w:szCs w:val="32"/>
        </w:rPr>
        <w:t>（2）评标委员会中的招标人代表属于招标人从上下级单位及其所属事业单位或与工程业务相关的其他国家机关、事业单位、国有企业的，应提供招标人邀请函+该单位书面同意函+招标人授权委托书+身份证（复印件），其中属事业单位、国有企业人员的，还应提供该单位近期缴纳社保证明。</w:t>
      </w:r>
    </w:p>
    <w:p w14:paraId="698F6751">
      <w:pPr>
        <w:numPr>
          <w:ilvl w:val="255"/>
          <w:numId w:val="0"/>
        </w:numPr>
        <w:adjustRightInd w:val="0"/>
        <w:ind w:firstLine="640" w:firstLineChars="200"/>
        <w:jc w:val="left"/>
        <w:rPr>
          <w:rFonts w:hint="eastAsia" w:ascii="仿宋" w:hAnsi="仿宋" w:cs="仿宋"/>
          <w:szCs w:val="32"/>
        </w:rPr>
      </w:pPr>
      <w:r>
        <w:rPr>
          <w:rFonts w:hint="eastAsia" w:ascii="仿宋" w:hAnsi="仿宋" w:cs="仿宋"/>
          <w:szCs w:val="32"/>
        </w:rPr>
        <w:t>（3）评标委员会中的招标人代表属于该项目招标代理机构、项目管理单位人员的，应提供该单位缴纳最近连续满6个月社保证明+招标人授权委托书+身份证（复印件）；属项目管理单位的，还应提供招标人与项目管理单位签订的“项目管理合同”（原件或盖鲜章复印件）。</w:t>
      </w:r>
    </w:p>
    <w:p w14:paraId="1086F856">
      <w:pPr>
        <w:numPr>
          <w:ilvl w:val="255"/>
          <w:numId w:val="0"/>
        </w:numPr>
        <w:adjustRightInd w:val="0"/>
        <w:ind w:firstLine="640" w:firstLineChars="200"/>
        <w:jc w:val="left"/>
        <w:rPr>
          <w:rFonts w:hint="eastAsia" w:ascii="仿宋" w:hAnsi="仿宋" w:cs="仿宋"/>
          <w:szCs w:val="32"/>
        </w:rPr>
      </w:pPr>
      <w:r>
        <w:rPr>
          <w:rFonts w:hint="eastAsia" w:ascii="仿宋" w:hAnsi="仿宋" w:cs="仿宋"/>
          <w:szCs w:val="32"/>
        </w:rPr>
        <w:t>上述资料纸质件及PDF件应在申请专家抽取时提供。鼓励国有企业参照前述要求选派招标人代表。</w:t>
      </w:r>
    </w:p>
    <w:p w14:paraId="6F78F7B0">
      <w:pPr>
        <w:adjustRightInd w:val="0"/>
        <w:ind w:firstLine="640"/>
        <w:jc w:val="left"/>
        <w:rPr>
          <w:rFonts w:hint="eastAsia" w:ascii="仿宋" w:hAnsi="仿宋" w:cs="仿宋"/>
          <w:szCs w:val="32"/>
        </w:rPr>
      </w:pPr>
      <w:r>
        <w:rPr>
          <w:rFonts w:hint="eastAsia" w:ascii="仿宋" w:hAnsi="仿宋" w:cs="仿宋"/>
          <w:szCs w:val="32"/>
        </w:rPr>
        <w:t>5.省中心工作人员对招标人（中介服务机构）提供的上述材料进行核查，符合要求的，在项目监督人员监督下抽取评标专家。</w:t>
      </w:r>
    </w:p>
    <w:p w14:paraId="48D817D7">
      <w:pPr>
        <w:pStyle w:val="2"/>
        <w:ind w:firstLine="643"/>
        <w:rPr>
          <w:rFonts w:hint="eastAsia" w:ascii="仿宋" w:hAnsi="仿宋" w:eastAsia="仿宋" w:cs="仿宋"/>
        </w:rPr>
      </w:pPr>
      <w:r>
        <w:rPr>
          <w:rFonts w:hint="eastAsia" w:ascii="仿宋" w:hAnsi="仿宋" w:eastAsia="仿宋" w:cs="仿宋"/>
          <w:b/>
          <w:bCs/>
          <w:color w:val="000000"/>
          <w:kern w:val="0"/>
          <w:lang w:val="en-US"/>
        </w:rPr>
        <w:t>重要提醒：</w:t>
      </w:r>
      <w:r>
        <w:rPr>
          <w:rFonts w:hint="eastAsia" w:ascii="仿宋" w:hAnsi="仿宋" w:eastAsia="仿宋" w:cs="仿宋"/>
          <w:color w:val="000000"/>
          <w:kern w:val="0"/>
          <w:lang w:val="en-US"/>
        </w:rPr>
        <w:t>工程建设项目评标专家劳务费实行线上支付，需招标人（中介服务机构）在评标专家抽取前，为每个项目（标段）预存不少于系统明确最低额度的评标专家劳务费到指定专门账户，否则会影响专家抽取工作。</w:t>
      </w:r>
    </w:p>
    <w:p w14:paraId="33C5B50D">
      <w:pPr>
        <w:pStyle w:val="5"/>
        <w:rPr>
          <w:rFonts w:hint="eastAsia"/>
        </w:rPr>
      </w:pPr>
      <w:r>
        <w:rPr>
          <w:rFonts w:hint="eastAsia"/>
        </w:rPr>
        <w:t>（二）评审现场管理。</w:t>
      </w:r>
    </w:p>
    <w:p w14:paraId="59F3A582">
      <w:pPr>
        <w:pStyle w:val="6"/>
        <w:ind w:firstLine="643"/>
        <w:rPr>
          <w:rFonts w:hint="eastAsia"/>
          <w:color w:val="000000"/>
        </w:rPr>
      </w:pPr>
      <w:r>
        <w:rPr>
          <w:rFonts w:hint="eastAsia"/>
          <w:color w:val="000000"/>
        </w:rPr>
        <w:t>1.评标资料准入</w:t>
      </w:r>
    </w:p>
    <w:p w14:paraId="2E94A452">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（1）开标结束后，在监督人员的监督下，交易组织处工作人员引导招标人（中介服务机构）将评标资料送到评审现场门禁处，并办理签字、交接手续。</w:t>
      </w:r>
    </w:p>
    <w:p w14:paraId="6180839E">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2）招标人（中介服务机构）代表在交易评审处工作人员、监督人员的监督下，迅速将招标文件（含资格预审文件）、所有投标文件（含投标申请书）、开标记录、评标需用的表格、计算器、笔等必需资料及用品完整地送至相应的评标室内分放好，并将与评标有关的电子文档予以安装。</w:t>
      </w:r>
    </w:p>
    <w:p w14:paraId="3B6E42DF">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（3）所有非评标人员随即离开评标现场。</w:t>
      </w:r>
    </w:p>
    <w:p w14:paraId="619CB6D9">
      <w:pPr>
        <w:pStyle w:val="6"/>
        <w:ind w:firstLine="643"/>
        <w:rPr>
          <w:rFonts w:hint="eastAsia"/>
          <w:color w:val="000000"/>
        </w:rPr>
      </w:pPr>
      <w:r>
        <w:rPr>
          <w:rFonts w:hint="eastAsia"/>
          <w:color w:val="000000"/>
        </w:rPr>
        <w:t>2.评标专家准入</w:t>
      </w:r>
    </w:p>
    <w:p w14:paraId="0C56BCA3">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（1）评标专家只能从评审现场管理门禁处进出。</w:t>
      </w:r>
    </w:p>
    <w:p w14:paraId="6631ABFE">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（2）评标专家进入评标室前，须将随身携带的所有通讯工具存放至储物柜，并通过人脸、身份证等方式识别身份，之后佩戴评标专家吊牌进入评标室。</w:t>
      </w:r>
    </w:p>
    <w:p w14:paraId="329A80CA">
      <w:pPr>
        <w:pStyle w:val="6"/>
        <w:ind w:firstLine="643"/>
        <w:rPr>
          <w:rFonts w:hint="eastAsia"/>
          <w:color w:val="000000"/>
        </w:rPr>
      </w:pPr>
      <w:r>
        <w:rPr>
          <w:rFonts w:hint="eastAsia"/>
          <w:color w:val="000000"/>
        </w:rPr>
        <w:t>3.评标过程</w:t>
      </w:r>
    </w:p>
    <w:p w14:paraId="6AB0FB77">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（1）评标期间，评标委员会发出的纸质澄清通知以及相关方的回复资料等，须经监督人员审查、同意后，由监督人员、省中心工作人员通过评标专家专用通道进行传递，所有进出资料需进行登记。</w:t>
      </w:r>
    </w:p>
    <w:p w14:paraId="5C7B7125">
      <w:pPr>
        <w:widowControl/>
        <w:ind w:firstLine="640"/>
        <w:jc w:val="left"/>
        <w:rPr>
          <w:rFonts w:hint="eastAsia" w:ascii="仿宋" w:hAnsi="仿宋" w:cs="仿宋"/>
          <w:color w:val="000000"/>
          <w:kern w:val="0"/>
          <w:szCs w:val="32"/>
        </w:rPr>
      </w:pPr>
      <w:r>
        <w:rPr>
          <w:rFonts w:hint="eastAsia" w:ascii="仿宋" w:hAnsi="仿宋" w:cs="仿宋"/>
          <w:color w:val="000000"/>
          <w:kern w:val="0"/>
          <w:szCs w:val="32"/>
        </w:rPr>
        <w:t>（2）异常情况的处理。如果评审现场出现异常情况，交易相关方应配合现场监督人员及时处理。</w:t>
      </w:r>
    </w:p>
    <w:p w14:paraId="7B0BAE3C">
      <w:pPr>
        <w:widowControl/>
        <w:ind w:firstLine="640"/>
        <w:jc w:val="left"/>
        <w:rPr>
          <w:rFonts w:hint="eastAsia" w:ascii="仿宋" w:hAnsi="仿宋" w:cs="仿宋"/>
          <w:kern w:val="0"/>
          <w:szCs w:val="32"/>
        </w:rPr>
      </w:pPr>
      <w:bookmarkStart w:id="1" w:name="OLE_LINK4"/>
      <w:r>
        <w:rPr>
          <w:rFonts w:hint="eastAsia" w:ascii="仿宋" w:hAnsi="仿宋" w:cs="仿宋"/>
          <w:kern w:val="0"/>
          <w:szCs w:val="32"/>
        </w:rPr>
        <w:t>（3）评标期间食宿安排。评审区内评标（审）专家用餐由中心负责递送，需隔夜的项目评标（审）专家、项目监督人员、清标人员和省中心现场工作人员由中心统一安排食宿，招标人（采购人）或其委托的中介服务机构承担相关费用（工作日省中心现场工作人员餐费除外）。</w:t>
      </w:r>
    </w:p>
    <w:bookmarkEnd w:id="1"/>
    <w:p w14:paraId="003CCEF8">
      <w:pPr>
        <w:widowControl/>
        <w:ind w:firstLine="643"/>
        <w:jc w:val="left"/>
        <w:rPr>
          <w:rStyle w:val="17"/>
          <w:rFonts w:hint="eastAsia"/>
        </w:rPr>
      </w:pPr>
      <w:r>
        <w:rPr>
          <w:rStyle w:val="17"/>
        </w:rPr>
        <w:t>4.评标结束</w:t>
      </w:r>
    </w:p>
    <w:p w14:paraId="560DA736">
      <w:pPr>
        <w:widowControl/>
        <w:ind w:firstLine="640"/>
        <w:jc w:val="left"/>
        <w:rPr>
          <w:rFonts w:hint="eastAsia" w:ascii="仿宋" w:hAnsi="仿宋" w:cs="仿宋"/>
          <w:kern w:val="0"/>
          <w:szCs w:val="32"/>
        </w:rPr>
      </w:pPr>
      <w:r>
        <w:rPr>
          <w:rFonts w:hint="eastAsia" w:ascii="仿宋" w:hAnsi="仿宋" w:cs="仿宋"/>
          <w:kern w:val="0"/>
          <w:szCs w:val="32"/>
        </w:rPr>
        <w:t>（1）评标结束后，招标人（中介服务机构）应及时结算专家评标费用，并在监督人员的监督下负责取走评标室内的所有资料，并将属于省中心的物品按规定进行清点、还原。</w:t>
      </w:r>
    </w:p>
    <w:p w14:paraId="2ACEBD73">
      <w:pPr>
        <w:widowControl/>
        <w:ind w:firstLine="640"/>
        <w:jc w:val="left"/>
        <w:rPr>
          <w:rFonts w:hint="eastAsia" w:ascii="仿宋" w:hAnsi="仿宋" w:cs="仿宋"/>
          <w:kern w:val="0"/>
          <w:szCs w:val="32"/>
        </w:rPr>
      </w:pPr>
      <w:r>
        <w:rPr>
          <w:rFonts w:hint="eastAsia" w:ascii="仿宋" w:hAnsi="仿宋" w:cs="仿宋"/>
          <w:kern w:val="0"/>
          <w:szCs w:val="32"/>
        </w:rPr>
        <w:t>（2）招标人（中介服务机构）应配合交易评审处工作人员留存评标报告扫描件等资料供存档用。</w:t>
      </w:r>
    </w:p>
    <w:p w14:paraId="6ADC2441">
      <w:pPr>
        <w:ind w:firstLine="0" w:firstLineChars="0"/>
        <w:rPr>
          <w:rFonts w:hint="eastAsia" w:ascii="黑体" w:hAnsi="黑体" w:eastAsia="黑体" w:cs="黑体"/>
          <w:szCs w:val="32"/>
        </w:rPr>
      </w:pPr>
    </w:p>
    <w:p w14:paraId="7A1C3549">
      <w:pPr>
        <w:pStyle w:val="2"/>
        <w:ind w:firstLine="640"/>
        <w:rPr>
          <w:rFonts w:hint="eastAsia"/>
        </w:rPr>
      </w:pPr>
    </w:p>
    <w:p w14:paraId="768B1E10">
      <w:pPr>
        <w:ind w:firstLine="0" w:firstLineChars="0"/>
        <w:rPr>
          <w:rFonts w:hint="eastAsia" w:ascii="黑体" w:hAnsi="黑体" w:eastAsia="黑体" w:cs="黑体"/>
          <w:szCs w:val="32"/>
        </w:rPr>
      </w:pPr>
    </w:p>
    <w:p w14:paraId="1CCB4B8D">
      <w:pPr>
        <w:ind w:firstLine="0" w:firstLineChars="0"/>
        <w:rPr>
          <w:rFonts w:hint="eastAsia" w:ascii="黑体" w:hAnsi="黑体" w:eastAsia="黑体" w:cs="黑体"/>
          <w:szCs w:val="32"/>
        </w:rPr>
      </w:pPr>
    </w:p>
    <w:p w14:paraId="3777D54B">
      <w:pPr>
        <w:ind w:firstLine="0" w:firstLineChars="0"/>
        <w:rPr>
          <w:rFonts w:hint="eastAsia" w:ascii="黑体" w:hAnsi="黑体" w:eastAsia="黑体" w:cs="黑体"/>
          <w:szCs w:val="32"/>
        </w:rPr>
      </w:pPr>
    </w:p>
    <w:p w14:paraId="09F91651">
      <w:pPr>
        <w:ind w:firstLine="0" w:firstLineChars="0"/>
        <w:rPr>
          <w:rFonts w:hint="eastAsia" w:ascii="方正公文小标宋" w:hAnsi="方正公文小标宋" w:eastAsia="方正公文小标宋" w:cs="方正公文小标宋"/>
          <w:sz w:val="36"/>
          <w:szCs w:val="36"/>
        </w:rPr>
      </w:pPr>
      <w:r>
        <w:rPr>
          <w:rFonts w:hint="eastAsia" w:ascii="黑体" w:hAnsi="黑体" w:eastAsia="黑体" w:cs="黑体"/>
          <w:szCs w:val="32"/>
        </w:rPr>
        <w:t>附件</w:t>
      </w:r>
    </w:p>
    <w:p w14:paraId="5E33B0D7">
      <w:pPr>
        <w:jc w:val="center"/>
        <w:rPr>
          <w:rFonts w:hint="eastAsia" w:ascii="方正公文小标宋" w:hAnsi="方正公文小标宋" w:eastAsia="方正公文小标宋" w:cs="方正公文小标宋"/>
          <w:sz w:val="44"/>
          <w:szCs w:val="44"/>
        </w:rPr>
      </w:pPr>
      <w:bookmarkStart w:id="2" w:name="OLE_LINK1"/>
      <w:r>
        <w:rPr>
          <w:rFonts w:hint="eastAsia" w:ascii="方正公文小标宋" w:hAnsi="方正公文小标宋" w:eastAsia="方正公文小标宋" w:cs="方正公文小标宋"/>
          <w:sz w:val="44"/>
          <w:szCs w:val="44"/>
        </w:rPr>
        <w:t>省级工程建设项目进场交易公平竞争审查自查表</w:t>
      </w:r>
    </w:p>
    <w:p w14:paraId="14B1E521">
      <w:pPr>
        <w:pStyle w:val="2"/>
        <w:ind w:firstLine="480"/>
        <w:rPr>
          <w:rFonts w:hint="eastAsia" w:ascii="仿宋_GB2312" w:hAnsi="仿宋_GB2312" w:eastAsia="仿宋_GB2312" w:cs="仿宋_GB2312"/>
          <w:sz w:val="24"/>
          <w:szCs w:val="24"/>
          <w:lang w:val="en-US"/>
        </w:rPr>
      </w:pPr>
    </w:p>
    <w:p w14:paraId="6895C323">
      <w:pPr>
        <w:pStyle w:val="2"/>
        <w:ind w:firstLine="480"/>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lang w:val="en-US"/>
        </w:rPr>
        <w:t>项目名称：</w:t>
      </w:r>
      <w:r>
        <w:rPr>
          <w:rFonts w:hint="eastAsia" w:ascii="仿宋_GB2312" w:hAnsi="仿宋_GB2312" w:eastAsia="仿宋_GB2312" w:cs="仿宋_GB2312"/>
          <w:sz w:val="24"/>
          <w:szCs w:val="24"/>
          <w:u w:val="single"/>
          <w:lang w:val="en-US"/>
        </w:rPr>
        <w:t xml:space="preserve">                               </w:t>
      </w:r>
    </w:p>
    <w:p w14:paraId="17A1FB3B">
      <w:pPr>
        <w:pStyle w:val="2"/>
        <w:ind w:firstLine="480"/>
        <w:jc w:val="both"/>
        <w:rPr>
          <w:rFonts w:hint="eastAsia" w:ascii="仿宋_GB2312" w:hAnsi="仿宋_GB2312" w:eastAsia="仿宋_GB2312" w:cs="仿宋_GB2312"/>
          <w:b/>
          <w:bCs/>
          <w:sz w:val="24"/>
          <w:szCs w:val="24"/>
          <w:lang w:val="en-US"/>
        </w:rPr>
      </w:pPr>
      <w:r>
        <w:rPr>
          <w:rFonts w:hint="eastAsia" w:ascii="仿宋_GB2312" w:hAnsi="仿宋_GB2312" w:eastAsia="仿宋_GB2312" w:cs="仿宋_GB2312"/>
          <w:sz w:val="24"/>
          <w:szCs w:val="24"/>
          <w:lang w:val="en-US"/>
        </w:rPr>
        <w:t>招标单位（盖章）：</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383"/>
        <w:gridCol w:w="1068"/>
        <w:gridCol w:w="716"/>
      </w:tblGrid>
      <w:tr w14:paraId="3E64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6" w:type="dxa"/>
            <w:vAlign w:val="center"/>
          </w:tcPr>
          <w:p w14:paraId="4D07921A">
            <w:pPr>
              <w:pStyle w:val="19"/>
              <w:jc w:val="center"/>
              <w:rPr>
                <w:b/>
                <w:bCs/>
              </w:rPr>
            </w:pPr>
            <w:r>
              <w:rPr>
                <w:b/>
                <w:bCs/>
              </w:rPr>
              <w:t>序号</w:t>
            </w:r>
          </w:p>
        </w:tc>
        <w:tc>
          <w:tcPr>
            <w:tcW w:w="6383" w:type="dxa"/>
            <w:vAlign w:val="center"/>
          </w:tcPr>
          <w:p w14:paraId="0475CFA7">
            <w:pPr>
              <w:pStyle w:val="19"/>
              <w:jc w:val="center"/>
              <w:rPr>
                <w:b/>
                <w:bCs/>
              </w:rPr>
            </w:pPr>
            <w:r>
              <w:rPr>
                <w:b/>
                <w:bCs/>
              </w:rPr>
              <w:t>审查内容</w:t>
            </w:r>
          </w:p>
        </w:tc>
        <w:tc>
          <w:tcPr>
            <w:tcW w:w="1068" w:type="dxa"/>
            <w:vAlign w:val="center"/>
          </w:tcPr>
          <w:p w14:paraId="7A180B28">
            <w:pPr>
              <w:pStyle w:val="19"/>
              <w:jc w:val="center"/>
              <w:rPr>
                <w:b/>
                <w:bCs/>
              </w:rPr>
            </w:pPr>
            <w:r>
              <w:rPr>
                <w:b/>
                <w:bCs/>
              </w:rPr>
              <w:t>审查情况</w:t>
            </w:r>
          </w:p>
        </w:tc>
        <w:tc>
          <w:tcPr>
            <w:tcW w:w="716" w:type="dxa"/>
            <w:vAlign w:val="center"/>
          </w:tcPr>
          <w:p w14:paraId="11DFE512">
            <w:pPr>
              <w:pStyle w:val="19"/>
              <w:jc w:val="center"/>
              <w:rPr>
                <w:b/>
                <w:bCs/>
              </w:rPr>
            </w:pPr>
            <w:r>
              <w:rPr>
                <w:b/>
                <w:bCs/>
              </w:rPr>
              <w:t>备注</w:t>
            </w:r>
          </w:p>
        </w:tc>
      </w:tr>
      <w:tr w14:paraId="4A4C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C06CD6A">
            <w:pPr>
              <w:pStyle w:val="19"/>
              <w:jc w:val="center"/>
            </w:pPr>
            <w:r>
              <w:t>1</w:t>
            </w:r>
          </w:p>
        </w:tc>
        <w:tc>
          <w:tcPr>
            <w:tcW w:w="6383" w:type="dxa"/>
            <w:vAlign w:val="center"/>
          </w:tcPr>
          <w:p w14:paraId="66F63CCB">
            <w:pPr>
              <w:pStyle w:val="19"/>
            </w:pPr>
            <w:r>
              <w:t>是否设置的限制、排斥不同所有制企业参与招投标的规定，以及虽然没有直接限制、排斥，但实质上起到变相限制、排斥效果的规定</w:t>
            </w:r>
          </w:p>
        </w:tc>
        <w:tc>
          <w:tcPr>
            <w:tcW w:w="1068" w:type="dxa"/>
            <w:vAlign w:val="center"/>
          </w:tcPr>
          <w:p w14:paraId="26028A75">
            <w:pPr>
              <w:pStyle w:val="19"/>
            </w:pPr>
          </w:p>
        </w:tc>
        <w:tc>
          <w:tcPr>
            <w:tcW w:w="716" w:type="dxa"/>
            <w:vAlign w:val="center"/>
          </w:tcPr>
          <w:p w14:paraId="4263EBB8">
            <w:pPr>
              <w:pStyle w:val="19"/>
            </w:pPr>
          </w:p>
        </w:tc>
      </w:tr>
      <w:tr w14:paraId="0477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49A03A4">
            <w:pPr>
              <w:pStyle w:val="19"/>
              <w:jc w:val="center"/>
            </w:pPr>
            <w:r>
              <w:t>2</w:t>
            </w:r>
          </w:p>
        </w:tc>
        <w:tc>
          <w:tcPr>
            <w:tcW w:w="6383" w:type="dxa"/>
            <w:vAlign w:val="center"/>
          </w:tcPr>
          <w:p w14:paraId="37489A30">
            <w:pPr>
              <w:pStyle w:val="19"/>
            </w:pPr>
            <w:r>
              <w:t>是否限定潜在投标人或者投标人的所有制形式或者组织形式，对不同所有制投标人采取不同的资格审查标准</w:t>
            </w:r>
          </w:p>
        </w:tc>
        <w:tc>
          <w:tcPr>
            <w:tcW w:w="1068" w:type="dxa"/>
            <w:vAlign w:val="center"/>
          </w:tcPr>
          <w:p w14:paraId="21B1C100">
            <w:pPr>
              <w:pStyle w:val="19"/>
            </w:pPr>
          </w:p>
        </w:tc>
        <w:tc>
          <w:tcPr>
            <w:tcW w:w="716" w:type="dxa"/>
            <w:vAlign w:val="center"/>
          </w:tcPr>
          <w:p w14:paraId="2B329AA0">
            <w:pPr>
              <w:pStyle w:val="19"/>
            </w:pPr>
          </w:p>
        </w:tc>
      </w:tr>
      <w:tr w14:paraId="4D5D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25B0AD2">
            <w:pPr>
              <w:pStyle w:val="19"/>
              <w:jc w:val="center"/>
            </w:pPr>
            <w:r>
              <w:t>3</w:t>
            </w:r>
          </w:p>
        </w:tc>
        <w:tc>
          <w:tcPr>
            <w:tcW w:w="6383" w:type="dxa"/>
            <w:vAlign w:val="center"/>
          </w:tcPr>
          <w:p w14:paraId="4090B065">
            <w:pPr>
              <w:pStyle w:val="19"/>
            </w:pPr>
            <w:r>
              <w:t>是否设定企业股东背景、年平均承接项目数量或者金额、从业人员、纳税额、营业场所面积等规模条件</w:t>
            </w:r>
          </w:p>
        </w:tc>
        <w:tc>
          <w:tcPr>
            <w:tcW w:w="1068" w:type="dxa"/>
            <w:vAlign w:val="center"/>
          </w:tcPr>
          <w:p w14:paraId="32FB268E">
            <w:pPr>
              <w:pStyle w:val="19"/>
            </w:pPr>
          </w:p>
        </w:tc>
        <w:tc>
          <w:tcPr>
            <w:tcW w:w="716" w:type="dxa"/>
            <w:vAlign w:val="center"/>
          </w:tcPr>
          <w:p w14:paraId="418765DB">
            <w:pPr>
              <w:pStyle w:val="19"/>
            </w:pPr>
          </w:p>
        </w:tc>
      </w:tr>
      <w:tr w14:paraId="3405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6568624">
            <w:pPr>
              <w:pStyle w:val="19"/>
              <w:jc w:val="center"/>
            </w:pPr>
            <w:r>
              <w:t>4</w:t>
            </w:r>
          </w:p>
        </w:tc>
        <w:tc>
          <w:tcPr>
            <w:tcW w:w="6383" w:type="dxa"/>
            <w:vAlign w:val="center"/>
          </w:tcPr>
          <w:p w14:paraId="51CC2C49">
            <w:pPr>
              <w:pStyle w:val="19"/>
            </w:pPr>
            <w:r>
              <w:t>是否设置超过项目实际需要的企业注册资本、资产总额、净资产规模、营业收入、利润、授信额度等财务指标</w:t>
            </w:r>
          </w:p>
        </w:tc>
        <w:tc>
          <w:tcPr>
            <w:tcW w:w="1068" w:type="dxa"/>
            <w:vAlign w:val="center"/>
          </w:tcPr>
          <w:p w14:paraId="7BABBC2D">
            <w:pPr>
              <w:pStyle w:val="19"/>
            </w:pPr>
          </w:p>
        </w:tc>
        <w:tc>
          <w:tcPr>
            <w:tcW w:w="716" w:type="dxa"/>
            <w:vAlign w:val="center"/>
          </w:tcPr>
          <w:p w14:paraId="66ACFF03">
            <w:pPr>
              <w:pStyle w:val="19"/>
            </w:pPr>
          </w:p>
        </w:tc>
      </w:tr>
      <w:tr w14:paraId="1974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884D7D2">
            <w:pPr>
              <w:pStyle w:val="19"/>
              <w:jc w:val="center"/>
            </w:pPr>
            <w:r>
              <w:t>5</w:t>
            </w:r>
          </w:p>
        </w:tc>
        <w:tc>
          <w:tcPr>
            <w:tcW w:w="6383" w:type="dxa"/>
            <w:vAlign w:val="center"/>
          </w:tcPr>
          <w:p w14:paraId="03A8A0E1">
            <w:pPr>
              <w:pStyle w:val="19"/>
            </w:pPr>
            <w:r>
              <w:t>是否设定明显超出招标项目具体特点和实际需要的过高的资质资格、技术、商务条件或者业绩、奖项要求</w:t>
            </w:r>
          </w:p>
        </w:tc>
        <w:tc>
          <w:tcPr>
            <w:tcW w:w="1068" w:type="dxa"/>
            <w:vAlign w:val="center"/>
          </w:tcPr>
          <w:p w14:paraId="00053E1C">
            <w:pPr>
              <w:pStyle w:val="19"/>
            </w:pPr>
          </w:p>
        </w:tc>
        <w:tc>
          <w:tcPr>
            <w:tcW w:w="716" w:type="dxa"/>
            <w:vAlign w:val="center"/>
          </w:tcPr>
          <w:p w14:paraId="2671102E">
            <w:pPr>
              <w:pStyle w:val="19"/>
            </w:pPr>
          </w:p>
        </w:tc>
      </w:tr>
      <w:tr w14:paraId="23F4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54B69A9">
            <w:pPr>
              <w:pStyle w:val="19"/>
              <w:jc w:val="center"/>
            </w:pPr>
            <w:r>
              <w:t>6</w:t>
            </w:r>
          </w:p>
        </w:tc>
        <w:tc>
          <w:tcPr>
            <w:tcW w:w="6383" w:type="dxa"/>
            <w:vAlign w:val="center"/>
          </w:tcPr>
          <w:p w14:paraId="651D6834">
            <w:pPr>
              <w:pStyle w:val="19"/>
            </w:pPr>
            <w:r>
              <w:t>是否将国家已经明令取消的资质资格作为投标条件、加分条件、中标条件</w:t>
            </w:r>
          </w:p>
        </w:tc>
        <w:tc>
          <w:tcPr>
            <w:tcW w:w="1068" w:type="dxa"/>
            <w:vAlign w:val="center"/>
          </w:tcPr>
          <w:p w14:paraId="27316A67">
            <w:pPr>
              <w:pStyle w:val="19"/>
            </w:pPr>
          </w:p>
        </w:tc>
        <w:tc>
          <w:tcPr>
            <w:tcW w:w="716" w:type="dxa"/>
            <w:vAlign w:val="center"/>
          </w:tcPr>
          <w:p w14:paraId="5D036748">
            <w:pPr>
              <w:pStyle w:val="19"/>
            </w:pPr>
          </w:p>
        </w:tc>
      </w:tr>
      <w:tr w14:paraId="55BF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56171C3">
            <w:pPr>
              <w:pStyle w:val="19"/>
              <w:jc w:val="center"/>
            </w:pPr>
            <w:r>
              <w:t>7</w:t>
            </w:r>
          </w:p>
        </w:tc>
        <w:tc>
          <w:tcPr>
            <w:tcW w:w="6383" w:type="dxa"/>
            <w:vAlign w:val="center"/>
          </w:tcPr>
          <w:p w14:paraId="774CA875">
            <w:pPr>
              <w:pStyle w:val="19"/>
            </w:pPr>
            <w:r>
              <w:t>是否在国家已经明令取消资质资格的领域，将其他资质资格作为投标条件、加分条件、中标条件</w:t>
            </w:r>
          </w:p>
        </w:tc>
        <w:tc>
          <w:tcPr>
            <w:tcW w:w="1068" w:type="dxa"/>
            <w:vAlign w:val="center"/>
          </w:tcPr>
          <w:p w14:paraId="7C27EAE1">
            <w:pPr>
              <w:pStyle w:val="19"/>
            </w:pPr>
          </w:p>
        </w:tc>
        <w:tc>
          <w:tcPr>
            <w:tcW w:w="716" w:type="dxa"/>
            <w:vAlign w:val="center"/>
          </w:tcPr>
          <w:p w14:paraId="6F33D0FF">
            <w:pPr>
              <w:pStyle w:val="19"/>
            </w:pPr>
          </w:p>
        </w:tc>
      </w:tr>
      <w:tr w14:paraId="703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E3B5A25">
            <w:pPr>
              <w:pStyle w:val="19"/>
              <w:jc w:val="center"/>
            </w:pPr>
            <w:r>
              <w:t>8</w:t>
            </w:r>
          </w:p>
        </w:tc>
        <w:tc>
          <w:tcPr>
            <w:tcW w:w="6383" w:type="dxa"/>
            <w:vAlign w:val="center"/>
          </w:tcPr>
          <w:p w14:paraId="3FA393BA">
            <w:pPr>
              <w:pStyle w:val="19"/>
            </w:pPr>
            <w:r>
              <w:t>是否将特定行政区域、特定行业的业绩、奖项作为投标条件加分条件、中标条件</w:t>
            </w:r>
          </w:p>
        </w:tc>
        <w:tc>
          <w:tcPr>
            <w:tcW w:w="1068" w:type="dxa"/>
            <w:vAlign w:val="center"/>
          </w:tcPr>
          <w:p w14:paraId="023B0446">
            <w:pPr>
              <w:pStyle w:val="19"/>
            </w:pPr>
          </w:p>
        </w:tc>
        <w:tc>
          <w:tcPr>
            <w:tcW w:w="716" w:type="dxa"/>
            <w:vAlign w:val="center"/>
          </w:tcPr>
          <w:p w14:paraId="3C798DEE">
            <w:pPr>
              <w:pStyle w:val="19"/>
            </w:pPr>
          </w:p>
        </w:tc>
      </w:tr>
      <w:tr w14:paraId="02C3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DE382E9">
            <w:pPr>
              <w:pStyle w:val="19"/>
              <w:jc w:val="center"/>
            </w:pPr>
            <w:r>
              <w:t>9</w:t>
            </w:r>
          </w:p>
        </w:tc>
        <w:tc>
          <w:tcPr>
            <w:tcW w:w="6383" w:type="dxa"/>
            <w:vAlign w:val="center"/>
          </w:tcPr>
          <w:p w14:paraId="4AD0E5A5">
            <w:pPr>
              <w:pStyle w:val="19"/>
            </w:pPr>
            <w:r>
              <w:t>是否将政府部门、行业协会商会或者其他机构对投标人作出的荣誉奖励和慈善公益证明等作为投标条件、中标条件</w:t>
            </w:r>
          </w:p>
        </w:tc>
        <w:tc>
          <w:tcPr>
            <w:tcW w:w="1068" w:type="dxa"/>
            <w:vAlign w:val="center"/>
          </w:tcPr>
          <w:p w14:paraId="5C6B81B6">
            <w:pPr>
              <w:pStyle w:val="19"/>
            </w:pPr>
          </w:p>
        </w:tc>
        <w:tc>
          <w:tcPr>
            <w:tcW w:w="716" w:type="dxa"/>
            <w:vAlign w:val="center"/>
          </w:tcPr>
          <w:p w14:paraId="6BAE7E5F">
            <w:pPr>
              <w:pStyle w:val="19"/>
            </w:pPr>
          </w:p>
        </w:tc>
      </w:tr>
      <w:tr w14:paraId="0C84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8CBCF7F">
            <w:pPr>
              <w:pStyle w:val="19"/>
              <w:jc w:val="center"/>
            </w:pPr>
            <w:r>
              <w:t>10</w:t>
            </w:r>
          </w:p>
        </w:tc>
        <w:tc>
          <w:tcPr>
            <w:tcW w:w="6383" w:type="dxa"/>
            <w:vAlign w:val="center"/>
          </w:tcPr>
          <w:p w14:paraId="7D5DE3BD">
            <w:pPr>
              <w:pStyle w:val="19"/>
            </w:pPr>
            <w:r>
              <w:t>是否限定或者指定特定的专利、商标、品牌、原产地、供应商或者检验检测认证机构（法律法规有明确要求的除外）</w:t>
            </w:r>
          </w:p>
        </w:tc>
        <w:tc>
          <w:tcPr>
            <w:tcW w:w="1068" w:type="dxa"/>
            <w:vAlign w:val="center"/>
          </w:tcPr>
          <w:p w14:paraId="4093FE26">
            <w:pPr>
              <w:pStyle w:val="19"/>
            </w:pPr>
          </w:p>
        </w:tc>
        <w:tc>
          <w:tcPr>
            <w:tcW w:w="716" w:type="dxa"/>
            <w:vAlign w:val="center"/>
          </w:tcPr>
          <w:p w14:paraId="041451E4">
            <w:pPr>
              <w:pStyle w:val="19"/>
            </w:pPr>
          </w:p>
        </w:tc>
      </w:tr>
      <w:tr w14:paraId="4826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313DE9">
            <w:pPr>
              <w:pStyle w:val="19"/>
              <w:jc w:val="center"/>
            </w:pPr>
            <w:r>
              <w:t>11</w:t>
            </w:r>
          </w:p>
        </w:tc>
        <w:tc>
          <w:tcPr>
            <w:tcW w:w="6383" w:type="dxa"/>
            <w:vAlign w:val="center"/>
          </w:tcPr>
          <w:p w14:paraId="056F66AB">
            <w:pPr>
              <w:pStyle w:val="19"/>
            </w:pPr>
            <w:r>
              <w:t>是否要求投标人在本地注册设立子公司、分公司、分支机构在本地拥有一定办公面积，在本地缴纳社会保险等</w:t>
            </w:r>
          </w:p>
        </w:tc>
        <w:tc>
          <w:tcPr>
            <w:tcW w:w="1068" w:type="dxa"/>
            <w:vAlign w:val="center"/>
          </w:tcPr>
          <w:p w14:paraId="3835FB15">
            <w:pPr>
              <w:pStyle w:val="19"/>
            </w:pPr>
          </w:p>
        </w:tc>
        <w:tc>
          <w:tcPr>
            <w:tcW w:w="716" w:type="dxa"/>
            <w:vAlign w:val="center"/>
          </w:tcPr>
          <w:p w14:paraId="61599AFF">
            <w:pPr>
              <w:pStyle w:val="19"/>
            </w:pPr>
          </w:p>
        </w:tc>
      </w:tr>
      <w:tr w14:paraId="3862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021D1C3">
            <w:pPr>
              <w:pStyle w:val="19"/>
              <w:jc w:val="center"/>
            </w:pPr>
            <w:r>
              <w:t>12</w:t>
            </w:r>
          </w:p>
        </w:tc>
        <w:tc>
          <w:tcPr>
            <w:tcW w:w="6383" w:type="dxa"/>
            <w:vAlign w:val="center"/>
          </w:tcPr>
          <w:p w14:paraId="1C17424F">
            <w:pPr>
              <w:pStyle w:val="19"/>
            </w:pPr>
            <w:r>
              <w:t>是否对仅需提供有关资质证明文件、证照、证件复印件的，要求必须提供原件</w:t>
            </w:r>
          </w:p>
        </w:tc>
        <w:tc>
          <w:tcPr>
            <w:tcW w:w="1068" w:type="dxa"/>
            <w:vAlign w:val="center"/>
          </w:tcPr>
          <w:p w14:paraId="4DC4D1C1">
            <w:pPr>
              <w:pStyle w:val="19"/>
            </w:pPr>
          </w:p>
        </w:tc>
        <w:tc>
          <w:tcPr>
            <w:tcW w:w="716" w:type="dxa"/>
            <w:vAlign w:val="center"/>
          </w:tcPr>
          <w:p w14:paraId="0B2ECDAB">
            <w:pPr>
              <w:pStyle w:val="19"/>
            </w:pPr>
          </w:p>
        </w:tc>
      </w:tr>
      <w:tr w14:paraId="37AE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69E9BCD">
            <w:pPr>
              <w:pStyle w:val="19"/>
              <w:jc w:val="center"/>
            </w:pPr>
            <w:r>
              <w:t>13</w:t>
            </w:r>
          </w:p>
        </w:tc>
        <w:tc>
          <w:tcPr>
            <w:tcW w:w="6383" w:type="dxa"/>
            <w:vAlign w:val="center"/>
          </w:tcPr>
          <w:p w14:paraId="035C35A2">
            <w:pPr>
              <w:pStyle w:val="19"/>
            </w:pPr>
            <w:r>
              <w:t>是否按规定可以采用“多证合一”电子证照的，要求必须提供纸质证照</w:t>
            </w:r>
          </w:p>
        </w:tc>
        <w:tc>
          <w:tcPr>
            <w:tcW w:w="1068" w:type="dxa"/>
            <w:vAlign w:val="center"/>
          </w:tcPr>
          <w:p w14:paraId="78F3A8F5">
            <w:pPr>
              <w:pStyle w:val="19"/>
            </w:pPr>
          </w:p>
        </w:tc>
        <w:tc>
          <w:tcPr>
            <w:tcW w:w="716" w:type="dxa"/>
            <w:vAlign w:val="center"/>
          </w:tcPr>
          <w:p w14:paraId="7C2A01AF">
            <w:pPr>
              <w:pStyle w:val="19"/>
            </w:pPr>
          </w:p>
        </w:tc>
      </w:tr>
      <w:tr w14:paraId="3C21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3D8BC61">
            <w:pPr>
              <w:pStyle w:val="19"/>
              <w:jc w:val="center"/>
            </w:pPr>
            <w:r>
              <w:t>14</w:t>
            </w:r>
          </w:p>
        </w:tc>
        <w:tc>
          <w:tcPr>
            <w:tcW w:w="6383" w:type="dxa"/>
            <w:vAlign w:val="center"/>
          </w:tcPr>
          <w:p w14:paraId="54463EDD">
            <w:pPr>
              <w:pStyle w:val="19"/>
            </w:pPr>
            <w:r>
              <w:t>是否以营业执照记载的经营范围作为确定投标人经营资质资格的依据</w:t>
            </w:r>
          </w:p>
        </w:tc>
        <w:tc>
          <w:tcPr>
            <w:tcW w:w="1068" w:type="dxa"/>
            <w:vAlign w:val="center"/>
          </w:tcPr>
          <w:p w14:paraId="5487DD5E">
            <w:pPr>
              <w:pStyle w:val="19"/>
            </w:pPr>
          </w:p>
        </w:tc>
        <w:tc>
          <w:tcPr>
            <w:tcW w:w="716" w:type="dxa"/>
            <w:vAlign w:val="center"/>
          </w:tcPr>
          <w:p w14:paraId="511D8AA7">
            <w:pPr>
              <w:pStyle w:val="19"/>
            </w:pPr>
          </w:p>
        </w:tc>
      </w:tr>
      <w:tr w14:paraId="5F4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068BE8C">
            <w:pPr>
              <w:pStyle w:val="19"/>
              <w:jc w:val="center"/>
            </w:pPr>
            <w:r>
              <w:t>15</w:t>
            </w:r>
          </w:p>
        </w:tc>
        <w:tc>
          <w:tcPr>
            <w:tcW w:w="6383" w:type="dxa"/>
            <w:vAlign w:val="center"/>
          </w:tcPr>
          <w:p w14:paraId="5D333DD7">
            <w:pPr>
              <w:pStyle w:val="19"/>
            </w:pPr>
            <w:r>
              <w:t>是否将投标人营业执照记载的经营范围采用某种特定表述或者明确记载某个特定经营范围细项作为投标、加分或者中标条件</w:t>
            </w:r>
          </w:p>
        </w:tc>
        <w:tc>
          <w:tcPr>
            <w:tcW w:w="1068" w:type="dxa"/>
            <w:vAlign w:val="center"/>
          </w:tcPr>
          <w:p w14:paraId="24B4589C">
            <w:pPr>
              <w:pStyle w:val="19"/>
            </w:pPr>
          </w:p>
        </w:tc>
        <w:tc>
          <w:tcPr>
            <w:tcW w:w="716" w:type="dxa"/>
            <w:vAlign w:val="center"/>
          </w:tcPr>
          <w:p w14:paraId="35B01D5D">
            <w:pPr>
              <w:pStyle w:val="19"/>
            </w:pPr>
          </w:p>
        </w:tc>
      </w:tr>
      <w:tr w14:paraId="29D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EFEDC16">
            <w:pPr>
              <w:pStyle w:val="19"/>
              <w:jc w:val="center"/>
            </w:pPr>
            <w:r>
              <w:t>16</w:t>
            </w:r>
          </w:p>
        </w:tc>
        <w:tc>
          <w:tcPr>
            <w:tcW w:w="6383" w:type="dxa"/>
            <w:vAlign w:val="center"/>
          </w:tcPr>
          <w:p w14:paraId="62D11872">
            <w:pPr>
              <w:pStyle w:val="19"/>
            </w:pPr>
            <w:r>
              <w:t>投标保证金收取金额是否超过法律法规规定标准（《工程建设项目施工招标投标办法》第三十七条“投标保证金不得超过项目估算价的2%，但最高不得超过80万元”；《工程建设项目勘察设计招标投标办法》第二十四条“保证金数额不得超过勘察设计估算费用的2%，最多不超过10万元”）</w:t>
            </w:r>
          </w:p>
        </w:tc>
        <w:tc>
          <w:tcPr>
            <w:tcW w:w="1068" w:type="dxa"/>
            <w:vAlign w:val="center"/>
          </w:tcPr>
          <w:p w14:paraId="604DF5AA">
            <w:pPr>
              <w:pStyle w:val="19"/>
            </w:pPr>
          </w:p>
        </w:tc>
        <w:tc>
          <w:tcPr>
            <w:tcW w:w="716" w:type="dxa"/>
            <w:vAlign w:val="center"/>
          </w:tcPr>
          <w:p w14:paraId="3FF814BB">
            <w:pPr>
              <w:pStyle w:val="19"/>
            </w:pPr>
          </w:p>
        </w:tc>
      </w:tr>
      <w:tr w14:paraId="2965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8A588CE">
            <w:pPr>
              <w:pStyle w:val="19"/>
              <w:jc w:val="center"/>
            </w:pPr>
            <w:r>
              <w:t>17</w:t>
            </w:r>
          </w:p>
        </w:tc>
        <w:tc>
          <w:tcPr>
            <w:tcW w:w="6383" w:type="dxa"/>
            <w:vAlign w:val="center"/>
          </w:tcPr>
          <w:p w14:paraId="487A5E3E">
            <w:pPr>
              <w:pStyle w:val="19"/>
            </w:pPr>
            <w:r>
              <w:t>是否存在违反法律法规相关规定的其他妨碍公平竞争的情形</w:t>
            </w:r>
          </w:p>
        </w:tc>
        <w:tc>
          <w:tcPr>
            <w:tcW w:w="1068" w:type="dxa"/>
            <w:vAlign w:val="center"/>
          </w:tcPr>
          <w:p w14:paraId="3C4FD333">
            <w:pPr>
              <w:pStyle w:val="19"/>
            </w:pPr>
          </w:p>
        </w:tc>
        <w:tc>
          <w:tcPr>
            <w:tcW w:w="716" w:type="dxa"/>
            <w:vAlign w:val="center"/>
          </w:tcPr>
          <w:p w14:paraId="4C75980C">
            <w:pPr>
              <w:pStyle w:val="19"/>
            </w:pPr>
          </w:p>
        </w:tc>
      </w:tr>
    </w:tbl>
    <w:p w14:paraId="341BA38D">
      <w:pPr>
        <w:pStyle w:val="2"/>
        <w:spacing w:before="187" w:beforeLines="60"/>
        <w:ind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审查人签字：                        审查时间：    年    月   日</w:t>
      </w:r>
    </w:p>
    <w:p w14:paraId="6903CFE8">
      <w:pPr>
        <w:pStyle w:val="2"/>
        <w:ind w:firstLine="420"/>
        <w:rPr>
          <w:rFonts w:hint="eastAsia" w:ascii="仿宋_GB2312" w:hAnsi="仿宋_GB2312" w:eastAsia="仿宋_GB2312" w:cs="仿宋_GB2312"/>
          <w:sz w:val="21"/>
          <w:szCs w:val="21"/>
          <w:lang w:val="en-US"/>
        </w:rPr>
      </w:pPr>
    </w:p>
    <w:p w14:paraId="01D013EA">
      <w:pPr>
        <w:pStyle w:val="2"/>
        <w:spacing w:line="360" w:lineRule="auto"/>
        <w:ind w:firstLine="420"/>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备注：</w:t>
      </w:r>
      <w:r>
        <w:rPr>
          <w:rFonts w:hint="eastAsia" w:ascii="Times New Roman" w:hAnsi="Times New Roman" w:eastAsia="仿宋_GB2312" w:cs="仿宋_GB2312"/>
          <w:sz w:val="21"/>
          <w:szCs w:val="21"/>
          <w:lang w:val="en-US"/>
        </w:rPr>
        <w:t>1</w:t>
      </w:r>
      <w:r>
        <w:rPr>
          <w:rFonts w:hint="eastAsia" w:ascii="仿宋_GB2312" w:hAnsi="仿宋_GB2312" w:eastAsia="仿宋_GB2312" w:cs="仿宋_GB2312"/>
          <w:sz w:val="21"/>
          <w:szCs w:val="21"/>
          <w:lang w:val="en-US"/>
        </w:rPr>
        <w:t>.在审查情况中填写是或否，如“是”请务必在备注栏说明具体情况；</w:t>
      </w:r>
      <w:r>
        <w:rPr>
          <w:rFonts w:hint="eastAsia" w:ascii="Times New Roman" w:hAnsi="Times New Roman" w:eastAsia="仿宋_GB2312" w:cs="仿宋_GB2312"/>
          <w:sz w:val="21"/>
          <w:szCs w:val="21"/>
          <w:lang w:val="en-US"/>
        </w:rPr>
        <w:t>2</w:t>
      </w:r>
      <w:r>
        <w:rPr>
          <w:rFonts w:hint="eastAsia" w:ascii="仿宋_GB2312" w:hAnsi="仿宋_GB2312" w:eastAsia="仿宋_GB2312" w:cs="仿宋_GB2312"/>
          <w:sz w:val="21"/>
          <w:szCs w:val="21"/>
          <w:lang w:val="en-US"/>
        </w:rPr>
        <w:t>.项目名称必须与招标公告中的名称保持一致。</w:t>
      </w:r>
      <w:bookmarkEnd w:id="2"/>
    </w:p>
    <w:p w14:paraId="14B42AE2">
      <w:pPr>
        <w:widowControl/>
        <w:ind w:firstLine="600"/>
        <w:jc w:val="left"/>
        <w:rPr>
          <w:b/>
          <w:bCs/>
          <w:sz w:val="30"/>
          <w:szCs w:val="30"/>
        </w:rPr>
      </w:pPr>
      <w:r>
        <w:rPr>
          <w:rFonts w:hint="eastAsia" w:ascii="仿宋" w:hAnsi="仿宋" w:cs="仿宋"/>
          <w:kern w:val="0"/>
          <w:sz w:val="30"/>
          <w:szCs w:val="30"/>
        </w:rPr>
        <w:sym w:font="Wingdings" w:char="00A8"/>
      </w:r>
      <w:r>
        <w:rPr>
          <w:rFonts w:hint="eastAsia" w:ascii="仿宋" w:hAnsi="仿宋" w:cs="仿宋"/>
          <w:b/>
          <w:bCs/>
          <w:sz w:val="30"/>
          <w:szCs w:val="30"/>
        </w:rPr>
        <w:t>已知晓，同意按告知书内容进行后续操作</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4C7C911-547A-4C24-8C05-A7DEBC3189A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4E6401-9C5F-4CAA-9753-73C5DF0174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6053780-9941-44E1-B6C6-0E6CFDD1BB03}"/>
  </w:font>
  <w:font w:name="楷体">
    <w:panose1 w:val="02010609060101010101"/>
    <w:charset w:val="86"/>
    <w:family w:val="modern"/>
    <w:pitch w:val="default"/>
    <w:sig w:usb0="800002BF" w:usb1="38CF7CFA" w:usb2="00000016" w:usb3="00000000" w:csb0="00040001" w:csb1="00000000"/>
    <w:embedRegular r:id="rId4" w:fontKey="{D5633844-4D80-4363-9375-8E5706AA1A1A}"/>
  </w:font>
  <w:font w:name="仿宋_GB2312">
    <w:panose1 w:val="02010609030101010101"/>
    <w:charset w:val="86"/>
    <w:family w:val="auto"/>
    <w:pitch w:val="default"/>
    <w:sig w:usb0="00000001" w:usb1="080E0000" w:usb2="00000000" w:usb3="00000000" w:csb0="00040000" w:csb1="00000000"/>
    <w:embedRegular r:id="rId5" w:fontKey="{618005FF-BA6A-42CF-9D16-049A6E7CB263}"/>
  </w:font>
  <w:font w:name="方正小标宋简体">
    <w:panose1 w:val="02000000000000000000"/>
    <w:charset w:val="86"/>
    <w:family w:val="auto"/>
    <w:pitch w:val="default"/>
    <w:sig w:usb0="A00002BF" w:usb1="184F6CFA" w:usb2="00000012" w:usb3="00000000" w:csb0="00040001" w:csb1="00000000"/>
    <w:embedRegular r:id="rId6" w:fontKey="{B72A18A4-005E-4626-AB99-93E507E16662}"/>
  </w:font>
  <w:font w:name="方正仿宋_GBK">
    <w:panose1 w:val="03000509000000000000"/>
    <w:charset w:val="86"/>
    <w:family w:val="auto"/>
    <w:pitch w:val="default"/>
    <w:sig w:usb0="00000001" w:usb1="080E0000" w:usb2="00000000" w:usb3="00000000" w:csb0="00040000" w:csb1="00000000"/>
    <w:embedRegular r:id="rId7" w:fontKey="{A3DF3073-AA99-4CC4-A90E-677F83DDDA1B}"/>
  </w:font>
  <w:font w:name="方正公文小标宋">
    <w:altName w:val="微软雅黑"/>
    <w:panose1 w:val="00000000000000000000"/>
    <w:charset w:val="86"/>
    <w:family w:val="auto"/>
    <w:pitch w:val="default"/>
    <w:sig w:usb0="00000000" w:usb1="00000000" w:usb2="00000016" w:usb3="00000000" w:csb0="00040001" w:csb1="00000000"/>
    <w:embedRegular r:id="rId8" w:fontKey="{FBA21D47-DCA6-4E47-856C-67B83E8FADF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D154">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75A99E">
                          <w:pPr>
                            <w:pStyle w:val="8"/>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MyACPnKAQAAlgMAAA4AAAAAAAAAAQAgAAAAHwEAAGRycy9lMm9E&#10;b2MueG1sUEsFBgAAAAAGAAYAWQEAAFsFAAAAAA==&#10;">
              <v:fill on="f" focussize="0,0"/>
              <v:stroke on="f" weight="0.5pt"/>
              <v:imagedata o:title=""/>
              <o:lock v:ext="edit" aspectratio="f"/>
              <v:textbox inset="0mm,0mm,0mm,0mm" style="mso-fit-shape-to-text:t;">
                <w:txbxContent>
                  <w:p w14:paraId="5175A99E">
                    <w:pPr>
                      <w:pStyle w:val="8"/>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DFC7">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4068">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3E8F">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0EE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75B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7E0C5"/>
    <w:multiLevelType w:val="singleLevel"/>
    <w:tmpl w:val="F577E0C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6F"/>
    <w:rsid w:val="00012EC2"/>
    <w:rsid w:val="00033CD5"/>
    <w:rsid w:val="00046A2A"/>
    <w:rsid w:val="000A2253"/>
    <w:rsid w:val="000C65B6"/>
    <w:rsid w:val="002668E0"/>
    <w:rsid w:val="003E5C5F"/>
    <w:rsid w:val="00492A05"/>
    <w:rsid w:val="007D0C6F"/>
    <w:rsid w:val="00916025"/>
    <w:rsid w:val="009F4C1B"/>
    <w:rsid w:val="00AE6FC7"/>
    <w:rsid w:val="00E30623"/>
    <w:rsid w:val="012908C8"/>
    <w:rsid w:val="01C506B1"/>
    <w:rsid w:val="01E01459"/>
    <w:rsid w:val="020165A2"/>
    <w:rsid w:val="026D3223"/>
    <w:rsid w:val="028305B2"/>
    <w:rsid w:val="02B7449E"/>
    <w:rsid w:val="02DB7501"/>
    <w:rsid w:val="02EB4148"/>
    <w:rsid w:val="03091E03"/>
    <w:rsid w:val="03247659"/>
    <w:rsid w:val="032F1310"/>
    <w:rsid w:val="03FE7E9D"/>
    <w:rsid w:val="04A320F2"/>
    <w:rsid w:val="04CD1DAD"/>
    <w:rsid w:val="050F7790"/>
    <w:rsid w:val="05527330"/>
    <w:rsid w:val="05536445"/>
    <w:rsid w:val="0580501B"/>
    <w:rsid w:val="05A14F91"/>
    <w:rsid w:val="060905E2"/>
    <w:rsid w:val="060A1284"/>
    <w:rsid w:val="06255BC2"/>
    <w:rsid w:val="062655AD"/>
    <w:rsid w:val="065D535C"/>
    <w:rsid w:val="066B177D"/>
    <w:rsid w:val="06A50AB1"/>
    <w:rsid w:val="06DA075B"/>
    <w:rsid w:val="06F611A0"/>
    <w:rsid w:val="075D4902"/>
    <w:rsid w:val="07850FED"/>
    <w:rsid w:val="079A08B7"/>
    <w:rsid w:val="0853263B"/>
    <w:rsid w:val="086A641E"/>
    <w:rsid w:val="08752E31"/>
    <w:rsid w:val="08E85490"/>
    <w:rsid w:val="08F86759"/>
    <w:rsid w:val="093A1985"/>
    <w:rsid w:val="09593D20"/>
    <w:rsid w:val="099E77F2"/>
    <w:rsid w:val="09F22188"/>
    <w:rsid w:val="0A0124A3"/>
    <w:rsid w:val="0A3F7525"/>
    <w:rsid w:val="0A6F565E"/>
    <w:rsid w:val="0A841E0C"/>
    <w:rsid w:val="0ABE4CFB"/>
    <w:rsid w:val="0B073AE9"/>
    <w:rsid w:val="0B3B5A91"/>
    <w:rsid w:val="0B4340AA"/>
    <w:rsid w:val="0B8402F5"/>
    <w:rsid w:val="0B8B296C"/>
    <w:rsid w:val="0B923942"/>
    <w:rsid w:val="0BF422BF"/>
    <w:rsid w:val="0C186C21"/>
    <w:rsid w:val="0CAA1934"/>
    <w:rsid w:val="0CC021C4"/>
    <w:rsid w:val="0DA711A4"/>
    <w:rsid w:val="0E1C5AFD"/>
    <w:rsid w:val="0E1E3154"/>
    <w:rsid w:val="0E2E6733"/>
    <w:rsid w:val="0E4B03EB"/>
    <w:rsid w:val="0E5C1E70"/>
    <w:rsid w:val="0E76345F"/>
    <w:rsid w:val="0E7B2400"/>
    <w:rsid w:val="0E813BB2"/>
    <w:rsid w:val="0E8D066C"/>
    <w:rsid w:val="0ECF2B6F"/>
    <w:rsid w:val="0F6E2388"/>
    <w:rsid w:val="0FDB1A82"/>
    <w:rsid w:val="109E6D51"/>
    <w:rsid w:val="10A047C3"/>
    <w:rsid w:val="111707EB"/>
    <w:rsid w:val="118C0549"/>
    <w:rsid w:val="11BF5806"/>
    <w:rsid w:val="12307AED"/>
    <w:rsid w:val="12343F4F"/>
    <w:rsid w:val="12754E70"/>
    <w:rsid w:val="128B14A3"/>
    <w:rsid w:val="12C60196"/>
    <w:rsid w:val="12E5772B"/>
    <w:rsid w:val="13224B48"/>
    <w:rsid w:val="134D425F"/>
    <w:rsid w:val="139B74C4"/>
    <w:rsid w:val="13F24D75"/>
    <w:rsid w:val="141C0605"/>
    <w:rsid w:val="14357918"/>
    <w:rsid w:val="14733F09"/>
    <w:rsid w:val="14A30F50"/>
    <w:rsid w:val="15215C76"/>
    <w:rsid w:val="15D96A2D"/>
    <w:rsid w:val="16095600"/>
    <w:rsid w:val="16226B61"/>
    <w:rsid w:val="16924BAE"/>
    <w:rsid w:val="174A7237"/>
    <w:rsid w:val="179E422B"/>
    <w:rsid w:val="17C84600"/>
    <w:rsid w:val="17CC2342"/>
    <w:rsid w:val="17E70F2A"/>
    <w:rsid w:val="17E72CD8"/>
    <w:rsid w:val="1890336F"/>
    <w:rsid w:val="18AB1F57"/>
    <w:rsid w:val="18C96881"/>
    <w:rsid w:val="191D13ED"/>
    <w:rsid w:val="19467ED2"/>
    <w:rsid w:val="1A0B17E1"/>
    <w:rsid w:val="1A78230D"/>
    <w:rsid w:val="1A941E72"/>
    <w:rsid w:val="1AAD6307"/>
    <w:rsid w:val="1AE801EF"/>
    <w:rsid w:val="1B106DCC"/>
    <w:rsid w:val="1B154000"/>
    <w:rsid w:val="1B690BAF"/>
    <w:rsid w:val="1B754A9E"/>
    <w:rsid w:val="1C4E70D5"/>
    <w:rsid w:val="1D2E70F1"/>
    <w:rsid w:val="1D322F3A"/>
    <w:rsid w:val="1D7B132A"/>
    <w:rsid w:val="1D85154F"/>
    <w:rsid w:val="1DE76912"/>
    <w:rsid w:val="1EA55F19"/>
    <w:rsid w:val="1EE44415"/>
    <w:rsid w:val="1F52094A"/>
    <w:rsid w:val="1FAB6CE1"/>
    <w:rsid w:val="200C6CE6"/>
    <w:rsid w:val="20834D76"/>
    <w:rsid w:val="210B48A4"/>
    <w:rsid w:val="211146CB"/>
    <w:rsid w:val="214012B9"/>
    <w:rsid w:val="219C4B33"/>
    <w:rsid w:val="22140793"/>
    <w:rsid w:val="224D407F"/>
    <w:rsid w:val="22737F8A"/>
    <w:rsid w:val="227B2159"/>
    <w:rsid w:val="228026A7"/>
    <w:rsid w:val="232E5C5F"/>
    <w:rsid w:val="23BA3996"/>
    <w:rsid w:val="23C95987"/>
    <w:rsid w:val="248C75F9"/>
    <w:rsid w:val="24C51723"/>
    <w:rsid w:val="257668FB"/>
    <w:rsid w:val="25924832"/>
    <w:rsid w:val="261F5D33"/>
    <w:rsid w:val="27577BB5"/>
    <w:rsid w:val="275B0FEC"/>
    <w:rsid w:val="2777374E"/>
    <w:rsid w:val="27814EF7"/>
    <w:rsid w:val="27AE1633"/>
    <w:rsid w:val="283578C2"/>
    <w:rsid w:val="283C2BCC"/>
    <w:rsid w:val="28420858"/>
    <w:rsid w:val="29C60D55"/>
    <w:rsid w:val="29E1374C"/>
    <w:rsid w:val="29E1634D"/>
    <w:rsid w:val="2A0140CD"/>
    <w:rsid w:val="2A026B3E"/>
    <w:rsid w:val="2A153CD0"/>
    <w:rsid w:val="2A1831C5"/>
    <w:rsid w:val="2A1C1503"/>
    <w:rsid w:val="2B5A77C8"/>
    <w:rsid w:val="2C116E80"/>
    <w:rsid w:val="2C3F00AB"/>
    <w:rsid w:val="2C8C0643"/>
    <w:rsid w:val="2CB422EC"/>
    <w:rsid w:val="2CE77D85"/>
    <w:rsid w:val="2D0839C4"/>
    <w:rsid w:val="2D4A3B17"/>
    <w:rsid w:val="2D613652"/>
    <w:rsid w:val="2D8C7D6D"/>
    <w:rsid w:val="2E1E014F"/>
    <w:rsid w:val="2E9A328C"/>
    <w:rsid w:val="2EC4317C"/>
    <w:rsid w:val="2EC73D50"/>
    <w:rsid w:val="2FCA4408"/>
    <w:rsid w:val="302C7DDD"/>
    <w:rsid w:val="30802F65"/>
    <w:rsid w:val="30B6644D"/>
    <w:rsid w:val="30BD6874"/>
    <w:rsid w:val="30C839DD"/>
    <w:rsid w:val="30CA72CD"/>
    <w:rsid w:val="30F172C7"/>
    <w:rsid w:val="30FB54EF"/>
    <w:rsid w:val="31442AF1"/>
    <w:rsid w:val="31684A32"/>
    <w:rsid w:val="31745184"/>
    <w:rsid w:val="325C0D35"/>
    <w:rsid w:val="327318E0"/>
    <w:rsid w:val="327B2543"/>
    <w:rsid w:val="32B141B6"/>
    <w:rsid w:val="32B51490"/>
    <w:rsid w:val="33291534"/>
    <w:rsid w:val="332C0FF0"/>
    <w:rsid w:val="339733AC"/>
    <w:rsid w:val="33ED7470"/>
    <w:rsid w:val="340B70E4"/>
    <w:rsid w:val="34134BC4"/>
    <w:rsid w:val="34480B4A"/>
    <w:rsid w:val="35773495"/>
    <w:rsid w:val="35F745D6"/>
    <w:rsid w:val="35FC399A"/>
    <w:rsid w:val="36056CF3"/>
    <w:rsid w:val="362D7FF8"/>
    <w:rsid w:val="36F11025"/>
    <w:rsid w:val="37680836"/>
    <w:rsid w:val="37727C4D"/>
    <w:rsid w:val="379F0A81"/>
    <w:rsid w:val="37FE7E04"/>
    <w:rsid w:val="38EC0C14"/>
    <w:rsid w:val="39140DAC"/>
    <w:rsid w:val="3971469F"/>
    <w:rsid w:val="398C5752"/>
    <w:rsid w:val="3A241712"/>
    <w:rsid w:val="3A8B353F"/>
    <w:rsid w:val="3AAC1E33"/>
    <w:rsid w:val="3AAF4028"/>
    <w:rsid w:val="3AB111F7"/>
    <w:rsid w:val="3AB51D54"/>
    <w:rsid w:val="3AE570F3"/>
    <w:rsid w:val="3B4F331B"/>
    <w:rsid w:val="3B7505CB"/>
    <w:rsid w:val="3B903503"/>
    <w:rsid w:val="3BBF16F2"/>
    <w:rsid w:val="3C2024A6"/>
    <w:rsid w:val="3C2974B3"/>
    <w:rsid w:val="3C830620"/>
    <w:rsid w:val="3C885F88"/>
    <w:rsid w:val="3CCF005B"/>
    <w:rsid w:val="3CFD1A00"/>
    <w:rsid w:val="3D275604"/>
    <w:rsid w:val="3D2F16BE"/>
    <w:rsid w:val="3D2F6CDF"/>
    <w:rsid w:val="3D925954"/>
    <w:rsid w:val="3D9B65E3"/>
    <w:rsid w:val="3DA70690"/>
    <w:rsid w:val="3E3363C7"/>
    <w:rsid w:val="3ECF5CF6"/>
    <w:rsid w:val="3F003CE8"/>
    <w:rsid w:val="3F51605E"/>
    <w:rsid w:val="40022581"/>
    <w:rsid w:val="40942260"/>
    <w:rsid w:val="410B2527"/>
    <w:rsid w:val="41B45A71"/>
    <w:rsid w:val="424F1F27"/>
    <w:rsid w:val="425B7B95"/>
    <w:rsid w:val="429A4C67"/>
    <w:rsid w:val="42B31885"/>
    <w:rsid w:val="43D9531B"/>
    <w:rsid w:val="43E51F12"/>
    <w:rsid w:val="448A4586"/>
    <w:rsid w:val="44C7620D"/>
    <w:rsid w:val="44FE1514"/>
    <w:rsid w:val="46405B25"/>
    <w:rsid w:val="468F4FC0"/>
    <w:rsid w:val="46E37CCA"/>
    <w:rsid w:val="47486A40"/>
    <w:rsid w:val="47523D62"/>
    <w:rsid w:val="478C239C"/>
    <w:rsid w:val="47A85730"/>
    <w:rsid w:val="47AF6ABF"/>
    <w:rsid w:val="47FE38F7"/>
    <w:rsid w:val="482252DB"/>
    <w:rsid w:val="482C010F"/>
    <w:rsid w:val="48594C7C"/>
    <w:rsid w:val="48855659"/>
    <w:rsid w:val="48BB76E5"/>
    <w:rsid w:val="48D11E62"/>
    <w:rsid w:val="48F0738F"/>
    <w:rsid w:val="492359B6"/>
    <w:rsid w:val="493D634C"/>
    <w:rsid w:val="49D0782F"/>
    <w:rsid w:val="49E60792"/>
    <w:rsid w:val="4A215F3A"/>
    <w:rsid w:val="4A5509E6"/>
    <w:rsid w:val="4ABC5E5C"/>
    <w:rsid w:val="4ADA20A4"/>
    <w:rsid w:val="4B176112"/>
    <w:rsid w:val="4D0314E7"/>
    <w:rsid w:val="4D197CB8"/>
    <w:rsid w:val="4D6614CB"/>
    <w:rsid w:val="4DB52D78"/>
    <w:rsid w:val="4DD94927"/>
    <w:rsid w:val="4E2058BA"/>
    <w:rsid w:val="4E840BCC"/>
    <w:rsid w:val="4E9613EF"/>
    <w:rsid w:val="4E9B7D9D"/>
    <w:rsid w:val="4ED85325"/>
    <w:rsid w:val="4F041DE6"/>
    <w:rsid w:val="4F09764C"/>
    <w:rsid w:val="4F7C7BCE"/>
    <w:rsid w:val="4FBC621D"/>
    <w:rsid w:val="50211B71"/>
    <w:rsid w:val="506D7517"/>
    <w:rsid w:val="506E6105"/>
    <w:rsid w:val="507A1C34"/>
    <w:rsid w:val="510E100C"/>
    <w:rsid w:val="516C5A20"/>
    <w:rsid w:val="5196269A"/>
    <w:rsid w:val="51A72D56"/>
    <w:rsid w:val="51A91CCA"/>
    <w:rsid w:val="52132340"/>
    <w:rsid w:val="52276E94"/>
    <w:rsid w:val="5233653E"/>
    <w:rsid w:val="52497B10"/>
    <w:rsid w:val="52577203"/>
    <w:rsid w:val="52DB29CF"/>
    <w:rsid w:val="531406A5"/>
    <w:rsid w:val="53FF3638"/>
    <w:rsid w:val="541D3002"/>
    <w:rsid w:val="546377D4"/>
    <w:rsid w:val="547B7EF0"/>
    <w:rsid w:val="54E51D72"/>
    <w:rsid w:val="55200FFC"/>
    <w:rsid w:val="552C4EA5"/>
    <w:rsid w:val="55320D2F"/>
    <w:rsid w:val="55A439DB"/>
    <w:rsid w:val="55BF794C"/>
    <w:rsid w:val="55C33ACC"/>
    <w:rsid w:val="55D87B28"/>
    <w:rsid w:val="56293EE0"/>
    <w:rsid w:val="56424FA2"/>
    <w:rsid w:val="56507CF0"/>
    <w:rsid w:val="56BC528E"/>
    <w:rsid w:val="56EF316D"/>
    <w:rsid w:val="57015EA0"/>
    <w:rsid w:val="57471324"/>
    <w:rsid w:val="58847E36"/>
    <w:rsid w:val="58B53004"/>
    <w:rsid w:val="58DD073C"/>
    <w:rsid w:val="59277154"/>
    <w:rsid w:val="595474C6"/>
    <w:rsid w:val="59AB7363"/>
    <w:rsid w:val="59AE02DE"/>
    <w:rsid w:val="59E22F90"/>
    <w:rsid w:val="59E3084A"/>
    <w:rsid w:val="5A851901"/>
    <w:rsid w:val="5B264E92"/>
    <w:rsid w:val="5B4F63E5"/>
    <w:rsid w:val="5C02145B"/>
    <w:rsid w:val="5C1E4EC2"/>
    <w:rsid w:val="5C3C4BA1"/>
    <w:rsid w:val="5C930814"/>
    <w:rsid w:val="5CB920AE"/>
    <w:rsid w:val="5DBC388C"/>
    <w:rsid w:val="5DD53845"/>
    <w:rsid w:val="5E7B6D97"/>
    <w:rsid w:val="5E8E5228"/>
    <w:rsid w:val="5EDF63C8"/>
    <w:rsid w:val="5EF1067F"/>
    <w:rsid w:val="5F475B22"/>
    <w:rsid w:val="5F4B4EC7"/>
    <w:rsid w:val="5F6D308F"/>
    <w:rsid w:val="5F742670"/>
    <w:rsid w:val="60023C8F"/>
    <w:rsid w:val="60335C18"/>
    <w:rsid w:val="607246D5"/>
    <w:rsid w:val="60AA4D27"/>
    <w:rsid w:val="60D94755"/>
    <w:rsid w:val="60F330E5"/>
    <w:rsid w:val="6109503A"/>
    <w:rsid w:val="61806CA1"/>
    <w:rsid w:val="61834DEC"/>
    <w:rsid w:val="62013F63"/>
    <w:rsid w:val="620729F0"/>
    <w:rsid w:val="635A67E8"/>
    <w:rsid w:val="63A0369D"/>
    <w:rsid w:val="63C03219"/>
    <w:rsid w:val="63E73E74"/>
    <w:rsid w:val="63EB1327"/>
    <w:rsid w:val="64C00105"/>
    <w:rsid w:val="65F067C8"/>
    <w:rsid w:val="66472EB5"/>
    <w:rsid w:val="679555BB"/>
    <w:rsid w:val="68996CA3"/>
    <w:rsid w:val="689A19F0"/>
    <w:rsid w:val="68BD21B8"/>
    <w:rsid w:val="69932E8C"/>
    <w:rsid w:val="69EC72A7"/>
    <w:rsid w:val="6AC81AC2"/>
    <w:rsid w:val="6AD95A7D"/>
    <w:rsid w:val="6B5E2426"/>
    <w:rsid w:val="6B607ADB"/>
    <w:rsid w:val="6B773FC3"/>
    <w:rsid w:val="6BCC3834"/>
    <w:rsid w:val="6C866E49"/>
    <w:rsid w:val="6C88775B"/>
    <w:rsid w:val="6CB71DEE"/>
    <w:rsid w:val="6D0B73F9"/>
    <w:rsid w:val="6DBB3B60"/>
    <w:rsid w:val="6F265009"/>
    <w:rsid w:val="6F767D3E"/>
    <w:rsid w:val="6F7C696C"/>
    <w:rsid w:val="6FE56C72"/>
    <w:rsid w:val="6FEF53D1"/>
    <w:rsid w:val="702552C0"/>
    <w:rsid w:val="70757FF6"/>
    <w:rsid w:val="708A22AA"/>
    <w:rsid w:val="70B22258"/>
    <w:rsid w:val="712724EE"/>
    <w:rsid w:val="719E0AED"/>
    <w:rsid w:val="719F18EE"/>
    <w:rsid w:val="71E33685"/>
    <w:rsid w:val="72104BA7"/>
    <w:rsid w:val="724D4C0A"/>
    <w:rsid w:val="72BB1F0C"/>
    <w:rsid w:val="733A72D5"/>
    <w:rsid w:val="7395275D"/>
    <w:rsid w:val="73A33B75"/>
    <w:rsid w:val="73CA0659"/>
    <w:rsid w:val="73F25CD2"/>
    <w:rsid w:val="740F250F"/>
    <w:rsid w:val="74341F76"/>
    <w:rsid w:val="74546174"/>
    <w:rsid w:val="747C661B"/>
    <w:rsid w:val="747E57F8"/>
    <w:rsid w:val="75822D61"/>
    <w:rsid w:val="75B01DC5"/>
    <w:rsid w:val="75E84D50"/>
    <w:rsid w:val="76197675"/>
    <w:rsid w:val="76267782"/>
    <w:rsid w:val="76AE6010"/>
    <w:rsid w:val="76C577FD"/>
    <w:rsid w:val="77291B3A"/>
    <w:rsid w:val="77600C55"/>
    <w:rsid w:val="77C16217"/>
    <w:rsid w:val="783D66F4"/>
    <w:rsid w:val="78785DD0"/>
    <w:rsid w:val="78992CEF"/>
    <w:rsid w:val="795A422D"/>
    <w:rsid w:val="796451DE"/>
    <w:rsid w:val="79741FA4"/>
    <w:rsid w:val="7984574E"/>
    <w:rsid w:val="79FF17CD"/>
    <w:rsid w:val="7A064BE3"/>
    <w:rsid w:val="7A7A6EC4"/>
    <w:rsid w:val="7AE77D42"/>
    <w:rsid w:val="7B51087D"/>
    <w:rsid w:val="7BF85F7F"/>
    <w:rsid w:val="7C0E0054"/>
    <w:rsid w:val="7C1508DF"/>
    <w:rsid w:val="7C294874"/>
    <w:rsid w:val="7C484810"/>
    <w:rsid w:val="7C731BED"/>
    <w:rsid w:val="7C923759"/>
    <w:rsid w:val="7CA53A11"/>
    <w:rsid w:val="7D3F6622"/>
    <w:rsid w:val="7E16392E"/>
    <w:rsid w:val="7E7E276B"/>
    <w:rsid w:val="7EAF5740"/>
    <w:rsid w:val="7F042AFB"/>
    <w:rsid w:val="7F0C421B"/>
    <w:rsid w:val="7F271055"/>
    <w:rsid w:val="7F847106"/>
    <w:rsid w:val="7F8C0EB8"/>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paragraph" w:styleId="4">
    <w:name w:val="heading 1"/>
    <w:basedOn w:val="1"/>
    <w:next w:val="1"/>
    <w:link w:val="16"/>
    <w:qFormat/>
    <w:uiPriority w:val="0"/>
    <w:pPr>
      <w:ind w:firstLine="640"/>
      <w:outlineLvl w:val="0"/>
    </w:pPr>
    <w:rPr>
      <w:rFonts w:ascii="黑体" w:hAnsi="黑体" w:eastAsia="黑体" w:cs="黑体"/>
      <w:szCs w:val="32"/>
    </w:rPr>
  </w:style>
  <w:style w:type="paragraph" w:styleId="5">
    <w:name w:val="heading 2"/>
    <w:basedOn w:val="1"/>
    <w:next w:val="1"/>
    <w:link w:val="18"/>
    <w:unhideWhenUsed/>
    <w:qFormat/>
    <w:uiPriority w:val="0"/>
    <w:pPr>
      <w:widowControl/>
      <w:ind w:firstLine="640"/>
      <w:jc w:val="left"/>
      <w:outlineLvl w:val="1"/>
    </w:pPr>
    <w:rPr>
      <w:rFonts w:ascii="楷体" w:hAnsi="楷体" w:eastAsia="楷体" w:cs="楷体"/>
      <w:bCs/>
      <w:color w:val="000000"/>
      <w:kern w:val="0"/>
      <w:szCs w:val="32"/>
    </w:rPr>
  </w:style>
  <w:style w:type="paragraph" w:styleId="6">
    <w:name w:val="heading 3"/>
    <w:basedOn w:val="1"/>
    <w:next w:val="1"/>
    <w:link w:val="17"/>
    <w:unhideWhenUsed/>
    <w:qFormat/>
    <w:uiPriority w:val="0"/>
    <w:pPr>
      <w:widowControl/>
      <w:ind w:firstLine="640"/>
      <w:jc w:val="left"/>
      <w:outlineLvl w:val="2"/>
    </w:pPr>
    <w:rPr>
      <w:rFonts w:ascii="仿宋" w:hAnsi="仿宋" w:cs="仿宋"/>
      <w:b/>
      <w:bCs/>
      <w:kern w:val="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Cs w:val="32"/>
      <w:lang w:val="zh-CN"/>
    </w:rPr>
  </w:style>
  <w:style w:type="paragraph" w:styleId="3">
    <w:name w:val="index 8"/>
    <w:basedOn w:val="1"/>
    <w:next w:val="1"/>
    <w:qFormat/>
    <w:uiPriority w:val="0"/>
    <w:pPr>
      <w:ind w:left="2940"/>
    </w:pPr>
  </w:style>
  <w:style w:type="paragraph" w:styleId="7">
    <w:name w:val="annotation text"/>
    <w:basedOn w:val="1"/>
    <w:link w:val="22"/>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tabs>
        <w:tab w:val="center" w:pos="4153"/>
        <w:tab w:val="right" w:pos="8306"/>
      </w:tabs>
      <w:snapToGrid w:val="0"/>
      <w:spacing w:line="240" w:lineRule="atLeast"/>
      <w:jc w:val="center"/>
    </w:pPr>
    <w:rPr>
      <w:sz w:val="18"/>
      <w:szCs w:val="18"/>
    </w:rPr>
  </w:style>
  <w:style w:type="paragraph" w:styleId="10">
    <w:name w:val="Normal (Web)"/>
    <w:basedOn w:val="1"/>
    <w:qFormat/>
    <w:uiPriority w:val="0"/>
    <w:pPr>
      <w:jc w:val="left"/>
    </w:pPr>
    <w:rPr>
      <w:kern w:val="0"/>
    </w:rPr>
  </w:style>
  <w:style w:type="paragraph" w:styleId="11">
    <w:name w:val="annotation subject"/>
    <w:basedOn w:val="7"/>
    <w:next w:val="7"/>
    <w:link w:val="2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标题 1 字符"/>
    <w:link w:val="4"/>
    <w:qFormat/>
    <w:uiPriority w:val="0"/>
    <w:rPr>
      <w:rFonts w:ascii="黑体" w:hAnsi="黑体" w:eastAsia="黑体" w:cs="黑体"/>
      <w:color w:val="auto"/>
      <w:sz w:val="32"/>
      <w:szCs w:val="32"/>
    </w:rPr>
  </w:style>
  <w:style w:type="character" w:customStyle="1" w:styleId="17">
    <w:name w:val="标题 3 字符"/>
    <w:link w:val="6"/>
    <w:qFormat/>
    <w:uiPriority w:val="0"/>
    <w:rPr>
      <w:rFonts w:ascii="仿宋" w:hAnsi="仿宋" w:eastAsia="仿宋" w:cs="仿宋"/>
      <w:b/>
      <w:bCs/>
      <w:color w:val="auto"/>
      <w:kern w:val="0"/>
      <w:sz w:val="32"/>
      <w:szCs w:val="32"/>
      <w:lang w:val="en-US" w:eastAsia="zh-CN" w:bidi="ar-SA"/>
    </w:rPr>
  </w:style>
  <w:style w:type="character" w:customStyle="1" w:styleId="18">
    <w:name w:val="标题 2 字符"/>
    <w:link w:val="5"/>
    <w:qFormat/>
    <w:uiPriority w:val="0"/>
    <w:rPr>
      <w:rFonts w:ascii="楷体" w:hAnsi="楷体" w:eastAsia="楷体" w:cs="楷体"/>
      <w:bCs/>
      <w:color w:val="000000"/>
      <w:kern w:val="0"/>
      <w:sz w:val="32"/>
      <w:szCs w:val="32"/>
    </w:rPr>
  </w:style>
  <w:style w:type="paragraph" w:customStyle="1" w:styleId="19">
    <w:name w:val="表格内容"/>
    <w:basedOn w:val="1"/>
    <w:qFormat/>
    <w:uiPriority w:val="0"/>
    <w:pPr>
      <w:spacing w:line="320" w:lineRule="exact"/>
      <w:ind w:firstLine="0" w:firstLineChars="0"/>
    </w:pPr>
    <w:rPr>
      <w:rFonts w:hint="eastAsia" w:ascii="仿宋_GB2312" w:hAnsi="仿宋_GB2312" w:cs="仿宋_GB2312"/>
      <w:sz w:val="21"/>
      <w:szCs w:val="21"/>
    </w:rPr>
  </w:style>
  <w:style w:type="character" w:customStyle="1" w:styleId="20">
    <w:name w:val="页眉 字符"/>
    <w:basedOn w:val="14"/>
    <w:link w:val="9"/>
    <w:qFormat/>
    <w:uiPriority w:val="0"/>
    <w:rPr>
      <w:rFonts w:ascii="Calibri" w:hAnsi="Calibri" w:eastAsia="仿宋"/>
      <w:kern w:val="2"/>
      <w:sz w:val="18"/>
      <w:szCs w:val="18"/>
    </w:rPr>
  </w:style>
  <w:style w:type="paragraph" w:customStyle="1" w:styleId="21">
    <w:name w:val="Revision"/>
    <w:hidden/>
    <w:unhideWhenUsed/>
    <w:qFormat/>
    <w:uiPriority w:val="99"/>
    <w:rPr>
      <w:rFonts w:ascii="Calibri" w:hAnsi="Calibri" w:eastAsia="仿宋" w:cs="Times New Roman"/>
      <w:kern w:val="2"/>
      <w:sz w:val="32"/>
      <w:szCs w:val="24"/>
      <w:lang w:val="en-US" w:eastAsia="zh-CN" w:bidi="ar-SA"/>
    </w:rPr>
  </w:style>
  <w:style w:type="character" w:customStyle="1" w:styleId="22">
    <w:name w:val="批注文字 字符"/>
    <w:basedOn w:val="14"/>
    <w:link w:val="7"/>
    <w:qFormat/>
    <w:uiPriority w:val="0"/>
    <w:rPr>
      <w:rFonts w:ascii="Calibri" w:hAnsi="Calibri" w:eastAsia="仿宋"/>
      <w:kern w:val="2"/>
      <w:sz w:val="32"/>
      <w:szCs w:val="24"/>
    </w:rPr>
  </w:style>
  <w:style w:type="character" w:customStyle="1" w:styleId="23">
    <w:name w:val="批注主题 字符"/>
    <w:basedOn w:val="22"/>
    <w:link w:val="11"/>
    <w:qFormat/>
    <w:uiPriority w:val="0"/>
    <w:rPr>
      <w:rFonts w:ascii="Calibri" w:hAnsi="Calibri" w:eastAsia="仿宋"/>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ead61b79-27ba-4eda-92eb-865942e1c810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7ACB538E</paraID>
      <start>128</start>
      <end>130</end>
      <status>modified</status>
      <modifiedWord>需要</modifiedWord>
      <trackRevisions>false</trackRevisions>
    </reviewItem>
    <reviewItem>
      <errorID>05034b52-3280-4f5e-9cbd-698e5ba5dd97</errorID>
      <errorWord>。</errorWord>
      <group>L1_Punc</group>
      <groupName>标点问题</groupName>
      <ability>L2_Punc</ability>
      <abilityName>标点符号检查</abilityName>
      <candidateList/>
      <explain/>
      <paraID> 4B6E87B</paraID>
      <start>0</start>
      <end>1</end>
      <status>unmodified</status>
      <modifiedWord/>
      <trackRevisions>false</trackRevisions>
    </reviewItem>
    <reviewItem>
      <errorID>38444036-325b-40c7-9564-a3430f451ee7</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57E5F0BE</paraID>
      <start>234</start>
      <end>237</end>
      <status>unmodified</status>
      <modifiedWord/>
      <trackRevisions>false</trackRevisions>
    </reviewItem>
    <reviewItem>
      <errorID>383b9492-7f77-447f-8b60-fee85a3de57a</errorID>
      <errorWord>属</errorWord>
      <group>L1_Word</group>
      <groupName>字词问题</groupName>
      <ability>L2_Typo</ability>
      <abilityName>字词错误</abilityName>
      <candidateList>
        <item>属于</item>
      </candidateList>
      <explain/>
      <paraID>7F9962C9</paraID>
      <start>15</start>
      <end>16</end>
      <status>unmodified</status>
      <modifiedWord/>
      <trackRevisions>false</trackRevisions>
    </reviewItem>
    <reviewItem>
      <errorID>ac615787-b839-48d7-bf42-e3d4afb5e64f</errorID>
      <errorWord>月</errorWord>
      <group>L1_Word</group>
      <groupName>字词问题</groupName>
      <ability>L2_Typo</ability>
      <abilityName>字词错误</abilityName>
      <candidateList>
        <item>月的</item>
      </candidateList>
      <explain/>
      <paraID>698F6751</paraID>
      <start>52</start>
      <end>53</end>
      <status>unmodified</status>
      <modifiedWord/>
      <trackRevisions>false</trackRevisions>
    </reviewItem>
    <reviewItem>
      <errorID>c85ea625-f145-4c63-aca2-d2fdfd34bd27</errorID>
      <errorWord>(</errorWord>
      <group>L1_Format</group>
      <groupName>格式问题</groupName>
      <ability>L2_HalfPunc</ability>
      <abilityName>全半角检查</abilityName>
      <candidateList>
        <item>（</item>
      </candidateList>
      <explain>文本全半角错误。</explain>
      <paraID>2E94A452</paraID>
      <start>45</start>
      <end>46</end>
      <status>modified</status>
      <modifiedWord>（</modifiedWord>
      <trackRevisions>false</trackRevisions>
    </reviewItem>
    <reviewItem>
      <errorID>45172f86-0912-4f60-90c8-7de70244a894</errorID>
      <errorWord>)</errorWord>
      <group>L1_Format</group>
      <groupName>格式问题</groupName>
      <ability>L2_HalfPunc</ability>
      <abilityName>全半角检查</abilityName>
      <candidateList>
        <item>）</item>
      </candidateList>
      <explain>文本全半角错误。</explain>
      <paraID>2E94A452</paraID>
      <start>56</start>
      <end>57</end>
      <status>modified</status>
      <modifiedWord>）</modifiedWord>
      <trackRevisions>false</trackRevisions>
    </reviewItem>
    <reviewItem>
      <errorID>411b9ec4-6e30-4252-8bb1-58925ad54bcf</errorID>
      <errorWord>(</errorWord>
      <group>L1_Format</group>
      <groupName>格式问题</groupName>
      <ability>L2_HalfPunc</ability>
      <abilityName>全半角检查</abilityName>
      <candidateList>
        <item>（</item>
      </candidateList>
      <explain>文本全半角错误。</explain>
      <paraID>6180839E</paraID>
      <start>7</start>
      <end>8</end>
      <status>modified</status>
      <modifiedWord>（</modifiedWord>
      <trackRevisions>false</trackRevisions>
    </reviewItem>
    <reviewItem>
      <errorID>17b896b2-8131-42ba-9144-dca237f2d87b</errorID>
      <errorWord>)</errorWord>
      <group>L1_Format</group>
      <groupName>格式问题</groupName>
      <ability>L2_HalfPunc</ability>
      <abilityName>全半角检查</abilityName>
      <candidateList>
        <item>）</item>
      </candidateList>
      <explain>文本全半角错误。</explain>
      <paraID>6180839E</paraID>
      <start>18</start>
      <end>19</end>
      <status>modified</status>
      <modifiedWord>）</modifiedWord>
      <trackRevisions>false</trackRevisions>
    </reviewItem>
    <reviewItem>
      <errorID>cccd8e7b-1215-49e3-a4eb-66fe72f7772a</errorID>
      <errorWord>(</errorWord>
      <group>L1_Format</group>
      <groupName>格式问题</groupName>
      <ability>L2_HalfPunc</ability>
      <abilityName>全半角检查</abilityName>
      <candidateList>
        <item>（</item>
      </candidateList>
      <explain>文本全半角错误。</explain>
      <paraID>6180839E</paraID>
      <start>48</start>
      <end>49</end>
      <status>modified</status>
      <modifiedWord>（</modifiedWord>
      <trackRevisions>false</trackRevisions>
    </reviewItem>
    <reviewItem>
      <errorID>7dab62d4-91b9-40bf-892e-591b62573cb4</errorID>
      <errorWord>)</errorWord>
      <group>L1_Format</group>
      <groupName>格式问题</groupName>
      <ability>L2_HalfPunc</ability>
      <abilityName>全半角检查</abilityName>
      <candidateList>
        <item>）</item>
      </candidateList>
      <explain>文本全半角错误。</explain>
      <paraID>6180839E</paraID>
      <start>56</start>
      <end>57</end>
      <status>modified</status>
      <modifiedWord>）</modifiedWord>
      <trackRevisions>false</trackRevisions>
    </reviewItem>
    <reviewItem>
      <errorID>fd6cb866-da8f-4f7e-899a-7b3e88dba6e2</errorID>
      <errorWord>(</errorWord>
      <group>L1_Format</group>
      <groupName>格式问题</groupName>
      <ability>L2_HalfPunc</ability>
      <abilityName>全半角检查</abilityName>
      <candidateList>
        <item>（</item>
      </candidateList>
      <explain>文本全半角错误。</explain>
      <paraID>6180839E</paraID>
      <start>64</start>
      <end>65</end>
      <status>modified</status>
      <modifiedWord>（</modifiedWord>
      <trackRevisions>false</trackRevisions>
    </reviewItem>
    <reviewItem>
      <errorID>d4d2b6fc-047e-4c7d-b64d-ad2a9f7837bf</errorID>
      <errorWord>)</errorWord>
      <group>L1_Format</group>
      <groupName>格式问题</groupName>
      <ability>L2_HalfPunc</ability>
      <abilityName>全半角检查</abilityName>
      <candidateList>
        <item>）</item>
      </candidateList>
      <explain>文本全半角错误。</explain>
      <paraID>6180839E</paraID>
      <start>71</start>
      <end>72</end>
      <status>modified</status>
      <modifiedWord>）</modifiedWord>
      <trackRevisions>false</trackRevisions>
    </reviewItem>
    <reviewItem>
      <errorID>444028cb-84e5-47a8-802b-443637f868a5</errorID>
      <errorWord>【2025】8号</errorWord>
      <group>L1_Knowledge</group>
      <groupName>知识性问题</groupName>
      <ability>L2_Knowledge</ability>
      <abilityName>其他知识</abilityName>
      <candidateList>
        <item>〔2025〕8号</item>
      </candidateList>
      <explain>发文字号格式错误。</explain>
      <paraID> A2E029D</paraID>
      <start>24</start>
      <end>32</end>
      <status>modified</status>
      <modifiedWord>〔2025〕8号</modifiedWord>
      <trackRevisions>false</trackRevisions>
    </reviewItem>
    <reviewItem>
      <errorID>0798e7e5-c6c0-460e-8d34-0480889b42bd</errorID>
      <errorWord>，</errorWord>
      <group>L1_Word</group>
      <groupName>字词问题</groupName>
      <ability>L2_Typo</ability>
      <abilityName>字词错误</abilityName>
      <candidateList>
        <item>，由</item>
      </candidateList>
      <explain/>
      <paraID>7B0BAE3C</paraID>
      <start>80</start>
      <end>81</end>
      <status>unmodified</status>
      <modifiedWord/>
      <trackRevisions>false</trackRevisions>
    </reviewItem>
    <reviewItem>
      <errorID>18748953-ce0c-4a7b-80b2-6290e57b0f38</errorID>
      <errorWord>(</errorWord>
      <group>L1_Format</group>
      <groupName>格式问题</groupName>
      <ability>L2_HalfPunc</ability>
      <abilityName>全半角检查</abilityName>
      <candidateList>
        <item>（</item>
      </candidateList>
      <explain>文本全半角错误。</explain>
      <paraID>560DA736</paraID>
      <start>13</start>
      <end>14</end>
      <status>modified</status>
      <modifiedWord>（</modifiedWord>
      <trackRevisions>false</trackRevisions>
    </reviewItem>
    <reviewItem>
      <errorID>79416024-6717-4473-ba2b-539660e3cce0</errorID>
      <errorWord>)</errorWord>
      <group>L1_Format</group>
      <groupName>格式问题</groupName>
      <ability>L2_HalfPunc</ability>
      <abilityName>全半角检查</abilityName>
      <candidateList>
        <item>）</item>
      </candidateList>
      <explain>文本全半角错误。</explain>
      <paraID>560DA736</paraID>
      <start>24</start>
      <end>25</end>
      <status>modified</status>
      <modifiedWord>）</modifiedWord>
      <trackRevisions>false</trackRevisions>
    </reviewItem>
    <reviewItem>
      <errorID>c051f985-4e2e-494f-9d93-dfe7c7547172</errorID>
      <errorWord>(</errorWord>
      <group>L1_Format</group>
      <groupName>格式问题</groupName>
      <ability>L2_HalfPunc</ability>
      <abilityName>全半角检查</abilityName>
      <candidateList>
        <item>（</item>
      </candidateList>
      <explain>文本全半角错误。</explain>
      <paraID>2ACEBD73</paraID>
      <start>7</start>
      <end>8</end>
      <status>modified</status>
      <modifiedWord>（</modifiedWord>
      <trackRevisions>false</trackRevisions>
    </reviewItem>
    <reviewItem>
      <errorID>5556b213-05ea-4a95-8608-991ea28da979</errorID>
      <errorWord>)</errorWord>
      <group>L1_Format</group>
      <groupName>格式问题</groupName>
      <ability>L2_HalfPunc</ability>
      <abilityName>全半角检查</abilityName>
      <candidateList>
        <item>）</item>
      </candidateList>
      <explain>文本全半角错误。</explain>
      <paraID>2ACEBD73</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A7AB7-B02C-48C1-81AB-6CE0CEE6EC0B}">
  <ds:schemaRefs/>
</ds:datastoreItem>
</file>

<file path=docProps/app.xml><?xml version="1.0" encoding="utf-8"?>
<Properties xmlns="http://schemas.openxmlformats.org/officeDocument/2006/extended-properties" xmlns:vt="http://schemas.openxmlformats.org/officeDocument/2006/docPropsVTypes">
  <Template>Normal</Template>
  <Pages>13</Pages>
  <Words>1952</Words>
  <Characters>2099</Characters>
  <Lines>161</Lines>
  <Paragraphs>69</Paragraphs>
  <TotalTime>37</TotalTime>
  <ScaleCrop>false</ScaleCrop>
  <LinksUpToDate>false</LinksUpToDate>
  <CharactersWithSpaces>2102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2026-01-19T21:08:00Z</dcterms:created>
  <dc:creator>HP</dc:creator>
  <cp:lastModifiedBy>蘑菇</cp:lastModifiedBy>
  <cp:lastPrinted>2026-01-09T06:49:00Z</cp:lastPrinted>
  <dcterms:modified xsi:type="dcterms:W3CDTF">2026-01-22T01:14:24Z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3E6AD6787E114D929A27FAD2B2189B8E_13</vt:lpwstr>
  </property>
  <property fmtid="{D5CDD505-2E9C-101B-9397-08002B2CF9AE}" pid="4" name="KSOTemplateDocerSaveRecord">
    <vt:lpwstr>eyJoZGlkIjoiN2Y3YmRkMDE3ZWQ4OTk4ODNlNzVmMzI1MjllOTU2YmYiLCJ1c2VySWQiOiI4MTE0MzYxOTgifQ==</vt:lpwstr>
  </property>
</Properties>
</file>