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numId w:val="0"/>
        </w:numPr>
        <w:ind w:leftChars="0"/>
        <w:jc w:val="center"/>
        <w:rPr>
          <w:rFonts w:hint="eastAsia" w:ascii="华文楷体" w:hAnsi="华文楷体" w:eastAsia="华文楷体" w:cs="华文楷体"/>
          <w:sz w:val="52"/>
          <w:szCs w:val="52"/>
          <w:lang w:val="en-US" w:eastAsia="zh-CN"/>
        </w:rPr>
      </w:pPr>
      <w:bookmarkStart w:id="0" w:name="_Toc1778"/>
      <w:bookmarkStart w:id="1" w:name="_Toc346701723"/>
      <w:bookmarkStart w:id="2" w:name="_Toc27414"/>
      <w:bookmarkStart w:id="3" w:name="_Toc346183627"/>
    </w:p>
    <w:p>
      <w:pPr>
        <w:pStyle w:val="3"/>
        <w:numPr>
          <w:numId w:val="0"/>
        </w:numPr>
        <w:ind w:leftChars="0"/>
        <w:jc w:val="center"/>
        <w:rPr>
          <w:rFonts w:hint="eastAsia" w:ascii="华文楷体" w:hAnsi="华文楷体" w:eastAsia="华文楷体" w:cs="华文楷体"/>
          <w:sz w:val="52"/>
          <w:szCs w:val="52"/>
          <w:lang w:val="en-US" w:eastAsia="zh-CN"/>
        </w:rPr>
      </w:pPr>
    </w:p>
    <w:p>
      <w:pPr>
        <w:pStyle w:val="3"/>
        <w:numPr>
          <w:numId w:val="0"/>
        </w:numPr>
        <w:ind w:leftChars="0"/>
        <w:jc w:val="center"/>
        <w:rPr>
          <w:rFonts w:hint="eastAsia" w:ascii="华文楷体" w:hAnsi="华文楷体" w:eastAsia="华文楷体" w:cs="华文楷体"/>
          <w:sz w:val="52"/>
          <w:szCs w:val="52"/>
          <w:lang w:val="en-US" w:eastAsia="zh-CN"/>
        </w:rPr>
      </w:pPr>
    </w:p>
    <w:p>
      <w:pPr>
        <w:pStyle w:val="3"/>
        <w:numPr>
          <w:numId w:val="0"/>
        </w:numPr>
        <w:ind w:leftChars="0"/>
        <w:jc w:val="center"/>
        <w:rPr>
          <w:rFonts w:hint="eastAsia" w:ascii="华文楷体" w:hAnsi="华文楷体" w:eastAsia="华文楷体" w:cs="华文楷体"/>
          <w:sz w:val="52"/>
          <w:szCs w:val="52"/>
          <w:lang w:val="en-US" w:eastAsia="zh-CN"/>
        </w:rPr>
      </w:pPr>
    </w:p>
    <w:p>
      <w:pPr>
        <w:pStyle w:val="3"/>
        <w:numPr>
          <w:numId w:val="0"/>
        </w:numPr>
        <w:ind w:leftChars="0"/>
        <w:jc w:val="center"/>
        <w:rPr>
          <w:rFonts w:hint="eastAsia" w:ascii="华文楷体" w:hAnsi="华文楷体" w:eastAsia="华文楷体" w:cs="华文楷体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楷体" w:hAnsi="华文楷体" w:eastAsia="华文楷体" w:cs="华文楷体"/>
          <w:sz w:val="52"/>
          <w:szCs w:val="52"/>
          <w:lang w:val="en-US" w:eastAsia="zh-CN"/>
        </w:rPr>
        <w:t>政府采购供应商线上磋商、谈判和报价操作手册</w:t>
      </w:r>
    </w:p>
    <w:p>
      <w:pPr>
        <w:pStyle w:val="3"/>
        <w:jc w:val="left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t>系统前期准备</w:t>
      </w:r>
      <w:bookmarkEnd w:id="0"/>
      <w:bookmarkEnd w:id="1"/>
      <w:bookmarkEnd w:id="2"/>
      <w:bookmarkEnd w:id="3"/>
    </w:p>
    <w:p>
      <w:pPr>
        <w:pStyle w:val="4"/>
        <w:tabs>
          <w:tab w:val="left" w:pos="1069"/>
        </w:tabs>
        <w:rPr>
          <w:rFonts w:hint="eastAsia" w:ascii="华文楷体" w:hAnsi="华文楷体" w:eastAsia="华文楷体" w:cs="华文楷体"/>
          <w:sz w:val="28"/>
          <w:szCs w:val="28"/>
        </w:rPr>
      </w:pPr>
      <w:bookmarkStart w:id="4" w:name="_Toc14348"/>
      <w:bookmarkStart w:id="5" w:name="_Toc346701735"/>
      <w:bookmarkStart w:id="6" w:name="_Toc20389"/>
      <w:bookmarkStart w:id="7" w:name="_Toc346183639"/>
      <w:r>
        <w:rPr>
          <w:rFonts w:hint="eastAsia" w:ascii="华文楷体" w:hAnsi="华文楷体" w:eastAsia="华文楷体" w:cs="华文楷体"/>
          <w:sz w:val="28"/>
          <w:szCs w:val="28"/>
        </w:rPr>
        <w:t>浏览器配置</w:t>
      </w:r>
      <w:bookmarkEnd w:id="4"/>
      <w:bookmarkEnd w:id="5"/>
      <w:bookmarkEnd w:id="6"/>
      <w:bookmarkEnd w:id="7"/>
    </w:p>
    <w:p>
      <w:pPr>
        <w:pStyle w:val="5"/>
        <w:tabs>
          <w:tab w:val="left" w:pos="1069"/>
          <w:tab w:val="clear" w:pos="567"/>
        </w:tabs>
        <w:ind w:left="1072" w:hanging="1072"/>
        <w:rPr>
          <w:rFonts w:hint="eastAsia" w:ascii="华文楷体" w:hAnsi="华文楷体" w:eastAsia="华文楷体" w:cs="华文楷体"/>
          <w:szCs w:val="28"/>
        </w:rPr>
      </w:pPr>
      <w:bookmarkStart w:id="8" w:name="_Toc346701736"/>
      <w:bookmarkStart w:id="9" w:name="_Toc346183640"/>
      <w:bookmarkStart w:id="10" w:name="_Toc3001"/>
      <w:r>
        <w:rPr>
          <w:rFonts w:hint="eastAsia" w:ascii="华文楷体" w:hAnsi="华文楷体" w:eastAsia="华文楷体" w:cs="华文楷体"/>
          <w:szCs w:val="28"/>
        </w:rPr>
        <w:t>Internet选项</w:t>
      </w:r>
      <w:bookmarkEnd w:id="8"/>
      <w:bookmarkEnd w:id="9"/>
      <w:bookmarkEnd w:id="10"/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为了让系统插件能够正常工作，请按照以下步骤进行浏览器的配置。</w:t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1、打开浏览器，在“工具”菜单→“Internet选项”，如下图：</w:t>
      </w:r>
    </w:p>
    <w:p>
      <w:pPr>
        <w:spacing w:line="360" w:lineRule="auto"/>
        <w:jc w:val="center"/>
        <w:rPr>
          <w:rFonts w:hint="eastAsia" w:ascii="华文楷体" w:hAnsi="华文楷体" w:eastAsia="华文楷体" w:cs="华文楷体"/>
          <w:spacing w:val="4"/>
          <w:sz w:val="28"/>
          <w:szCs w:val="28"/>
        </w:rPr>
      </w:pPr>
      <w:r>
        <w:rPr>
          <w:rFonts w:hint="eastAsia" w:ascii="华文楷体" w:hAnsi="华文楷体" w:eastAsia="华文楷体" w:cs="华文楷体"/>
          <w:spacing w:val="4"/>
          <w:sz w:val="28"/>
          <w:szCs w:val="28"/>
        </w:rPr>
        <w:drawing>
          <wp:inline distT="0" distB="0" distL="114300" distR="114300">
            <wp:extent cx="3561715" cy="3152775"/>
            <wp:effectExtent l="0" t="0" r="698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hint="eastAsia" w:ascii="华文楷体" w:hAnsi="华文楷体" w:eastAsia="华文楷体" w:cs="华文楷体"/>
          <w:spacing w:val="4"/>
          <w:sz w:val="28"/>
          <w:szCs w:val="28"/>
        </w:rPr>
      </w:pPr>
      <w:r>
        <w:rPr>
          <w:rFonts w:hint="eastAsia" w:ascii="华文楷体" w:hAnsi="华文楷体" w:eastAsia="华文楷体" w:cs="华文楷体"/>
          <w:spacing w:val="4"/>
          <w:sz w:val="28"/>
          <w:szCs w:val="28"/>
        </w:rPr>
        <w:drawing>
          <wp:inline distT="0" distB="0" distL="114300" distR="114300">
            <wp:extent cx="2914650" cy="347662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="华文楷体" w:hAnsi="华文楷体" w:eastAsia="华文楷体" w:cs="华文楷体"/>
          <w:spacing w:val="4"/>
          <w:sz w:val="28"/>
          <w:szCs w:val="28"/>
        </w:rPr>
      </w:pPr>
      <w:r>
        <w:rPr>
          <w:rFonts w:hint="eastAsia" w:ascii="华文楷体" w:hAnsi="华文楷体" w:eastAsia="华文楷体" w:cs="华文楷体"/>
          <w:spacing w:val="4"/>
          <w:sz w:val="28"/>
          <w:szCs w:val="28"/>
        </w:rPr>
        <w:drawing>
          <wp:inline distT="0" distB="0" distL="114300" distR="114300">
            <wp:extent cx="3638550" cy="3971925"/>
            <wp:effectExtent l="0" t="0" r="635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华文楷体" w:hAnsi="华文楷体" w:eastAsia="华文楷体" w:cs="华文楷体"/>
          <w:spacing w:val="4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6690" cy="2795270"/>
            <wp:effectExtent l="0" t="0" r="3810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12" w:leftChars="198" w:hanging="196" w:hangingChars="70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输入系统服务器的IP地址，格式例如：202.61.89.70，然后点击“添加”按钮完成添加，再按“关闭”按钮退出。</w:t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5、设置自定义安全级别，开放Activex的访问权限：</w:t>
      </w:r>
    </w:p>
    <w:p>
      <w:pPr>
        <w:spacing w:line="360" w:lineRule="auto"/>
        <w:jc w:val="center"/>
        <w:rPr>
          <w:rFonts w:hint="eastAsia" w:ascii="华文楷体" w:hAnsi="华文楷体" w:eastAsia="华文楷体" w:cs="华文楷体"/>
          <w:spacing w:val="4"/>
          <w:sz w:val="28"/>
          <w:szCs w:val="28"/>
        </w:rPr>
      </w:pPr>
      <w:r>
        <w:rPr>
          <w:rFonts w:hint="eastAsia" w:ascii="华文楷体" w:hAnsi="华文楷体" w:eastAsia="华文楷体" w:cs="华文楷体"/>
          <w:spacing w:val="4"/>
          <w:sz w:val="28"/>
          <w:szCs w:val="28"/>
        </w:rPr>
        <w:drawing>
          <wp:inline distT="0" distB="0" distL="114300" distR="114300">
            <wp:extent cx="3543300" cy="4200525"/>
            <wp:effectExtent l="0" t="0" r="0" b="31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hint="eastAsia" w:ascii="华文楷体" w:hAnsi="华文楷体" w:eastAsia="华文楷体" w:cs="华文楷体"/>
          <w:spacing w:val="4"/>
          <w:sz w:val="28"/>
          <w:szCs w:val="28"/>
        </w:rPr>
      </w:pPr>
      <w:r>
        <w:rPr>
          <w:rFonts w:hint="eastAsia" w:ascii="华文楷体" w:hAnsi="华文楷体" w:eastAsia="华文楷体" w:cs="华文楷体"/>
          <w:spacing w:val="4"/>
          <w:sz w:val="28"/>
          <w:szCs w:val="28"/>
        </w:rPr>
        <w:drawing>
          <wp:inline distT="0" distB="0" distL="114300" distR="114300">
            <wp:extent cx="4114800" cy="38290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文件下载设置，开放文件下载的权限：设置为启用。</w:t>
      </w:r>
    </w:p>
    <w:p>
      <w:pPr>
        <w:spacing w:line="360" w:lineRule="auto"/>
        <w:jc w:val="both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pacing w:val="4"/>
          <w:sz w:val="28"/>
          <w:szCs w:val="28"/>
          <w:lang w:val="en-US" w:eastAsia="zh-CN"/>
        </w:rPr>
        <w:t xml:space="preserve">      </w:t>
      </w:r>
      <w:r>
        <w:rPr>
          <w:rFonts w:hint="eastAsia" w:ascii="华文楷体" w:hAnsi="华文楷体" w:eastAsia="华文楷体" w:cs="华文楷体"/>
          <w:spacing w:val="4"/>
          <w:sz w:val="28"/>
          <w:szCs w:val="28"/>
        </w:rPr>
        <w:drawing>
          <wp:inline distT="0" distB="0" distL="114300" distR="114300">
            <wp:extent cx="3524885" cy="3703955"/>
            <wp:effectExtent l="0" t="0" r="5715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1069"/>
          <w:tab w:val="clear" w:pos="567"/>
        </w:tabs>
        <w:ind w:left="1072" w:hanging="1072"/>
        <w:rPr>
          <w:rFonts w:hint="eastAsia" w:ascii="华文楷体" w:hAnsi="华文楷体" w:eastAsia="华文楷体" w:cs="华文楷体"/>
          <w:szCs w:val="28"/>
        </w:rPr>
      </w:pPr>
      <w:bookmarkStart w:id="11" w:name="_Toc18483"/>
      <w:bookmarkStart w:id="12" w:name="_Toc346701737"/>
      <w:bookmarkStart w:id="13" w:name="_Toc346183641"/>
      <w:r>
        <w:rPr>
          <w:rFonts w:hint="eastAsia" w:ascii="华文楷体" w:hAnsi="华文楷体" w:eastAsia="华文楷体" w:cs="华文楷体"/>
          <w:szCs w:val="28"/>
        </w:rPr>
        <w:t>关闭拦截工具</w:t>
      </w:r>
      <w:bookmarkEnd w:id="11"/>
      <w:bookmarkEnd w:id="12"/>
      <w:bookmarkEnd w:id="13"/>
    </w:p>
    <w:p>
      <w:pPr>
        <w:spacing w:line="360" w:lineRule="auto"/>
        <w:ind w:firstLine="560" w:firstLineChars="200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6"/>
        <w:spacing w:line="360" w:lineRule="auto"/>
        <w:ind w:left="0" w:leftChars="0" w:firstLine="0" w:firstLineChars="0"/>
        <w:jc w:val="both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095875" cy="2324100"/>
            <wp:effectExtent l="0" t="0" r="9525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1069"/>
          <w:tab w:val="clear" w:pos="567"/>
        </w:tabs>
        <w:ind w:left="1072" w:hanging="1072"/>
        <w:rPr>
          <w:rFonts w:hint="eastAsia" w:ascii="华文楷体" w:hAnsi="华文楷体" w:eastAsia="华文楷体" w:cs="华文楷体"/>
          <w:szCs w:val="28"/>
        </w:rPr>
      </w:pPr>
      <w:r>
        <w:rPr>
          <w:rFonts w:hint="eastAsia" w:ascii="华文楷体" w:hAnsi="华文楷体" w:eastAsia="华文楷体" w:cs="华文楷体"/>
          <w:szCs w:val="28"/>
        </w:rPr>
        <w:t>添加兼容视图</w:t>
      </w:r>
    </w:p>
    <w:p>
      <w:pPr>
        <w:spacing w:line="360" w:lineRule="auto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4150" cy="2803525"/>
            <wp:effectExtent l="0" t="0" r="6350" b="31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firstLine="0" w:firstLineChars="0"/>
        <w:jc w:val="center"/>
        <w:rPr>
          <w:rFonts w:hint="eastAsia" w:ascii="华文楷体" w:hAnsi="华文楷体" w:eastAsia="华文楷体" w:cs="华文楷体"/>
          <w:sz w:val="28"/>
          <w:szCs w:val="28"/>
        </w:rPr>
      </w:pPr>
    </w:p>
    <w:p>
      <w:pPr>
        <w:pStyle w:val="4"/>
        <w:tabs>
          <w:tab w:val="left" w:pos="1069"/>
        </w:tabs>
        <w:rPr>
          <w:rFonts w:hint="eastAsia" w:ascii="华文楷体" w:hAnsi="华文楷体" w:eastAsia="华文楷体" w:cs="华文楷体"/>
          <w:sz w:val="28"/>
          <w:szCs w:val="28"/>
        </w:rPr>
      </w:pPr>
      <w:bookmarkStart w:id="14" w:name="_Toc3817"/>
      <w:r>
        <w:rPr>
          <w:rFonts w:hint="eastAsia" w:ascii="华文楷体" w:hAnsi="华文楷体" w:eastAsia="华文楷体" w:cs="华文楷体"/>
          <w:sz w:val="28"/>
          <w:szCs w:val="28"/>
        </w:rPr>
        <w:t>CA驱动安装</w:t>
      </w:r>
      <w:bookmarkEnd w:id="14"/>
    </w:p>
    <w:p>
      <w:pPr>
        <w:pStyle w:val="5"/>
        <w:tabs>
          <w:tab w:val="left" w:pos="1069"/>
          <w:tab w:val="clear" w:pos="567"/>
        </w:tabs>
        <w:ind w:left="1072" w:hanging="1072"/>
        <w:rPr>
          <w:rFonts w:hint="eastAsia" w:ascii="华文楷体" w:hAnsi="华文楷体" w:eastAsia="华文楷体" w:cs="华文楷体"/>
          <w:szCs w:val="28"/>
        </w:rPr>
      </w:pPr>
      <w:r>
        <w:rPr>
          <w:rFonts w:hint="eastAsia" w:ascii="华文楷体" w:hAnsi="华文楷体" w:eastAsia="华文楷体" w:cs="华文楷体"/>
          <w:szCs w:val="28"/>
        </w:rPr>
        <w:t>CA驱动下载</w:t>
      </w:r>
    </w:p>
    <w:p>
      <w:pPr>
        <w:spacing w:line="360" w:lineRule="auto"/>
        <w:ind w:firstLine="560" w:firstLineChars="200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访问四川省公共资源交易信息网CA下载页面（http://ggzyjy.sc.gov.cn/bszn/010002/bsznnotice.html）下载最新版的CA互联互通驱动。</w:t>
      </w:r>
    </w:p>
    <w:p>
      <w:pPr>
        <w:pStyle w:val="2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6690" cy="2797810"/>
            <wp:effectExtent l="0" t="0" r="3810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1069"/>
          <w:tab w:val="clear" w:pos="567"/>
        </w:tabs>
        <w:ind w:left="1072" w:hanging="1072"/>
        <w:rPr>
          <w:rFonts w:hint="eastAsia" w:ascii="华文楷体" w:hAnsi="华文楷体" w:eastAsia="华文楷体" w:cs="华文楷体"/>
          <w:szCs w:val="28"/>
        </w:rPr>
      </w:pPr>
      <w:r>
        <w:rPr>
          <w:rFonts w:hint="eastAsia" w:ascii="华文楷体" w:hAnsi="华文楷体" w:eastAsia="华文楷体" w:cs="华文楷体"/>
          <w:szCs w:val="28"/>
        </w:rPr>
        <w:t>CA驱动安装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双击安装：</w:t>
      </w:r>
    </w:p>
    <w:p>
      <w:pPr>
        <w:pStyle w:val="6"/>
        <w:ind w:left="0" w:firstLine="0" w:firstLineChars="0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9230" cy="3952240"/>
            <wp:effectExtent l="0" t="0" r="1270" b="1016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 w:firstLine="0" w:firstLineChars="0"/>
        <w:rPr>
          <w:rFonts w:hint="eastAsia" w:ascii="华文楷体" w:hAnsi="华文楷体" w:eastAsia="华文楷体" w:cs="华文楷体"/>
          <w:sz w:val="28"/>
          <w:szCs w:val="28"/>
        </w:rPr>
      </w:pP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一键检测：插入CA锁，点击“一键检测”</w:t>
      </w:r>
    </w:p>
    <w:p>
      <w:pPr>
        <w:pStyle w:val="6"/>
        <w:ind w:left="0" w:firstLine="0" w:firstLineChars="0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1770" cy="3325495"/>
            <wp:effectExtent l="0" t="0" r="11430" b="1905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输入CA锁密码：</w:t>
      </w:r>
    </w:p>
    <w:p>
      <w:pPr>
        <w:pStyle w:val="6"/>
        <w:ind w:left="0" w:firstLine="0" w:firstLineChars="0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1770" cy="3325495"/>
            <wp:effectExtent l="0" t="0" r="11430" b="1905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检测中：</w:t>
      </w:r>
    </w:p>
    <w:p>
      <w:pPr>
        <w:pStyle w:val="6"/>
        <w:ind w:left="0" w:firstLine="0" w:firstLineChars="0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1770" cy="3325495"/>
            <wp:effectExtent l="0" t="0" r="11430" b="190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检测通过：</w:t>
      </w:r>
    </w:p>
    <w:p>
      <w:pPr>
        <w:pStyle w:val="6"/>
        <w:ind w:left="0" w:firstLine="0" w:firstLineChars="0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1770" cy="3325495"/>
            <wp:effectExtent l="0" t="0" r="11430" b="1905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left="0" w:firstLine="0"/>
        <w:outlineLvl w:val="1"/>
        <w:rPr>
          <w:rFonts w:hint="eastAsia" w:ascii="华文楷体" w:hAnsi="华文楷体" w:eastAsia="华文楷体" w:cs="华文楷体"/>
          <w:b/>
          <w:bCs/>
          <w:sz w:val="30"/>
          <w:szCs w:val="32"/>
        </w:rPr>
      </w:pPr>
      <w:bookmarkStart w:id="15" w:name="_Toc15926"/>
      <w:r>
        <w:rPr>
          <w:rFonts w:hint="eastAsia" w:ascii="华文楷体" w:hAnsi="华文楷体" w:eastAsia="华文楷体" w:cs="华文楷体"/>
          <w:b/>
          <w:bCs/>
          <w:sz w:val="30"/>
          <w:szCs w:val="32"/>
        </w:rPr>
        <w:t>1.3 CA办理</w:t>
      </w:r>
      <w:bookmarkEnd w:id="15"/>
    </w:p>
    <w:p>
      <w:pPr>
        <w:spacing w:before="0" w:after="0" w:line="240" w:lineRule="auto"/>
        <w:ind w:left="0" w:firstLine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t>办理链接：</w:t>
      </w:r>
      <w:r>
        <w:rPr>
          <w:rFonts w:hint="eastAsia" w:ascii="华文楷体" w:hAnsi="华文楷体" w:eastAsia="华文楷体" w:cs="华文楷体"/>
        </w:rPr>
        <w:fldChar w:fldCharType="begin"/>
      </w:r>
      <w:r>
        <w:rPr>
          <w:rFonts w:hint="eastAsia" w:ascii="华文楷体" w:hAnsi="华文楷体" w:eastAsia="华文楷体" w:cs="华文楷体"/>
        </w:rPr>
        <w:instrText xml:space="preserve"> HYPERLINK "http://ggzyjy.sc.gov.cn/PSPBidder/huiyuaninfomis2/pages/huiyuanregister/CAInfoList" </w:instrText>
      </w:r>
      <w:r>
        <w:rPr>
          <w:rFonts w:hint="eastAsia" w:ascii="华文楷体" w:hAnsi="华文楷体" w:eastAsia="华文楷体" w:cs="华文楷体"/>
        </w:rPr>
        <w:fldChar w:fldCharType="separate"/>
      </w:r>
      <w:r>
        <w:rPr>
          <w:rFonts w:hint="eastAsia" w:ascii="华文楷体" w:hAnsi="华文楷体" w:eastAsia="华文楷体" w:cs="华文楷体"/>
          <w:color w:val="0000FF"/>
          <w:u w:val="single"/>
        </w:rPr>
        <w:t>http://ggzyjy.sc.gov.cn/PSPBidder/huiyuaninfomis2/pages/huiyuanregister/CAInfoList</w:t>
      </w:r>
      <w:r>
        <w:rPr>
          <w:rFonts w:hint="eastAsia" w:ascii="华文楷体" w:hAnsi="华文楷体" w:eastAsia="华文楷体" w:cs="华文楷体"/>
        </w:rPr>
        <w:fldChar w:fldCharType="end"/>
      </w:r>
    </w:p>
    <w:p>
      <w:pPr>
        <w:spacing w:after="120"/>
        <w:rPr>
          <w:rFonts w:hint="eastAsia"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sz w:val="24"/>
          <w:szCs w:val="24"/>
        </w:rPr>
        <w:t>链接中公示的各类CA锁均纳入全省互联互通，请进入页面后自行选择办理。</w:t>
      </w:r>
    </w:p>
    <w:p>
      <w:pPr>
        <w:pStyle w:val="2"/>
        <w:rPr>
          <w:rFonts w:hint="eastAsia" w:ascii="华文楷体" w:hAnsi="华文楷体" w:eastAsia="华文楷体" w:cs="华文楷体"/>
        </w:rPr>
      </w:pPr>
    </w:p>
    <w:p>
      <w:pPr>
        <w:numPr>
          <w:ilvl w:val="0"/>
          <w:numId w:val="2"/>
        </w:numP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  <w:t>登录系统</w:t>
      </w:r>
    </w:p>
    <w:p>
      <w:pPr>
        <w:spacing w:line="240" w:lineRule="auto"/>
        <w:ind w:firstLine="0" w:firstLineChars="0"/>
        <w:jc w:val="left"/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t>1.1</w:t>
      </w:r>
    </w:p>
    <w:p>
      <w:pPr>
        <w:spacing w:line="240" w:lineRule="auto"/>
        <w:ind w:firstLine="0" w:firstLineChars="0"/>
        <w:jc w:val="left"/>
        <w:rPr>
          <w:rFonts w:hint="eastAsia"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sz w:val="24"/>
          <w:szCs w:val="24"/>
        </w:rPr>
        <w:t>打开全国公共资源交易平台（四川省）网站（http://ggzyjy.sc.gov.cn/），点击右上角登录按钮。</w:t>
      </w:r>
    </w:p>
    <w:p>
      <w:pPr>
        <w:pStyle w:val="2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 xml:space="preserve"> </w:t>
      </w:r>
    </w:p>
    <w:p>
      <w:pPr>
        <w:pStyle w:val="2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 xml:space="preserve">   </w:t>
      </w: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t xml:space="preserve">  1.2</w:t>
      </w:r>
    </w:p>
    <w:p>
      <w:pPr>
        <w:spacing w:line="240" w:lineRule="auto"/>
        <w:ind w:left="575" w:leftChars="194" w:hanging="168" w:hangingChars="7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</w:rPr>
        <w:t>点击【全省统一认证入口】，用注册好的账号密码进行登录</w:t>
      </w:r>
      <w:r>
        <w:rPr>
          <w:rFonts w:hint="eastAsia" w:ascii="华文楷体" w:hAnsi="华文楷体" w:eastAsia="华文楷体" w:cs="华文楷体"/>
          <w:sz w:val="24"/>
          <w:szCs w:val="24"/>
          <w:lang w:eastAsia="zh-CN"/>
        </w:rPr>
        <w:t>，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选择政府采购，跳转到交易平台，并且选择供应商身份进入系统。</w:t>
      </w:r>
    </w:p>
    <w:p>
      <w:pPr>
        <w:spacing w:line="240" w:lineRule="auto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0" distR="0">
            <wp:extent cx="5274310" cy="2661285"/>
            <wp:effectExtent l="0" t="0" r="889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41925" cy="2153920"/>
            <wp:effectExtent l="0" t="0" r="3175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0" distR="0">
            <wp:extent cx="5274310" cy="1596390"/>
            <wp:effectExtent l="0" t="0" r="889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567" w:leftChars="0" w:hanging="567" w:firstLineChars="0"/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  <w:t>进行线上磋商/谈判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1.1当监督通知供应商进行线上磋商或谈判时，登录系统，选择采购业务，选择澄清答复，选择需要进行磋商/谈判的项目，点击答复按钮</w:t>
      </w:r>
      <w:r>
        <w:rPr>
          <w:rFonts w:hint="eastAsia" w:ascii="华文楷体" w:hAnsi="华文楷体" w:eastAsia="华文楷体" w:cs="华文楷体"/>
          <w:sz w:val="24"/>
          <w:szCs w:val="24"/>
        </w:rPr>
        <w:drawing>
          <wp:inline distT="0" distB="0" distL="114300" distR="114300">
            <wp:extent cx="425450" cy="635000"/>
            <wp:effectExtent l="0" t="0" r="635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 w:cs="华文楷体"/>
          <w:sz w:val="24"/>
          <w:szCs w:val="24"/>
          <w:lang w:eastAsia="zh-CN"/>
        </w:rPr>
        <w:t>，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进入答复界面。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1.2进入回复界面，在回答内容里面回复评委专家所提出的磋商/谈判内容。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1.3在“相关附件”中点击电子件管理，点击“选择电子件上传”，上传所需要的附件，如果需要进行修改，点击所上传的文件，然后点击“删除”，即可删除并重新上传。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329180"/>
            <wp:effectExtent l="0" t="0" r="3810" b="762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7960" cy="2337435"/>
            <wp:effectExtent l="0" t="0" r="2540" b="1206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1.4在“磋商/谈判回复单”中点击上传，然后选择电子件上传，上传文件后点击保存，然后点击“清稿并加盖印章”进行签章操作，点击签章后点击“签章提交”，最后点击确认提交即可完成线上磋商/谈判所有操作内容。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296160"/>
            <wp:effectExtent l="0" t="0" r="3810" b="254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1168400"/>
            <wp:effectExtent l="0" t="0" r="3810" b="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680085"/>
            <wp:effectExtent l="0" t="0" r="3810" b="571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5420" cy="2276475"/>
            <wp:effectExtent l="0" t="0" r="5080" b="952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lang w:val="en-US" w:eastAsia="zh-CN"/>
        </w:rPr>
      </w:pPr>
    </w:p>
    <w:p>
      <w:pPr>
        <w:pStyle w:val="2"/>
        <w:numPr>
          <w:ilvl w:val="0"/>
          <w:numId w:val="2"/>
        </w:numPr>
        <w:ind w:left="567" w:leftChars="0" w:hanging="567" w:firstLineChars="0"/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  <w:t>进行线上报价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b w:val="0"/>
          <w:bCs w:val="0"/>
          <w:sz w:val="24"/>
          <w:szCs w:val="24"/>
          <w:lang w:val="en-US" w:eastAsia="zh-CN"/>
        </w:rPr>
        <w:t>1.1点击报价参与，选择需要报价的项目点击参与报价，进入报价界面。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1.2进入报价界面，点击新增报价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25065"/>
            <wp:effectExtent l="0" t="0" r="3810" b="63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1.3在本轮报价总价里面填写报价，然后点击报价函旁的“点击上传按钮”，再点击选择电子件上传（所传报价函为采购文件所规定的报价函），然后点击“清稿并加盖印章”进行签章操作，点击签章后点击“签章提交”，（如果想修改，点击“修改”进行重新上传等修改操作），最后点击确认提交即可完成线上报价的所有操作内容。</w:t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1744980"/>
            <wp:effectExtent l="0" t="0" r="3810" b="762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</w:pPr>
    </w:p>
    <w:p>
      <w:pPr>
        <w:pStyle w:val="2"/>
        <w:numPr>
          <w:numId w:val="0"/>
        </w:numPr>
        <w:ind w:leftChars="0"/>
        <w:rPr>
          <w:rFonts w:hint="eastAsia"/>
        </w:rPr>
      </w:pP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6690" cy="2444115"/>
            <wp:effectExtent l="0" t="0" r="3810" b="698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</w:rPr>
      </w:pPr>
      <w:r>
        <w:drawing>
          <wp:inline distT="0" distB="0" distL="114300" distR="114300">
            <wp:extent cx="5266690" cy="751840"/>
            <wp:effectExtent l="0" t="0" r="3810" b="1016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华文楷体" w:hAnsi="华文楷体" w:eastAsia="华文楷体" w:cs="华文楷体"/>
          <w:lang w:val="en-US" w:eastAsia="zh-CN"/>
        </w:rPr>
      </w:pPr>
      <w:r>
        <w:drawing>
          <wp:inline distT="0" distB="0" distL="114300" distR="114300">
            <wp:extent cx="5266690" cy="2425065"/>
            <wp:effectExtent l="0" t="0" r="3810" b="63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80" w:lineRule="auto"/>
      </w:pPr>
      <w:r>
        <w:separator/>
      </w:r>
    </w:p>
  </w:footnote>
  <w:footnote w:type="continuationSeparator" w:id="1">
    <w:p>
      <w:pPr>
        <w:spacing w:before="0" w:after="0" w:line="48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DE9385"/>
    <w:multiLevelType w:val="singleLevel"/>
    <w:tmpl w:val="D4DE938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D"/>
    <w:multiLevelType w:val="multilevel"/>
    <w:tmpl w:val="0000000D"/>
    <w:lvl w:ilvl="0" w:tentative="0">
      <w:start w:val="1"/>
      <w:numFmt w:val="chineseCountingThousand"/>
      <w:pStyle w:val="3"/>
      <w:lvlText w:val="%1、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4"/>
      <w:isLgl/>
      <w:lvlText w:val="%1.%2"/>
      <w:lvlJc w:val="left"/>
      <w:pPr>
        <w:tabs>
          <w:tab w:val="left" w:pos="567"/>
        </w:tabs>
        <w:ind w:left="567" w:hanging="567"/>
      </w:pPr>
      <w:rPr>
        <w:rFonts w:hint="eastAsia" w:ascii="黑体" w:eastAsia="黑体"/>
      </w:rPr>
    </w:lvl>
    <w:lvl w:ilvl="2" w:tentative="0">
      <w:start w:val="1"/>
      <w:numFmt w:val="decimal"/>
      <w:pStyle w:val="5"/>
      <w:isLgl/>
      <w:lvlText w:val="%1.%2.%3"/>
      <w:lvlJc w:val="left"/>
      <w:pPr>
        <w:tabs>
          <w:tab w:val="left" w:pos="1069"/>
        </w:tabs>
        <w:ind w:left="1069" w:hanging="709"/>
      </w:pPr>
      <w:rPr>
        <w:rFonts w:hint="eastAsia" w:ascii="黑体" w:eastAsia="黑体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080"/>
        </w:tabs>
        <w:ind w:left="851" w:hanging="851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D2AF3"/>
    <w:rsid w:val="0B4E4357"/>
    <w:rsid w:val="0D197FBC"/>
    <w:rsid w:val="135559B8"/>
    <w:rsid w:val="147C2927"/>
    <w:rsid w:val="157423F1"/>
    <w:rsid w:val="174B6C41"/>
    <w:rsid w:val="3C9B08B3"/>
    <w:rsid w:val="480F3DB2"/>
    <w:rsid w:val="4E9A68A0"/>
    <w:rsid w:val="524F0068"/>
    <w:rsid w:val="5638115D"/>
    <w:rsid w:val="593F7757"/>
    <w:rsid w:val="59BA6A47"/>
    <w:rsid w:val="5C2D67CA"/>
    <w:rsid w:val="5EB213D5"/>
    <w:rsid w:val="63AD19A1"/>
    <w:rsid w:val="6AF45CDA"/>
    <w:rsid w:val="76872956"/>
    <w:rsid w:val="7BFC4291"/>
    <w:rsid w:val="7D035D87"/>
    <w:rsid w:val="7D9C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260" w:after="260" w:line="480" w:lineRule="auto"/>
      <w:ind w:left="567" w:hanging="567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rFonts w:eastAsia="黑体"/>
      <w:b/>
      <w:bCs/>
      <w:kern w:val="44"/>
      <w:sz w:val="32"/>
      <w:szCs w:val="28"/>
    </w:rPr>
  </w:style>
  <w:style w:type="paragraph" w:styleId="4">
    <w:name w:val="heading 2"/>
    <w:basedOn w:val="5"/>
    <w:next w:val="6"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b w:val="0"/>
      <w:bCs w:val="0"/>
      <w:sz w:val="30"/>
      <w:szCs w:val="32"/>
    </w:rPr>
  </w:style>
  <w:style w:type="paragraph" w:styleId="5">
    <w:name w:val="heading 3"/>
    <w:basedOn w:val="1"/>
    <w:next w:val="6"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1069"/>
      </w:tabs>
      <w:spacing w:before="260" w:beforeLines="0" w:after="260" w:afterLines="0" w:line="360" w:lineRule="auto"/>
      <w:outlineLvl w:val="2"/>
    </w:pPr>
    <w:rPr>
      <w:rFonts w:eastAsia="黑体"/>
      <w:b/>
      <w:bCs/>
      <w:sz w:val="28"/>
      <w:szCs w:val="1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</w:style>
  <w:style w:type="paragraph" w:customStyle="1" w:styleId="6">
    <w:name w:val="Indent Normal"/>
    <w:basedOn w:val="1"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2021-05-12T03:43:00Z</dcterms:created>
  <dc:creator>17157</dc:creator>
  <cp:lastModifiedBy>【封尘】记忆</cp:lastModifiedBy>
  <dcterms:modified xsi:type="dcterms:W3CDTF">2021-11-04T08:15:01Z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70CD04F5383840EC8064D9D4FA93528C</vt:lpwstr>
  </property>
</Properties>
</file>